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758489">
      <w:pPr>
        <w:rPr>
          <w:rFonts w:ascii="仿宋_GB2312" w:hAnsi="仿宋_GB2312" w:eastAsia="仿宋_GB2312" w:cs="仿宋_GB2312"/>
          <w:sz w:val="36"/>
          <w:szCs w:val="36"/>
        </w:rPr>
        <w:sectPr>
          <w:footerReference r:id="rId3" w:type="default"/>
          <w:pgSz w:w="11906" w:h="16838"/>
          <w:pgMar w:top="1701" w:right="1531" w:bottom="1701" w:left="1531" w:header="851" w:footer="1077" w:gutter="0"/>
          <w:pgNumType w:start="1"/>
          <w:cols w:space="720" w:num="1"/>
          <w:docGrid w:linePitch="312" w:charSpace="0"/>
        </w:sectPr>
      </w:pPr>
      <w:r>
        <w:drawing>
          <wp:anchor distT="0" distB="0" distL="114300" distR="114300" simplePos="0" relativeHeight="251684864" behindDoc="0" locked="0" layoutInCell="1" allowOverlap="1">
            <wp:simplePos x="0" y="0"/>
            <wp:positionH relativeFrom="column">
              <wp:posOffset>-844550</wp:posOffset>
            </wp:positionH>
            <wp:positionV relativeFrom="page">
              <wp:posOffset>412750</wp:posOffset>
            </wp:positionV>
            <wp:extent cx="7223125" cy="10221595"/>
            <wp:effectExtent l="0" t="0" r="15875" b="8255"/>
            <wp:wrapTopAndBottom/>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6"/>
                    <a:stretch>
                      <a:fillRect/>
                    </a:stretch>
                  </pic:blipFill>
                  <pic:spPr>
                    <a:xfrm>
                      <a:off x="0" y="0"/>
                      <a:ext cx="7223125" cy="10221595"/>
                    </a:xfrm>
                    <a:prstGeom prst="rect">
                      <a:avLst/>
                    </a:prstGeom>
                    <a:noFill/>
                    <a:ln>
                      <a:noFill/>
                    </a:ln>
                  </pic:spPr>
                </pic:pic>
              </a:graphicData>
            </a:graphic>
          </wp:anchor>
        </w:drawing>
      </w:r>
    </w:p>
    <w:p w14:paraId="440F23D2">
      <w:pPr>
        <w:rPr>
          <w:rFonts w:ascii="仿宋_GB2312" w:hAnsi="仿宋_GB2312" w:eastAsia="仿宋_GB2312" w:cs="仿宋_GB2312"/>
          <w:sz w:val="36"/>
          <w:szCs w:val="36"/>
        </w:rPr>
        <w:sectPr>
          <w:pgSz w:w="11906" w:h="16838"/>
          <w:pgMar w:top="1701" w:right="1531" w:bottom="1701" w:left="1531" w:header="851" w:footer="1077" w:gutter="0"/>
          <w:pgNumType w:start="1"/>
          <w:cols w:space="720" w:num="1"/>
          <w:docGrid w:linePitch="312" w:charSpace="0"/>
        </w:sectPr>
      </w:pPr>
      <w:r>
        <w:drawing>
          <wp:anchor distT="0" distB="0" distL="114300" distR="114300" simplePos="0" relativeHeight="251685888" behindDoc="0" locked="0" layoutInCell="1" allowOverlap="1">
            <wp:simplePos x="0" y="0"/>
            <wp:positionH relativeFrom="column">
              <wp:posOffset>-160655</wp:posOffset>
            </wp:positionH>
            <wp:positionV relativeFrom="paragraph">
              <wp:posOffset>421640</wp:posOffset>
            </wp:positionV>
            <wp:extent cx="6017895" cy="7635875"/>
            <wp:effectExtent l="0" t="0" r="1905" b="3175"/>
            <wp:wrapTopAndBottom/>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7"/>
                    <a:stretch>
                      <a:fillRect/>
                    </a:stretch>
                  </pic:blipFill>
                  <pic:spPr>
                    <a:xfrm>
                      <a:off x="0" y="0"/>
                      <a:ext cx="6017895" cy="7635875"/>
                    </a:xfrm>
                    <a:prstGeom prst="rect">
                      <a:avLst/>
                    </a:prstGeom>
                    <a:noFill/>
                    <a:ln>
                      <a:noFill/>
                    </a:ln>
                  </pic:spPr>
                </pic:pic>
              </a:graphicData>
            </a:graphic>
          </wp:anchor>
        </w:drawing>
      </w:r>
    </w:p>
    <w:p w14:paraId="198AD00F">
      <w:pPr>
        <w:pStyle w:val="3"/>
        <w:sectPr>
          <w:pgSz w:w="11906" w:h="16838"/>
          <w:pgMar w:top="1701" w:right="1531" w:bottom="1701" w:left="1531" w:header="851" w:footer="1077" w:gutter="0"/>
          <w:pgNumType w:start="1"/>
          <w:cols w:space="720" w:num="1"/>
          <w:docGrid w:linePitch="312" w:charSpace="0"/>
        </w:sectPr>
      </w:pPr>
      <w:r>
        <w:drawing>
          <wp:anchor distT="0" distB="0" distL="114300" distR="114300" simplePos="0" relativeHeight="251686912" behindDoc="1" locked="0" layoutInCell="1" allowOverlap="1">
            <wp:simplePos x="0" y="0"/>
            <wp:positionH relativeFrom="column">
              <wp:posOffset>-324485</wp:posOffset>
            </wp:positionH>
            <wp:positionV relativeFrom="paragraph">
              <wp:posOffset>212725</wp:posOffset>
            </wp:positionV>
            <wp:extent cx="6386830" cy="8105140"/>
            <wp:effectExtent l="0" t="0" r="13970" b="10160"/>
            <wp:wrapTight wrapText="bothSides">
              <wp:wrapPolygon>
                <wp:start x="0" y="0"/>
                <wp:lineTo x="0" y="21526"/>
                <wp:lineTo x="21518" y="21526"/>
                <wp:lineTo x="21518" y="0"/>
                <wp:lineTo x="0" y="0"/>
              </wp:wrapPolygon>
            </wp:wrapTight>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8"/>
                    <a:stretch>
                      <a:fillRect/>
                    </a:stretch>
                  </pic:blipFill>
                  <pic:spPr>
                    <a:xfrm>
                      <a:off x="0" y="0"/>
                      <a:ext cx="6386830" cy="8105140"/>
                    </a:xfrm>
                    <a:prstGeom prst="rect">
                      <a:avLst/>
                    </a:prstGeom>
                    <a:noFill/>
                    <a:ln>
                      <a:noFill/>
                    </a:ln>
                  </pic:spPr>
                </pic:pic>
              </a:graphicData>
            </a:graphic>
          </wp:anchor>
        </w:drawing>
      </w:r>
    </w:p>
    <w:p w14:paraId="7BC9AD31"/>
    <w:p w14:paraId="1822AE1A">
      <w:pPr>
        <w:pStyle w:val="1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06"/>
        <w:gridCol w:w="1307"/>
        <w:gridCol w:w="2201"/>
        <w:gridCol w:w="2215"/>
        <w:gridCol w:w="2641"/>
      </w:tblGrid>
      <w:tr w14:paraId="6749F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1" w:type="dxa"/>
            <w:gridSpan w:val="2"/>
            <w:tcMar>
              <w:top w:w="16" w:type="dxa"/>
              <w:left w:w="16" w:type="dxa"/>
              <w:right w:w="16" w:type="dxa"/>
            </w:tcMar>
            <w:vAlign w:val="center"/>
          </w:tcPr>
          <w:p w14:paraId="1781AEB7">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建设项目名称</w:t>
            </w:r>
          </w:p>
        </w:tc>
        <w:tc>
          <w:tcPr>
            <w:tcW w:w="7049" w:type="dxa"/>
            <w:gridSpan w:val="3"/>
            <w:vAlign w:val="center"/>
          </w:tcPr>
          <w:p w14:paraId="4183642D">
            <w:pPr>
              <w:adjustRightInd w:val="0"/>
              <w:snapToGrid w:val="0"/>
              <w:jc w:val="center"/>
              <w:rPr>
                <w:color w:val="auto"/>
                <w:szCs w:val="21"/>
                <w:highlight w:val="none"/>
              </w:rPr>
            </w:pPr>
            <w:r>
              <w:rPr>
                <w:color w:val="auto"/>
                <w:szCs w:val="21"/>
                <w:highlight w:val="none"/>
              </w:rPr>
              <w:t>年产90吨葛根粉</w:t>
            </w:r>
          </w:p>
        </w:tc>
      </w:tr>
      <w:tr w14:paraId="3879D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1" w:type="dxa"/>
            <w:gridSpan w:val="2"/>
            <w:tcMar>
              <w:top w:w="16" w:type="dxa"/>
              <w:left w:w="16" w:type="dxa"/>
              <w:right w:w="16" w:type="dxa"/>
            </w:tcMar>
            <w:vAlign w:val="center"/>
          </w:tcPr>
          <w:p w14:paraId="5BAF7270">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项目代码</w:t>
            </w:r>
          </w:p>
        </w:tc>
        <w:tc>
          <w:tcPr>
            <w:tcW w:w="7049" w:type="dxa"/>
            <w:gridSpan w:val="3"/>
            <w:vAlign w:val="center"/>
          </w:tcPr>
          <w:p w14:paraId="355515C8">
            <w:pPr>
              <w:adjustRightInd w:val="0"/>
              <w:snapToGrid w:val="0"/>
              <w:jc w:val="center"/>
              <w:rPr>
                <w:color w:val="auto"/>
                <w:szCs w:val="21"/>
                <w:highlight w:val="none"/>
              </w:rPr>
            </w:pPr>
            <w:r>
              <w:rPr>
                <w:color w:val="auto"/>
                <w:szCs w:val="21"/>
                <w:highlight w:val="none"/>
              </w:rPr>
              <w:t>2406-500117-04-01-734779</w:t>
            </w:r>
          </w:p>
        </w:tc>
      </w:tr>
      <w:tr w14:paraId="2E37A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1821" w:type="dxa"/>
            <w:gridSpan w:val="2"/>
            <w:tcMar>
              <w:top w:w="16" w:type="dxa"/>
              <w:left w:w="16" w:type="dxa"/>
              <w:right w:w="16" w:type="dxa"/>
            </w:tcMar>
            <w:vAlign w:val="center"/>
          </w:tcPr>
          <w:p w14:paraId="59870EE4">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建设单位联系人</w:t>
            </w:r>
          </w:p>
        </w:tc>
        <w:tc>
          <w:tcPr>
            <w:tcW w:w="2198" w:type="dxa"/>
            <w:vAlign w:val="center"/>
          </w:tcPr>
          <w:p w14:paraId="7CDC8334">
            <w:pPr>
              <w:adjustRightInd w:val="0"/>
              <w:snapToGrid w:val="0"/>
              <w:jc w:val="center"/>
              <w:rPr>
                <w:color w:val="auto"/>
                <w:szCs w:val="21"/>
                <w:highlight w:val="none"/>
              </w:rPr>
            </w:pPr>
          </w:p>
        </w:tc>
        <w:tc>
          <w:tcPr>
            <w:tcW w:w="2212" w:type="dxa"/>
            <w:vAlign w:val="center"/>
          </w:tcPr>
          <w:p w14:paraId="27D789CC">
            <w:pPr>
              <w:adjustRightInd w:val="0"/>
              <w:snapToGrid w:val="0"/>
              <w:jc w:val="center"/>
              <w:rPr>
                <w:color w:val="auto"/>
                <w:szCs w:val="21"/>
                <w:highlight w:val="none"/>
              </w:rPr>
            </w:pPr>
            <w:r>
              <w:rPr>
                <w:color w:val="auto"/>
                <w:szCs w:val="21"/>
                <w:highlight w:val="none"/>
              </w:rPr>
              <w:t>联系方式</w:t>
            </w:r>
          </w:p>
        </w:tc>
        <w:tc>
          <w:tcPr>
            <w:tcW w:w="2639" w:type="dxa"/>
            <w:vAlign w:val="center"/>
          </w:tcPr>
          <w:p w14:paraId="3D297322">
            <w:pPr>
              <w:adjustRightInd w:val="0"/>
              <w:snapToGrid w:val="0"/>
              <w:jc w:val="center"/>
              <w:rPr>
                <w:color w:val="auto"/>
                <w:szCs w:val="21"/>
                <w:highlight w:val="none"/>
              </w:rPr>
            </w:pPr>
          </w:p>
        </w:tc>
      </w:tr>
      <w:tr w14:paraId="4E0F9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821" w:type="dxa"/>
            <w:gridSpan w:val="2"/>
            <w:tcMar>
              <w:top w:w="16" w:type="dxa"/>
              <w:left w:w="16" w:type="dxa"/>
              <w:right w:w="16" w:type="dxa"/>
            </w:tcMar>
            <w:vAlign w:val="center"/>
          </w:tcPr>
          <w:p w14:paraId="0522A27B">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建设地点</w:t>
            </w:r>
          </w:p>
        </w:tc>
        <w:tc>
          <w:tcPr>
            <w:tcW w:w="7049" w:type="dxa"/>
            <w:gridSpan w:val="3"/>
            <w:vAlign w:val="center"/>
          </w:tcPr>
          <w:p w14:paraId="5238F2D9">
            <w:pPr>
              <w:adjustRightInd w:val="0"/>
              <w:snapToGrid w:val="0"/>
              <w:jc w:val="center"/>
              <w:rPr>
                <w:color w:val="auto"/>
                <w:szCs w:val="21"/>
                <w:highlight w:val="none"/>
              </w:rPr>
            </w:pPr>
          </w:p>
        </w:tc>
      </w:tr>
      <w:tr w14:paraId="56956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1821" w:type="dxa"/>
            <w:gridSpan w:val="2"/>
            <w:tcMar>
              <w:top w:w="16" w:type="dxa"/>
              <w:left w:w="16" w:type="dxa"/>
              <w:right w:w="16" w:type="dxa"/>
            </w:tcMar>
            <w:vAlign w:val="center"/>
          </w:tcPr>
          <w:p w14:paraId="434A3C35">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7049" w:type="dxa"/>
            <w:gridSpan w:val="3"/>
            <w:vAlign w:val="center"/>
          </w:tcPr>
          <w:p w14:paraId="1A509175">
            <w:pPr>
              <w:jc w:val="center"/>
              <w:rPr>
                <w:color w:val="auto"/>
                <w:szCs w:val="21"/>
                <w:highlight w:val="none"/>
              </w:rPr>
            </w:pPr>
          </w:p>
        </w:tc>
      </w:tr>
      <w:tr w14:paraId="4FB4E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21" w:type="dxa"/>
            <w:gridSpan w:val="2"/>
            <w:tcMar>
              <w:top w:w="16" w:type="dxa"/>
              <w:left w:w="16" w:type="dxa"/>
              <w:right w:w="16" w:type="dxa"/>
            </w:tcMar>
            <w:vAlign w:val="center"/>
          </w:tcPr>
          <w:p w14:paraId="19BDB51C">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国民经济</w:t>
            </w:r>
          </w:p>
          <w:p w14:paraId="12012ADB">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p>
        </w:tc>
        <w:tc>
          <w:tcPr>
            <w:tcW w:w="2198" w:type="dxa"/>
            <w:vAlign w:val="center"/>
          </w:tcPr>
          <w:p w14:paraId="785FDC4B">
            <w:pPr>
              <w:adjustRightInd w:val="0"/>
              <w:snapToGrid w:val="0"/>
              <w:jc w:val="center"/>
              <w:rPr>
                <w:color w:val="auto"/>
                <w:szCs w:val="21"/>
                <w:highlight w:val="none"/>
              </w:rPr>
            </w:pPr>
            <w:r>
              <w:rPr>
                <w:bCs/>
                <w:color w:val="auto"/>
                <w:szCs w:val="21"/>
                <w:highlight w:val="none"/>
              </w:rPr>
              <w:t>C1391淀粉及淀粉制品制造</w:t>
            </w:r>
          </w:p>
        </w:tc>
        <w:tc>
          <w:tcPr>
            <w:tcW w:w="2212" w:type="dxa"/>
            <w:vAlign w:val="center"/>
          </w:tcPr>
          <w:p w14:paraId="7F0E8696">
            <w:pPr>
              <w:adjustRightInd w:val="0"/>
              <w:snapToGrid w:val="0"/>
              <w:jc w:val="center"/>
              <w:rPr>
                <w:color w:val="auto"/>
                <w:szCs w:val="21"/>
                <w:highlight w:val="none"/>
              </w:rPr>
            </w:pPr>
            <w:bookmarkStart w:id="0" w:name="_Hlk49843745"/>
            <w:r>
              <w:rPr>
                <w:color w:val="auto"/>
                <w:szCs w:val="21"/>
                <w:highlight w:val="none"/>
              </w:rPr>
              <w:t>建设项目</w:t>
            </w:r>
          </w:p>
          <w:p w14:paraId="0AB30DEE">
            <w:pPr>
              <w:adjustRightInd w:val="0"/>
              <w:snapToGrid w:val="0"/>
              <w:jc w:val="center"/>
              <w:rPr>
                <w:color w:val="auto"/>
                <w:szCs w:val="21"/>
                <w:highlight w:val="none"/>
              </w:rPr>
            </w:pPr>
            <w:r>
              <w:rPr>
                <w:color w:val="auto"/>
                <w:szCs w:val="21"/>
                <w:highlight w:val="none"/>
              </w:rPr>
              <w:t>行业类别</w:t>
            </w:r>
            <w:bookmarkEnd w:id="0"/>
          </w:p>
        </w:tc>
        <w:tc>
          <w:tcPr>
            <w:tcW w:w="2639" w:type="dxa"/>
            <w:vAlign w:val="center"/>
          </w:tcPr>
          <w:p w14:paraId="428080C9">
            <w:pPr>
              <w:widowControl/>
              <w:jc w:val="left"/>
              <w:rPr>
                <w:color w:val="auto"/>
                <w:szCs w:val="21"/>
                <w:highlight w:val="none"/>
              </w:rPr>
            </w:pPr>
            <w:r>
              <w:rPr>
                <w:color w:val="auto"/>
                <w:kern w:val="0"/>
                <w:szCs w:val="21"/>
                <w:highlight w:val="none"/>
                <w:lang w:bidi="ar"/>
              </w:rPr>
              <w:t>十、农副食品加工业139其他农副食品加工</w:t>
            </w:r>
          </w:p>
        </w:tc>
      </w:tr>
      <w:tr w14:paraId="16CF6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21" w:type="dxa"/>
            <w:gridSpan w:val="2"/>
            <w:tcMar>
              <w:top w:w="16" w:type="dxa"/>
              <w:left w:w="16" w:type="dxa"/>
              <w:right w:w="16" w:type="dxa"/>
            </w:tcMar>
            <w:vAlign w:val="center"/>
          </w:tcPr>
          <w:p w14:paraId="6FB0EC32">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建设性质</w:t>
            </w:r>
          </w:p>
        </w:tc>
        <w:tc>
          <w:tcPr>
            <w:tcW w:w="2198" w:type="dxa"/>
            <w:vAlign w:val="center"/>
          </w:tcPr>
          <w:p w14:paraId="78E4C35F">
            <w:pPr>
              <w:jc w:val="left"/>
              <w:rPr>
                <w:color w:val="auto"/>
                <w:szCs w:val="21"/>
                <w:highlight w:val="none"/>
              </w:rPr>
            </w:pPr>
            <w:r>
              <w:rPr>
                <w:color w:val="auto"/>
                <w:szCs w:val="21"/>
                <w:highlight w:val="none"/>
              </w:rPr>
              <w:t>☑新建（迁建）</w:t>
            </w:r>
          </w:p>
          <w:p w14:paraId="03372B1C">
            <w:pPr>
              <w:jc w:val="left"/>
              <w:rPr>
                <w:color w:val="auto"/>
                <w:szCs w:val="21"/>
                <w:highlight w:val="none"/>
              </w:rPr>
            </w:pPr>
            <w:r>
              <w:rPr>
                <w:color w:val="auto"/>
                <w:szCs w:val="21"/>
                <w:highlight w:val="none"/>
              </w:rPr>
              <w:t>□改建</w:t>
            </w:r>
          </w:p>
          <w:p w14:paraId="0523653B">
            <w:pPr>
              <w:jc w:val="left"/>
              <w:rPr>
                <w:color w:val="auto"/>
                <w:szCs w:val="21"/>
                <w:highlight w:val="none"/>
              </w:rPr>
            </w:pPr>
            <w:r>
              <w:rPr>
                <w:color w:val="auto"/>
                <w:szCs w:val="21"/>
                <w:highlight w:val="none"/>
              </w:rPr>
              <w:t>□扩建</w:t>
            </w:r>
          </w:p>
          <w:p w14:paraId="1B6890F1">
            <w:pPr>
              <w:jc w:val="left"/>
              <w:rPr>
                <w:color w:val="auto"/>
                <w:szCs w:val="21"/>
                <w:highlight w:val="none"/>
              </w:rPr>
            </w:pPr>
            <w:r>
              <w:rPr>
                <w:color w:val="auto"/>
                <w:szCs w:val="21"/>
                <w:highlight w:val="none"/>
              </w:rPr>
              <w:t>□技术改造</w:t>
            </w:r>
          </w:p>
        </w:tc>
        <w:tc>
          <w:tcPr>
            <w:tcW w:w="2212" w:type="dxa"/>
            <w:vAlign w:val="center"/>
          </w:tcPr>
          <w:p w14:paraId="007B135B">
            <w:pPr>
              <w:adjustRightInd w:val="0"/>
              <w:snapToGrid w:val="0"/>
              <w:jc w:val="center"/>
              <w:rPr>
                <w:color w:val="auto"/>
                <w:szCs w:val="21"/>
                <w:highlight w:val="none"/>
              </w:rPr>
            </w:pPr>
            <w:r>
              <w:rPr>
                <w:color w:val="auto"/>
                <w:szCs w:val="21"/>
                <w:highlight w:val="none"/>
              </w:rPr>
              <w:t>建设项目</w:t>
            </w:r>
          </w:p>
          <w:p w14:paraId="4BCB06D5">
            <w:pPr>
              <w:adjustRightInd w:val="0"/>
              <w:snapToGrid w:val="0"/>
              <w:jc w:val="center"/>
              <w:rPr>
                <w:color w:val="auto"/>
                <w:szCs w:val="21"/>
                <w:highlight w:val="none"/>
              </w:rPr>
            </w:pPr>
            <w:r>
              <w:rPr>
                <w:color w:val="auto"/>
                <w:szCs w:val="21"/>
                <w:highlight w:val="none"/>
              </w:rPr>
              <w:t>申报情形</w:t>
            </w:r>
          </w:p>
        </w:tc>
        <w:tc>
          <w:tcPr>
            <w:tcW w:w="2639" w:type="dxa"/>
            <w:vAlign w:val="center"/>
          </w:tcPr>
          <w:p w14:paraId="148326F3">
            <w:pPr>
              <w:jc w:val="left"/>
              <w:rPr>
                <w:color w:val="auto"/>
                <w:szCs w:val="21"/>
                <w:highlight w:val="none"/>
              </w:rPr>
            </w:pPr>
            <w:r>
              <w:rPr>
                <w:color w:val="auto"/>
                <w:szCs w:val="21"/>
                <w:highlight w:val="none"/>
              </w:rPr>
              <w:sym w:font="Wingdings 2" w:char="0052"/>
            </w:r>
            <w:r>
              <w:rPr>
                <w:color w:val="auto"/>
                <w:szCs w:val="21"/>
                <w:highlight w:val="none"/>
              </w:rPr>
              <w:t xml:space="preserve">首次申报项目             </w:t>
            </w:r>
          </w:p>
          <w:p w14:paraId="496CF4BA">
            <w:pPr>
              <w:jc w:val="left"/>
              <w:rPr>
                <w:color w:val="auto"/>
                <w:szCs w:val="21"/>
                <w:highlight w:val="none"/>
              </w:rPr>
            </w:pPr>
            <w:r>
              <w:rPr>
                <w:color w:val="auto"/>
                <w:szCs w:val="21"/>
                <w:highlight w:val="none"/>
              </w:rPr>
              <w:t>□不予批准后再次申报项目</w:t>
            </w:r>
          </w:p>
          <w:p w14:paraId="277DA4D7">
            <w:pPr>
              <w:jc w:val="left"/>
              <w:rPr>
                <w:color w:val="auto"/>
                <w:szCs w:val="21"/>
                <w:highlight w:val="none"/>
              </w:rPr>
            </w:pPr>
            <w:r>
              <w:rPr>
                <w:color w:val="auto"/>
                <w:szCs w:val="21"/>
                <w:highlight w:val="none"/>
              </w:rPr>
              <w:sym w:font="Wingdings 2" w:char="00A3"/>
            </w:r>
            <w:r>
              <w:rPr>
                <w:color w:val="auto"/>
                <w:szCs w:val="21"/>
                <w:highlight w:val="none"/>
              </w:rPr>
              <w:t xml:space="preserve">超五年重新审核项目     </w:t>
            </w:r>
          </w:p>
          <w:p w14:paraId="7ABD7570">
            <w:pPr>
              <w:jc w:val="left"/>
              <w:rPr>
                <w:color w:val="auto"/>
                <w:szCs w:val="21"/>
                <w:highlight w:val="none"/>
              </w:rPr>
            </w:pPr>
            <w:r>
              <w:rPr>
                <w:color w:val="auto"/>
                <w:szCs w:val="21"/>
                <w:highlight w:val="none"/>
              </w:rPr>
              <w:t>□重大变动重新报批项目</w:t>
            </w:r>
          </w:p>
        </w:tc>
      </w:tr>
      <w:tr w14:paraId="4DD88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21" w:type="dxa"/>
            <w:gridSpan w:val="2"/>
            <w:tcMar>
              <w:top w:w="16" w:type="dxa"/>
              <w:left w:w="16" w:type="dxa"/>
              <w:right w:w="16" w:type="dxa"/>
            </w:tcMar>
            <w:vAlign w:val="center"/>
          </w:tcPr>
          <w:p w14:paraId="4D54878C">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14:paraId="01066835">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备案）部门（选填）</w:t>
            </w:r>
          </w:p>
        </w:tc>
        <w:tc>
          <w:tcPr>
            <w:tcW w:w="2198" w:type="dxa"/>
            <w:vAlign w:val="center"/>
          </w:tcPr>
          <w:p w14:paraId="1E476AC6">
            <w:pPr>
              <w:adjustRightInd w:val="0"/>
              <w:snapToGrid w:val="0"/>
              <w:jc w:val="center"/>
              <w:rPr>
                <w:color w:val="auto"/>
                <w:szCs w:val="21"/>
                <w:highlight w:val="none"/>
              </w:rPr>
            </w:pPr>
            <w:r>
              <w:rPr>
                <w:color w:val="auto"/>
                <w:szCs w:val="21"/>
                <w:highlight w:val="none"/>
              </w:rPr>
              <w:t>重庆市合川区</w:t>
            </w:r>
            <w:r>
              <w:rPr>
                <w:rFonts w:hint="eastAsia"/>
                <w:color w:val="auto"/>
                <w:szCs w:val="21"/>
                <w:highlight w:val="none"/>
              </w:rPr>
              <w:t>发展</w:t>
            </w:r>
            <w:r>
              <w:rPr>
                <w:color w:val="auto"/>
                <w:szCs w:val="21"/>
                <w:highlight w:val="none"/>
              </w:rPr>
              <w:t>和改革委员会</w:t>
            </w:r>
          </w:p>
        </w:tc>
        <w:tc>
          <w:tcPr>
            <w:tcW w:w="2212" w:type="dxa"/>
            <w:vAlign w:val="center"/>
          </w:tcPr>
          <w:p w14:paraId="046EEF85">
            <w:pPr>
              <w:adjustRightInd w:val="0"/>
              <w:snapToGrid w:val="0"/>
              <w:jc w:val="center"/>
              <w:rPr>
                <w:color w:val="auto"/>
                <w:szCs w:val="21"/>
                <w:highlight w:val="none"/>
              </w:rPr>
            </w:pPr>
            <w:r>
              <w:rPr>
                <w:color w:val="auto"/>
                <w:szCs w:val="21"/>
                <w:highlight w:val="none"/>
              </w:rPr>
              <w:t>项目审批（核准/</w:t>
            </w:r>
          </w:p>
          <w:p w14:paraId="7E52733A">
            <w:pPr>
              <w:adjustRightInd w:val="0"/>
              <w:snapToGrid w:val="0"/>
              <w:jc w:val="center"/>
              <w:rPr>
                <w:color w:val="auto"/>
                <w:szCs w:val="21"/>
                <w:highlight w:val="none"/>
              </w:rPr>
            </w:pPr>
            <w:r>
              <w:rPr>
                <w:color w:val="auto"/>
                <w:szCs w:val="21"/>
                <w:highlight w:val="none"/>
              </w:rPr>
              <w:t>备案）文号（选填）</w:t>
            </w:r>
          </w:p>
        </w:tc>
        <w:tc>
          <w:tcPr>
            <w:tcW w:w="2639" w:type="dxa"/>
            <w:vAlign w:val="center"/>
          </w:tcPr>
          <w:p w14:paraId="5DB182D8">
            <w:pPr>
              <w:adjustRightInd w:val="0"/>
              <w:snapToGrid w:val="0"/>
              <w:jc w:val="center"/>
              <w:rPr>
                <w:color w:val="auto"/>
                <w:szCs w:val="21"/>
                <w:highlight w:val="none"/>
              </w:rPr>
            </w:pPr>
            <w:r>
              <w:rPr>
                <w:color w:val="auto"/>
                <w:szCs w:val="21"/>
                <w:highlight w:val="none"/>
              </w:rPr>
              <w:t>2406-500117-04-01-734779</w:t>
            </w:r>
          </w:p>
        </w:tc>
      </w:tr>
      <w:tr w14:paraId="77AEA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1" w:type="dxa"/>
            <w:gridSpan w:val="2"/>
            <w:tcMar>
              <w:top w:w="16" w:type="dxa"/>
              <w:left w:w="16" w:type="dxa"/>
              <w:right w:w="16" w:type="dxa"/>
            </w:tcMar>
            <w:vAlign w:val="center"/>
          </w:tcPr>
          <w:p w14:paraId="1DB2726E">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总投资（万元）</w:t>
            </w:r>
          </w:p>
        </w:tc>
        <w:tc>
          <w:tcPr>
            <w:tcW w:w="2198" w:type="dxa"/>
            <w:vAlign w:val="center"/>
          </w:tcPr>
          <w:p w14:paraId="5186ED27">
            <w:pPr>
              <w:adjustRightInd w:val="0"/>
              <w:snapToGrid w:val="0"/>
              <w:jc w:val="center"/>
              <w:rPr>
                <w:color w:val="auto"/>
                <w:szCs w:val="21"/>
                <w:highlight w:val="none"/>
              </w:rPr>
            </w:pPr>
            <w:r>
              <w:rPr>
                <w:color w:val="auto"/>
                <w:szCs w:val="21"/>
                <w:highlight w:val="none"/>
              </w:rPr>
              <w:t>20</w:t>
            </w:r>
          </w:p>
        </w:tc>
        <w:tc>
          <w:tcPr>
            <w:tcW w:w="2212" w:type="dxa"/>
            <w:tcMar>
              <w:top w:w="16" w:type="dxa"/>
              <w:left w:w="16" w:type="dxa"/>
              <w:right w:w="16" w:type="dxa"/>
            </w:tcMar>
            <w:vAlign w:val="center"/>
          </w:tcPr>
          <w:p w14:paraId="07C14DA1">
            <w:pPr>
              <w:adjustRightInd w:val="0"/>
              <w:snapToGrid w:val="0"/>
              <w:jc w:val="center"/>
              <w:rPr>
                <w:color w:val="auto"/>
                <w:szCs w:val="21"/>
                <w:highlight w:val="none"/>
              </w:rPr>
            </w:pPr>
            <w:r>
              <w:rPr>
                <w:color w:val="auto"/>
                <w:szCs w:val="21"/>
                <w:highlight w:val="none"/>
              </w:rPr>
              <w:t>环保投资（万元）</w:t>
            </w:r>
          </w:p>
        </w:tc>
        <w:tc>
          <w:tcPr>
            <w:tcW w:w="2639" w:type="dxa"/>
            <w:vAlign w:val="center"/>
          </w:tcPr>
          <w:p w14:paraId="3B32C0EA">
            <w:pPr>
              <w:adjustRightInd w:val="0"/>
              <w:snapToGrid w:val="0"/>
              <w:jc w:val="center"/>
              <w:rPr>
                <w:color w:val="auto"/>
                <w:szCs w:val="21"/>
                <w:highlight w:val="none"/>
              </w:rPr>
            </w:pPr>
            <w:r>
              <w:rPr>
                <w:rFonts w:hint="eastAsia"/>
                <w:color w:val="auto"/>
                <w:szCs w:val="21"/>
                <w:highlight w:val="none"/>
              </w:rPr>
              <w:t>1</w:t>
            </w:r>
          </w:p>
        </w:tc>
      </w:tr>
      <w:tr w14:paraId="53352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1" w:type="dxa"/>
            <w:gridSpan w:val="2"/>
            <w:tcMar>
              <w:top w:w="16" w:type="dxa"/>
              <w:left w:w="16" w:type="dxa"/>
              <w:right w:w="16" w:type="dxa"/>
            </w:tcMar>
            <w:vAlign w:val="center"/>
          </w:tcPr>
          <w:p w14:paraId="15563C90">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环保投资占比（</w:t>
            </w:r>
            <w:r>
              <w:rPr>
                <w:rFonts w:ascii="宋体" w:hAnsi="宋体" w:cs="宋体"/>
                <w:color w:val="auto"/>
                <w:szCs w:val="21"/>
                <w:highlight w:val="none"/>
              </w:rPr>
              <w:t>%</w:t>
            </w:r>
            <w:r>
              <w:rPr>
                <w:rFonts w:hint="eastAsia" w:ascii="宋体" w:hAnsi="宋体" w:cs="宋体"/>
                <w:color w:val="auto"/>
                <w:szCs w:val="21"/>
                <w:highlight w:val="none"/>
              </w:rPr>
              <w:t>）</w:t>
            </w:r>
          </w:p>
        </w:tc>
        <w:tc>
          <w:tcPr>
            <w:tcW w:w="2198" w:type="dxa"/>
            <w:vAlign w:val="center"/>
          </w:tcPr>
          <w:p w14:paraId="7E6EF912">
            <w:pPr>
              <w:adjustRightInd w:val="0"/>
              <w:snapToGrid w:val="0"/>
              <w:jc w:val="center"/>
              <w:rPr>
                <w:color w:val="auto"/>
                <w:szCs w:val="21"/>
                <w:highlight w:val="none"/>
              </w:rPr>
            </w:pPr>
            <w:r>
              <w:rPr>
                <w:rFonts w:hint="eastAsia"/>
                <w:color w:val="auto"/>
                <w:szCs w:val="21"/>
                <w:highlight w:val="none"/>
              </w:rPr>
              <w:t>5</w:t>
            </w:r>
          </w:p>
        </w:tc>
        <w:tc>
          <w:tcPr>
            <w:tcW w:w="2212" w:type="dxa"/>
            <w:tcMar>
              <w:top w:w="16" w:type="dxa"/>
              <w:left w:w="16" w:type="dxa"/>
              <w:right w:w="16" w:type="dxa"/>
            </w:tcMar>
            <w:vAlign w:val="center"/>
          </w:tcPr>
          <w:p w14:paraId="5EA08E04">
            <w:pPr>
              <w:adjustRightInd w:val="0"/>
              <w:snapToGrid w:val="0"/>
              <w:jc w:val="center"/>
              <w:rPr>
                <w:color w:val="auto"/>
                <w:szCs w:val="21"/>
                <w:highlight w:val="none"/>
              </w:rPr>
            </w:pPr>
            <w:r>
              <w:rPr>
                <w:color w:val="auto"/>
                <w:szCs w:val="21"/>
                <w:highlight w:val="none"/>
              </w:rPr>
              <w:t>施工工期</w:t>
            </w:r>
          </w:p>
        </w:tc>
        <w:tc>
          <w:tcPr>
            <w:tcW w:w="2639" w:type="dxa"/>
            <w:vAlign w:val="center"/>
          </w:tcPr>
          <w:p w14:paraId="53CA6C15">
            <w:pPr>
              <w:adjustRightInd w:val="0"/>
              <w:snapToGrid w:val="0"/>
              <w:jc w:val="center"/>
              <w:rPr>
                <w:color w:val="auto"/>
                <w:szCs w:val="21"/>
                <w:highlight w:val="none"/>
              </w:rPr>
            </w:pPr>
            <w:r>
              <w:rPr>
                <w:color w:val="auto"/>
                <w:szCs w:val="21"/>
                <w:highlight w:val="none"/>
              </w:rPr>
              <w:t>2个月</w:t>
            </w:r>
          </w:p>
        </w:tc>
      </w:tr>
      <w:tr w14:paraId="61B51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9" w:hRule="atLeast"/>
          <w:jc w:val="center"/>
        </w:trPr>
        <w:tc>
          <w:tcPr>
            <w:tcW w:w="1821" w:type="dxa"/>
            <w:gridSpan w:val="2"/>
            <w:tcMar>
              <w:top w:w="16" w:type="dxa"/>
              <w:left w:w="16" w:type="dxa"/>
              <w:right w:w="16" w:type="dxa"/>
            </w:tcMar>
            <w:vAlign w:val="center"/>
          </w:tcPr>
          <w:p w14:paraId="1EC48451">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是否开工建设</w:t>
            </w:r>
          </w:p>
        </w:tc>
        <w:tc>
          <w:tcPr>
            <w:tcW w:w="2198" w:type="dxa"/>
            <w:vAlign w:val="center"/>
          </w:tcPr>
          <w:p w14:paraId="6CEC4050">
            <w:pPr>
              <w:adjustRightInd w:val="0"/>
              <w:snapToGrid w:val="0"/>
              <w:rPr>
                <w:color w:val="auto"/>
                <w:szCs w:val="21"/>
                <w:highlight w:val="none"/>
              </w:rPr>
            </w:pPr>
            <w:r>
              <w:rPr>
                <w:color w:val="auto"/>
                <w:szCs w:val="21"/>
                <w:highlight w:val="none"/>
              </w:rPr>
              <w:sym w:font="Wingdings 2" w:char="0052"/>
            </w:r>
            <w:r>
              <w:rPr>
                <w:color w:val="auto"/>
                <w:szCs w:val="21"/>
                <w:highlight w:val="none"/>
              </w:rPr>
              <w:t>否</w:t>
            </w:r>
          </w:p>
          <w:p w14:paraId="0DBCD343">
            <w:pPr>
              <w:adjustRightInd w:val="0"/>
              <w:snapToGrid w:val="0"/>
              <w:rPr>
                <w:color w:val="auto"/>
                <w:szCs w:val="21"/>
                <w:highlight w:val="none"/>
              </w:rPr>
            </w:pPr>
            <w:r>
              <w:rPr>
                <w:color w:val="auto"/>
                <w:szCs w:val="21"/>
                <w:highlight w:val="none"/>
              </w:rPr>
              <w:sym w:font="Wingdings 2" w:char="00A3"/>
            </w:r>
            <w:r>
              <w:rPr>
                <w:color w:val="auto"/>
                <w:szCs w:val="21"/>
                <w:highlight w:val="none"/>
              </w:rPr>
              <w:t>是：</w:t>
            </w:r>
            <w:r>
              <w:rPr>
                <w:color w:val="auto"/>
                <w:szCs w:val="21"/>
                <w:highlight w:val="none"/>
                <w:u w:val="single"/>
              </w:rPr>
              <w:t xml:space="preserve">             </w:t>
            </w:r>
          </w:p>
        </w:tc>
        <w:tc>
          <w:tcPr>
            <w:tcW w:w="2212" w:type="dxa"/>
            <w:tcMar>
              <w:top w:w="16" w:type="dxa"/>
              <w:left w:w="16" w:type="dxa"/>
              <w:right w:w="16" w:type="dxa"/>
            </w:tcMar>
            <w:vAlign w:val="center"/>
          </w:tcPr>
          <w:p w14:paraId="574D0BC9">
            <w:pPr>
              <w:adjustRightInd w:val="0"/>
              <w:snapToGrid w:val="0"/>
              <w:jc w:val="center"/>
              <w:rPr>
                <w:color w:val="auto"/>
                <w:spacing w:val="-6"/>
                <w:szCs w:val="21"/>
                <w:highlight w:val="none"/>
              </w:rPr>
            </w:pPr>
            <w:r>
              <w:rPr>
                <w:color w:val="auto"/>
                <w:spacing w:val="-6"/>
                <w:szCs w:val="21"/>
                <w:highlight w:val="none"/>
              </w:rPr>
              <w:t>用地（用海）</w:t>
            </w:r>
          </w:p>
          <w:p w14:paraId="3854AC4C">
            <w:pPr>
              <w:adjustRightInd w:val="0"/>
              <w:snapToGrid w:val="0"/>
              <w:jc w:val="center"/>
              <w:rPr>
                <w:color w:val="auto"/>
                <w:szCs w:val="21"/>
                <w:highlight w:val="none"/>
              </w:rPr>
            </w:pPr>
            <w:r>
              <w:rPr>
                <w:color w:val="auto"/>
                <w:spacing w:val="-6"/>
                <w:szCs w:val="21"/>
                <w:highlight w:val="none"/>
              </w:rPr>
              <w:t>面积（m</w:t>
            </w:r>
            <w:r>
              <w:rPr>
                <w:color w:val="auto"/>
                <w:spacing w:val="-6"/>
                <w:szCs w:val="21"/>
                <w:highlight w:val="none"/>
                <w:vertAlign w:val="superscript"/>
              </w:rPr>
              <w:t>2</w:t>
            </w:r>
            <w:r>
              <w:rPr>
                <w:color w:val="auto"/>
                <w:spacing w:val="-6"/>
                <w:szCs w:val="21"/>
                <w:highlight w:val="none"/>
              </w:rPr>
              <w:t>）</w:t>
            </w:r>
          </w:p>
        </w:tc>
        <w:tc>
          <w:tcPr>
            <w:tcW w:w="2639" w:type="dxa"/>
            <w:vAlign w:val="center"/>
          </w:tcPr>
          <w:p w14:paraId="58EEB2ED">
            <w:pPr>
              <w:adjustRightInd w:val="0"/>
              <w:snapToGrid w:val="0"/>
              <w:jc w:val="center"/>
              <w:rPr>
                <w:color w:val="auto"/>
                <w:szCs w:val="21"/>
                <w:highlight w:val="none"/>
              </w:rPr>
            </w:pPr>
            <w:r>
              <w:rPr>
                <w:color w:val="auto"/>
                <w:szCs w:val="21"/>
                <w:highlight w:val="none"/>
              </w:rPr>
              <w:t>1100</w:t>
            </w:r>
            <w:r>
              <w:rPr>
                <w:rFonts w:hint="eastAsia"/>
                <w:color w:val="auto"/>
                <w:szCs w:val="21"/>
                <w:highlight w:val="none"/>
              </w:rPr>
              <w:t>（租赁已建厂房）</w:t>
            </w:r>
          </w:p>
        </w:tc>
      </w:tr>
      <w:tr w14:paraId="68F8D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4" w:hRule="atLeast"/>
          <w:jc w:val="center"/>
        </w:trPr>
        <w:tc>
          <w:tcPr>
            <w:tcW w:w="516" w:type="dxa"/>
            <w:vAlign w:val="center"/>
          </w:tcPr>
          <w:p w14:paraId="4B652A1A">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专项评价设置情况</w:t>
            </w:r>
          </w:p>
        </w:tc>
        <w:tc>
          <w:tcPr>
            <w:tcW w:w="8354" w:type="dxa"/>
            <w:gridSpan w:val="4"/>
            <w:vAlign w:val="center"/>
          </w:tcPr>
          <w:p w14:paraId="773B7B23">
            <w:pPr>
              <w:widowControl/>
              <w:spacing w:line="440" w:lineRule="exact"/>
              <w:ind w:firstLine="480" w:firstLineChars="200"/>
              <w:rPr>
                <w:color w:val="auto"/>
                <w:sz w:val="24"/>
                <w:highlight w:val="none"/>
              </w:rPr>
            </w:pPr>
            <w:r>
              <w:rPr>
                <w:color w:val="auto"/>
                <w:sz w:val="24"/>
                <w:highlight w:val="none"/>
              </w:rPr>
              <w:t>对照《建设项目环境影响报告表编制技术指南（污染影响类）（试行）》中</w:t>
            </w:r>
            <w:r>
              <w:rPr>
                <w:rFonts w:hint="eastAsia"/>
                <w:color w:val="auto"/>
                <w:sz w:val="24"/>
                <w:highlight w:val="none"/>
              </w:rPr>
              <w:t>“</w:t>
            </w:r>
            <w:r>
              <w:rPr>
                <w:color w:val="auto"/>
                <w:sz w:val="24"/>
                <w:highlight w:val="none"/>
              </w:rPr>
              <w:t>表1专项评价设置原则表</w:t>
            </w:r>
            <w:r>
              <w:rPr>
                <w:rFonts w:hint="eastAsia"/>
                <w:color w:val="auto"/>
                <w:sz w:val="24"/>
                <w:highlight w:val="none"/>
              </w:rPr>
              <w:t>”</w:t>
            </w:r>
            <w:r>
              <w:rPr>
                <w:color w:val="auto"/>
                <w:sz w:val="24"/>
                <w:highlight w:val="none"/>
              </w:rPr>
              <w:t>，</w:t>
            </w:r>
            <w:r>
              <w:rPr>
                <w:rFonts w:hint="eastAsia"/>
                <w:color w:val="auto"/>
                <w:sz w:val="24"/>
                <w:highlight w:val="none"/>
              </w:rPr>
              <w:t>本</w:t>
            </w:r>
            <w:r>
              <w:rPr>
                <w:color w:val="auto"/>
                <w:sz w:val="24"/>
                <w:highlight w:val="none"/>
              </w:rPr>
              <w:t>项目不开展土壤、声环境专项评价，大气、地表水、环境风险、生态、海洋以及地下水是否开展专项评价情况见表1-1</w:t>
            </w:r>
            <w:r>
              <w:rPr>
                <w:rFonts w:hint="eastAsia"/>
                <w:color w:val="auto"/>
                <w:sz w:val="24"/>
                <w:highlight w:val="none"/>
              </w:rPr>
              <w:t>：</w:t>
            </w:r>
          </w:p>
          <w:p w14:paraId="1C1B509F">
            <w:pPr>
              <w:widowControl/>
              <w:spacing w:line="440" w:lineRule="exact"/>
              <w:jc w:val="center"/>
              <w:rPr>
                <w:b/>
                <w:bCs/>
                <w:color w:val="auto"/>
                <w:sz w:val="24"/>
                <w:highlight w:val="none"/>
              </w:rPr>
            </w:pPr>
            <w:r>
              <w:rPr>
                <w:rFonts w:hint="eastAsia"/>
                <w:b/>
                <w:bCs/>
                <w:color w:val="auto"/>
                <w:sz w:val="24"/>
                <w:highlight w:val="none"/>
              </w:rPr>
              <w:t>表1-1 专项评价设置原则表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3761"/>
              <w:gridCol w:w="2184"/>
            </w:tblGrid>
            <w:tr w14:paraId="116F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3" w:type="dxa"/>
                  <w:vAlign w:val="center"/>
                </w:tcPr>
                <w:p w14:paraId="4FCA2BC9">
                  <w:pPr>
                    <w:widowControl/>
                    <w:jc w:val="center"/>
                    <w:rPr>
                      <w:color w:val="auto"/>
                      <w:szCs w:val="21"/>
                      <w:highlight w:val="none"/>
                    </w:rPr>
                  </w:pPr>
                  <w:r>
                    <w:rPr>
                      <w:rFonts w:hint="eastAsia"/>
                      <w:color w:val="auto"/>
                      <w:szCs w:val="21"/>
                      <w:highlight w:val="none"/>
                    </w:rPr>
                    <w:t>专项评价的类别</w:t>
                  </w:r>
                </w:p>
              </w:tc>
              <w:tc>
                <w:tcPr>
                  <w:tcW w:w="3761" w:type="dxa"/>
                  <w:vAlign w:val="center"/>
                </w:tcPr>
                <w:p w14:paraId="44D394B5">
                  <w:pPr>
                    <w:widowControl/>
                    <w:jc w:val="center"/>
                    <w:rPr>
                      <w:color w:val="auto"/>
                      <w:szCs w:val="21"/>
                      <w:highlight w:val="none"/>
                    </w:rPr>
                  </w:pPr>
                  <w:r>
                    <w:rPr>
                      <w:rFonts w:hint="eastAsia"/>
                      <w:color w:val="auto"/>
                      <w:szCs w:val="21"/>
                      <w:highlight w:val="none"/>
                    </w:rPr>
                    <w:t>设置原则</w:t>
                  </w:r>
                </w:p>
              </w:tc>
              <w:tc>
                <w:tcPr>
                  <w:tcW w:w="2184" w:type="dxa"/>
                  <w:vAlign w:val="center"/>
                </w:tcPr>
                <w:p w14:paraId="48ED5A45">
                  <w:pPr>
                    <w:widowControl/>
                    <w:jc w:val="center"/>
                    <w:rPr>
                      <w:color w:val="auto"/>
                      <w:szCs w:val="21"/>
                      <w:highlight w:val="none"/>
                    </w:rPr>
                  </w:pPr>
                  <w:r>
                    <w:rPr>
                      <w:rFonts w:hint="eastAsia"/>
                      <w:color w:val="auto"/>
                      <w:szCs w:val="21"/>
                      <w:highlight w:val="none"/>
                    </w:rPr>
                    <w:t>本项目情况</w:t>
                  </w:r>
                </w:p>
              </w:tc>
            </w:tr>
            <w:tr w14:paraId="2CF9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2183" w:type="dxa"/>
                  <w:vAlign w:val="center"/>
                </w:tcPr>
                <w:p w14:paraId="5077E50F">
                  <w:pPr>
                    <w:widowControl/>
                    <w:jc w:val="center"/>
                    <w:rPr>
                      <w:color w:val="auto"/>
                      <w:szCs w:val="21"/>
                      <w:highlight w:val="none"/>
                    </w:rPr>
                  </w:pPr>
                  <w:r>
                    <w:rPr>
                      <w:rFonts w:hint="eastAsia"/>
                      <w:color w:val="auto"/>
                      <w:szCs w:val="21"/>
                      <w:highlight w:val="none"/>
                    </w:rPr>
                    <w:t>大气</w:t>
                  </w:r>
                </w:p>
              </w:tc>
              <w:tc>
                <w:tcPr>
                  <w:tcW w:w="3761" w:type="dxa"/>
                  <w:vAlign w:val="center"/>
                </w:tcPr>
                <w:p w14:paraId="498D7538">
                  <w:pPr>
                    <w:widowControl/>
                    <w:jc w:val="left"/>
                    <w:rPr>
                      <w:color w:val="auto"/>
                      <w:szCs w:val="21"/>
                      <w:highlight w:val="none"/>
                    </w:rPr>
                  </w:pPr>
                  <w:r>
                    <w:rPr>
                      <w:color w:val="auto"/>
                      <w:kern w:val="0"/>
                      <w:szCs w:val="21"/>
                      <w:highlight w:val="none"/>
                      <w:lang w:bidi="ar"/>
                    </w:rPr>
                    <w:t>排放废气含有毒有害污染物</w:t>
                  </w:r>
                  <w:r>
                    <w:rPr>
                      <w:color w:val="auto"/>
                      <w:kern w:val="0"/>
                      <w:szCs w:val="21"/>
                      <w:highlight w:val="none"/>
                      <w:vertAlign w:val="superscript"/>
                      <w:lang w:bidi="ar"/>
                    </w:rPr>
                    <w:t>1</w:t>
                  </w:r>
                  <w:r>
                    <w:rPr>
                      <w:color w:val="auto"/>
                      <w:kern w:val="0"/>
                      <w:szCs w:val="21"/>
                      <w:highlight w:val="none"/>
                      <w:lang w:bidi="ar"/>
                    </w:rPr>
                    <w:t>、二噁英、苯并[</w:t>
                  </w:r>
                  <w:r>
                    <w:rPr>
                      <w:rFonts w:hint="eastAsia" w:ascii="宋体" w:hAnsi="宋体" w:cs="宋体"/>
                      <w:i/>
                      <w:iCs/>
                      <w:color w:val="auto"/>
                      <w:kern w:val="0"/>
                      <w:szCs w:val="21"/>
                      <w:highlight w:val="none"/>
                      <w:lang w:bidi="ar"/>
                    </w:rPr>
                    <w:t>a</w:t>
                  </w:r>
                  <w:r>
                    <w:rPr>
                      <w:color w:val="auto"/>
                      <w:kern w:val="0"/>
                      <w:szCs w:val="21"/>
                      <w:highlight w:val="none"/>
                      <w:lang w:bidi="ar"/>
                    </w:rPr>
                    <w:t>]芘、氰化物、氯气且厂界外500米范围内有环境空气保护目标</w:t>
                  </w:r>
                  <w:r>
                    <w:rPr>
                      <w:color w:val="auto"/>
                      <w:kern w:val="0"/>
                      <w:szCs w:val="21"/>
                      <w:highlight w:val="none"/>
                      <w:vertAlign w:val="superscript"/>
                      <w:lang w:bidi="ar"/>
                    </w:rPr>
                    <w:t>2</w:t>
                  </w:r>
                  <w:r>
                    <w:rPr>
                      <w:color w:val="auto"/>
                      <w:kern w:val="0"/>
                      <w:szCs w:val="21"/>
                      <w:highlight w:val="none"/>
                      <w:lang w:bidi="ar"/>
                    </w:rPr>
                    <w:t>的建设项目</w:t>
                  </w:r>
                </w:p>
              </w:tc>
              <w:tc>
                <w:tcPr>
                  <w:tcW w:w="2184" w:type="dxa"/>
                  <w:vAlign w:val="center"/>
                </w:tcPr>
                <w:p w14:paraId="780E1F84">
                  <w:pPr>
                    <w:widowControl/>
                    <w:jc w:val="center"/>
                    <w:rPr>
                      <w:color w:val="auto"/>
                      <w:szCs w:val="21"/>
                      <w:highlight w:val="none"/>
                    </w:rPr>
                  </w:pPr>
                  <w:r>
                    <w:rPr>
                      <w:rFonts w:hint="eastAsia"/>
                      <w:color w:val="auto"/>
                      <w:szCs w:val="21"/>
                      <w:highlight w:val="none"/>
                    </w:rPr>
                    <w:t>项目</w:t>
                  </w:r>
                  <w:r>
                    <w:rPr>
                      <w:color w:val="auto"/>
                      <w:szCs w:val="21"/>
                      <w:highlight w:val="none"/>
                    </w:rPr>
                    <w:t>营运期废气污染物因子</w:t>
                  </w:r>
                  <w:r>
                    <w:rPr>
                      <w:rFonts w:hint="eastAsia"/>
                      <w:color w:val="auto"/>
                      <w:szCs w:val="21"/>
                      <w:highlight w:val="none"/>
                    </w:rPr>
                    <w:t>不</w:t>
                  </w:r>
                  <w:r>
                    <w:rPr>
                      <w:color w:val="auto"/>
                      <w:szCs w:val="21"/>
                      <w:highlight w:val="none"/>
                    </w:rPr>
                    <w:t>含有毒有害污染物</w:t>
                  </w:r>
                  <w:r>
                    <w:rPr>
                      <w:color w:val="auto"/>
                      <w:szCs w:val="21"/>
                      <w:highlight w:val="none"/>
                      <w:vertAlign w:val="superscript"/>
                    </w:rPr>
                    <w:t>1</w:t>
                  </w:r>
                  <w:r>
                    <w:rPr>
                      <w:rFonts w:hint="eastAsia"/>
                      <w:color w:val="auto"/>
                      <w:szCs w:val="21"/>
                      <w:highlight w:val="none"/>
                    </w:rPr>
                    <w:t>，</w:t>
                  </w:r>
                  <w:r>
                    <w:rPr>
                      <w:color w:val="auto"/>
                      <w:szCs w:val="21"/>
                      <w:highlight w:val="none"/>
                    </w:rPr>
                    <w:t>故无需开展大气专项评价</w:t>
                  </w:r>
                </w:p>
              </w:tc>
            </w:tr>
            <w:tr w14:paraId="024D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3" w:type="dxa"/>
                  <w:vAlign w:val="center"/>
                </w:tcPr>
                <w:p w14:paraId="3CAC64E7">
                  <w:pPr>
                    <w:widowControl/>
                    <w:jc w:val="center"/>
                    <w:rPr>
                      <w:color w:val="auto"/>
                      <w:szCs w:val="21"/>
                      <w:highlight w:val="none"/>
                    </w:rPr>
                  </w:pPr>
                  <w:r>
                    <w:rPr>
                      <w:rFonts w:hint="eastAsia"/>
                      <w:color w:val="auto"/>
                      <w:szCs w:val="21"/>
                      <w:highlight w:val="none"/>
                    </w:rPr>
                    <w:t>地表水</w:t>
                  </w:r>
                </w:p>
              </w:tc>
              <w:tc>
                <w:tcPr>
                  <w:tcW w:w="3761" w:type="dxa"/>
                  <w:vAlign w:val="center"/>
                </w:tcPr>
                <w:p w14:paraId="7355D77D">
                  <w:pPr>
                    <w:widowControl/>
                    <w:jc w:val="center"/>
                    <w:rPr>
                      <w:color w:val="auto"/>
                      <w:szCs w:val="21"/>
                      <w:highlight w:val="none"/>
                    </w:rPr>
                  </w:pPr>
                  <w:r>
                    <w:rPr>
                      <w:rFonts w:hint="eastAsia" w:ascii="宋体" w:hAnsi="宋体" w:cs="宋体"/>
                      <w:color w:val="auto"/>
                      <w:kern w:val="0"/>
                      <w:szCs w:val="21"/>
                      <w:highlight w:val="none"/>
                      <w:lang w:bidi="ar"/>
                    </w:rPr>
                    <w:t>新增工业废水直排建设项目（槽罐车外送污水处理厂的除外）；新增废水直排的污水集中处理厂</w:t>
                  </w:r>
                </w:p>
              </w:tc>
              <w:tc>
                <w:tcPr>
                  <w:tcW w:w="2184" w:type="dxa"/>
                  <w:vAlign w:val="center"/>
                </w:tcPr>
                <w:p w14:paraId="042CB439">
                  <w:pPr>
                    <w:widowControl/>
                    <w:jc w:val="center"/>
                    <w:rPr>
                      <w:color w:val="auto"/>
                      <w:szCs w:val="21"/>
                      <w:highlight w:val="none"/>
                    </w:rPr>
                  </w:pPr>
                  <w:r>
                    <w:rPr>
                      <w:rFonts w:hint="eastAsia"/>
                      <w:color w:val="auto"/>
                      <w:szCs w:val="21"/>
                      <w:highlight w:val="none"/>
                    </w:rPr>
                    <w:t>本项目</w:t>
                  </w:r>
                  <w:r>
                    <w:rPr>
                      <w:rFonts w:hint="eastAsia"/>
                      <w:color w:val="auto"/>
                      <w:highlight w:val="none"/>
                    </w:rPr>
                    <w:t>生产废水经自建污水处理设施处理达《淀粉工业水污染物排放限值》（GB25461-2010）表2中的间接排放标准后排入龙市镇工业污水处理厂，属于间接排放</w:t>
                  </w:r>
                  <w:r>
                    <w:rPr>
                      <w:rFonts w:hint="eastAsia"/>
                      <w:color w:val="auto"/>
                      <w:szCs w:val="21"/>
                      <w:highlight w:val="none"/>
                    </w:rPr>
                    <w:t>，故无需开展地表水专项评价</w:t>
                  </w:r>
                </w:p>
              </w:tc>
            </w:tr>
            <w:tr w14:paraId="2AF6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3" w:type="dxa"/>
                  <w:vAlign w:val="center"/>
                </w:tcPr>
                <w:p w14:paraId="06009CBF">
                  <w:pPr>
                    <w:widowControl/>
                    <w:jc w:val="center"/>
                    <w:rPr>
                      <w:color w:val="auto"/>
                      <w:szCs w:val="21"/>
                      <w:highlight w:val="none"/>
                    </w:rPr>
                  </w:pPr>
                  <w:r>
                    <w:rPr>
                      <w:rFonts w:hint="eastAsia"/>
                      <w:color w:val="auto"/>
                      <w:szCs w:val="21"/>
                      <w:highlight w:val="none"/>
                    </w:rPr>
                    <w:t>环境风险</w:t>
                  </w:r>
                </w:p>
              </w:tc>
              <w:tc>
                <w:tcPr>
                  <w:tcW w:w="3761" w:type="dxa"/>
                  <w:vAlign w:val="center"/>
                </w:tcPr>
                <w:p w14:paraId="77C39A81">
                  <w:pPr>
                    <w:widowControl/>
                    <w:jc w:val="center"/>
                    <w:rPr>
                      <w:color w:val="auto"/>
                      <w:szCs w:val="21"/>
                      <w:highlight w:val="none"/>
                    </w:rPr>
                  </w:pPr>
                  <w:r>
                    <w:rPr>
                      <w:color w:val="auto"/>
                      <w:kern w:val="0"/>
                      <w:szCs w:val="21"/>
                      <w:highlight w:val="none"/>
                      <w:lang w:bidi="ar"/>
                    </w:rPr>
                    <w:t>有毒有害和易燃易爆危险物质存储量超过临界量</w:t>
                  </w:r>
                  <w:r>
                    <w:rPr>
                      <w:color w:val="auto"/>
                      <w:kern w:val="0"/>
                      <w:szCs w:val="21"/>
                      <w:highlight w:val="none"/>
                      <w:vertAlign w:val="superscript"/>
                      <w:lang w:bidi="ar"/>
                    </w:rPr>
                    <w:t>3</w:t>
                  </w:r>
                  <w:r>
                    <w:rPr>
                      <w:color w:val="auto"/>
                      <w:kern w:val="0"/>
                      <w:szCs w:val="21"/>
                      <w:highlight w:val="none"/>
                      <w:lang w:bidi="ar"/>
                    </w:rPr>
                    <w:t>的建设项目</w:t>
                  </w:r>
                </w:p>
              </w:tc>
              <w:tc>
                <w:tcPr>
                  <w:tcW w:w="2184" w:type="dxa"/>
                  <w:vAlign w:val="center"/>
                </w:tcPr>
                <w:p w14:paraId="13945040">
                  <w:pPr>
                    <w:widowControl/>
                    <w:jc w:val="center"/>
                    <w:rPr>
                      <w:color w:val="auto"/>
                      <w:szCs w:val="21"/>
                      <w:highlight w:val="none"/>
                    </w:rPr>
                  </w:pPr>
                  <w:r>
                    <w:rPr>
                      <w:rFonts w:hint="eastAsia"/>
                      <w:color w:val="auto"/>
                      <w:szCs w:val="21"/>
                      <w:highlight w:val="none"/>
                    </w:rPr>
                    <w:t>本项目不涉及</w:t>
                  </w:r>
                  <w:r>
                    <w:rPr>
                      <w:color w:val="auto"/>
                      <w:kern w:val="0"/>
                      <w:szCs w:val="21"/>
                      <w:highlight w:val="none"/>
                      <w:lang w:bidi="ar"/>
                    </w:rPr>
                    <w:t>有毒有害和易燃易爆危险物质</w:t>
                  </w:r>
                  <w:r>
                    <w:rPr>
                      <w:rFonts w:hint="eastAsia"/>
                      <w:color w:val="auto"/>
                      <w:kern w:val="0"/>
                      <w:szCs w:val="21"/>
                      <w:highlight w:val="none"/>
                      <w:lang w:bidi="ar"/>
                    </w:rPr>
                    <w:t>的存储，故无需开展环境风险专项评价</w:t>
                  </w:r>
                </w:p>
              </w:tc>
            </w:tr>
            <w:tr w14:paraId="22E8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3" w:type="dxa"/>
                  <w:vAlign w:val="center"/>
                </w:tcPr>
                <w:p w14:paraId="351B5D82">
                  <w:pPr>
                    <w:widowControl/>
                    <w:jc w:val="center"/>
                    <w:rPr>
                      <w:color w:val="auto"/>
                      <w:szCs w:val="21"/>
                      <w:highlight w:val="none"/>
                    </w:rPr>
                  </w:pPr>
                  <w:r>
                    <w:rPr>
                      <w:rFonts w:hint="eastAsia"/>
                      <w:color w:val="auto"/>
                      <w:szCs w:val="21"/>
                      <w:highlight w:val="none"/>
                    </w:rPr>
                    <w:t>生态</w:t>
                  </w:r>
                </w:p>
              </w:tc>
              <w:tc>
                <w:tcPr>
                  <w:tcW w:w="3761" w:type="dxa"/>
                  <w:vAlign w:val="center"/>
                </w:tcPr>
                <w:p w14:paraId="32D85832">
                  <w:pPr>
                    <w:widowControl/>
                    <w:jc w:val="center"/>
                    <w:rPr>
                      <w:color w:val="auto"/>
                      <w:szCs w:val="21"/>
                      <w:highlight w:val="none"/>
                    </w:rPr>
                  </w:pPr>
                  <w:r>
                    <w:rPr>
                      <w:color w:val="auto"/>
                      <w:szCs w:val="21"/>
                      <w:highlight w:val="none"/>
                    </w:rPr>
                    <w:t>取水口下游 500 米范围内有重要水生生物的自然产卵场、索饵场、越冬场和洄游通道的新增河道取水的污染类建设项目</w:t>
                  </w:r>
                </w:p>
              </w:tc>
              <w:tc>
                <w:tcPr>
                  <w:tcW w:w="2184" w:type="dxa"/>
                  <w:vAlign w:val="center"/>
                </w:tcPr>
                <w:p w14:paraId="254D10F5">
                  <w:pPr>
                    <w:widowControl/>
                    <w:jc w:val="center"/>
                    <w:rPr>
                      <w:color w:val="auto"/>
                      <w:szCs w:val="21"/>
                      <w:highlight w:val="none"/>
                    </w:rPr>
                  </w:pPr>
                  <w:r>
                    <w:rPr>
                      <w:color w:val="auto"/>
                      <w:szCs w:val="21"/>
                      <w:highlight w:val="none"/>
                    </w:rPr>
                    <w:t>项目用水均由市政管网供水，无取水口。故无需开展生态专项评价。</w:t>
                  </w:r>
                </w:p>
              </w:tc>
            </w:tr>
            <w:tr w14:paraId="6801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3" w:type="dxa"/>
                  <w:vAlign w:val="center"/>
                </w:tcPr>
                <w:p w14:paraId="43FCD981">
                  <w:pPr>
                    <w:widowControl/>
                    <w:jc w:val="center"/>
                    <w:rPr>
                      <w:color w:val="auto"/>
                      <w:szCs w:val="21"/>
                      <w:highlight w:val="none"/>
                    </w:rPr>
                  </w:pPr>
                  <w:r>
                    <w:rPr>
                      <w:rFonts w:hint="eastAsia"/>
                      <w:color w:val="auto"/>
                      <w:szCs w:val="21"/>
                      <w:highlight w:val="none"/>
                    </w:rPr>
                    <w:t>海洋</w:t>
                  </w:r>
                </w:p>
              </w:tc>
              <w:tc>
                <w:tcPr>
                  <w:tcW w:w="3761" w:type="dxa"/>
                  <w:vAlign w:val="center"/>
                </w:tcPr>
                <w:p w14:paraId="5714A2B1">
                  <w:pPr>
                    <w:widowControl/>
                    <w:jc w:val="center"/>
                    <w:rPr>
                      <w:color w:val="auto"/>
                      <w:szCs w:val="21"/>
                      <w:highlight w:val="none"/>
                    </w:rPr>
                  </w:pPr>
                  <w:r>
                    <w:rPr>
                      <w:color w:val="auto"/>
                      <w:szCs w:val="21"/>
                      <w:highlight w:val="none"/>
                    </w:rPr>
                    <w:t>直接向海排放污染物的海洋工程建设项目</w:t>
                  </w:r>
                </w:p>
              </w:tc>
              <w:tc>
                <w:tcPr>
                  <w:tcW w:w="2184" w:type="dxa"/>
                  <w:vAlign w:val="center"/>
                </w:tcPr>
                <w:p w14:paraId="3352BA32">
                  <w:pPr>
                    <w:widowControl/>
                    <w:jc w:val="center"/>
                    <w:rPr>
                      <w:color w:val="auto"/>
                      <w:szCs w:val="21"/>
                      <w:highlight w:val="none"/>
                    </w:rPr>
                  </w:pPr>
                  <w:r>
                    <w:rPr>
                      <w:rFonts w:hint="eastAsia"/>
                      <w:color w:val="auto"/>
                      <w:szCs w:val="21"/>
                      <w:highlight w:val="none"/>
                    </w:rPr>
                    <w:t>项目</w:t>
                  </w:r>
                  <w:r>
                    <w:rPr>
                      <w:color w:val="auto"/>
                      <w:szCs w:val="21"/>
                      <w:highlight w:val="none"/>
                    </w:rPr>
                    <w:t>不属于海洋工程建设项目，故无需开展海洋专项评价</w:t>
                  </w:r>
                </w:p>
              </w:tc>
            </w:tr>
            <w:tr w14:paraId="63B7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8" w:type="dxa"/>
                  <w:gridSpan w:val="3"/>
                  <w:vAlign w:val="center"/>
                </w:tcPr>
                <w:p w14:paraId="2A82BEAA">
                  <w:pPr>
                    <w:autoSpaceDE w:val="0"/>
                    <w:autoSpaceDN w:val="0"/>
                    <w:adjustRightInd w:val="0"/>
                    <w:snapToGrid w:val="0"/>
                    <w:spacing w:line="460" w:lineRule="exact"/>
                    <w:rPr>
                      <w:rFonts w:ascii="宋体" w:hAnsi="宋体" w:cs="宋体"/>
                      <w:color w:val="auto"/>
                      <w:kern w:val="0"/>
                      <w:szCs w:val="21"/>
                      <w:highlight w:val="none"/>
                    </w:rPr>
                  </w:pPr>
                  <w:r>
                    <w:rPr>
                      <w:rFonts w:hint="eastAsia" w:ascii="宋体" w:hAnsi="宋体" w:cs="宋体"/>
                      <w:color w:val="auto"/>
                      <w:kern w:val="0"/>
                      <w:szCs w:val="21"/>
                      <w:highlight w:val="none"/>
                    </w:rPr>
                    <w:t>注：1.废气中有毒有害污染物指纳入《有毒有害大气污染物名录》的污染物（不包括无排放标准的污染物）。</w:t>
                  </w:r>
                </w:p>
                <w:p w14:paraId="4D22AE56">
                  <w:pPr>
                    <w:autoSpaceDE w:val="0"/>
                    <w:autoSpaceDN w:val="0"/>
                    <w:adjustRightInd w:val="0"/>
                    <w:snapToGrid w:val="0"/>
                    <w:spacing w:line="4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2.环境空气保护目标指自然保护区、风景名胜区、居住区、文化区和农村地区中人群较集中的区域。</w:t>
                  </w:r>
                </w:p>
                <w:p w14:paraId="04AF9BF7">
                  <w:pPr>
                    <w:widowControl/>
                    <w:spacing w:line="4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3.临界量及其计算方法可参考《建设项目环境风险评价技术导则》（</w:t>
                  </w:r>
                  <w:r>
                    <w:rPr>
                      <w:color w:val="auto"/>
                      <w:kern w:val="0"/>
                      <w:szCs w:val="21"/>
                      <w:highlight w:val="none"/>
                    </w:rPr>
                    <w:t>HJ169</w:t>
                  </w:r>
                  <w:r>
                    <w:rPr>
                      <w:rFonts w:hint="eastAsia"/>
                      <w:color w:val="auto"/>
                      <w:kern w:val="0"/>
                      <w:szCs w:val="21"/>
                      <w:highlight w:val="none"/>
                    </w:rPr>
                    <w:t>）</w:t>
                  </w:r>
                  <w:r>
                    <w:rPr>
                      <w:rFonts w:hint="eastAsia" w:ascii="宋体" w:hAnsi="宋体" w:cs="宋体"/>
                      <w:color w:val="auto"/>
                      <w:kern w:val="0"/>
                      <w:szCs w:val="21"/>
                      <w:highlight w:val="none"/>
                    </w:rPr>
                    <w:t xml:space="preserve">附录 </w:t>
                  </w:r>
                  <w:r>
                    <w:rPr>
                      <w:color w:val="auto"/>
                      <w:kern w:val="0"/>
                      <w:szCs w:val="21"/>
                      <w:highlight w:val="none"/>
                    </w:rPr>
                    <w:t>B、附录 C。</w:t>
                  </w:r>
                </w:p>
              </w:tc>
            </w:tr>
          </w:tbl>
          <w:p w14:paraId="1C7A48E1">
            <w:pPr>
              <w:autoSpaceDE w:val="0"/>
              <w:autoSpaceDN w:val="0"/>
              <w:adjustRightInd w:val="0"/>
              <w:snapToGrid w:val="0"/>
              <w:ind w:firstLine="420" w:firstLineChars="200"/>
              <w:rPr>
                <w:rFonts w:ascii="宋体" w:hAnsi="宋体" w:cs="宋体"/>
                <w:color w:val="auto"/>
                <w:kern w:val="0"/>
                <w:szCs w:val="21"/>
                <w:highlight w:val="none"/>
              </w:rPr>
            </w:pPr>
          </w:p>
        </w:tc>
      </w:tr>
      <w:tr w14:paraId="51C21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dxa"/>
            <w:vAlign w:val="center"/>
          </w:tcPr>
          <w:p w14:paraId="5EB3AE5E">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szCs w:val="21"/>
                <w:highlight w:val="none"/>
              </w:rPr>
              <w:t>规划情况</w:t>
            </w:r>
          </w:p>
        </w:tc>
        <w:tc>
          <w:tcPr>
            <w:tcW w:w="8354" w:type="dxa"/>
            <w:gridSpan w:val="4"/>
            <w:vAlign w:val="center"/>
          </w:tcPr>
          <w:p w14:paraId="3DFA1047">
            <w:pPr>
              <w:autoSpaceDE w:val="0"/>
              <w:autoSpaceDN w:val="0"/>
              <w:adjustRightInd w:val="0"/>
              <w:snapToGrid w:val="0"/>
              <w:spacing w:line="460" w:lineRule="exact"/>
              <w:rPr>
                <w:rFonts w:ascii="宋体" w:hAnsi="宋体" w:cs="宋体"/>
                <w:color w:val="auto"/>
                <w:kern w:val="0"/>
                <w:szCs w:val="21"/>
                <w:highlight w:val="none"/>
              </w:rPr>
            </w:pPr>
            <w:r>
              <w:rPr>
                <w:rFonts w:hint="eastAsia"/>
                <w:color w:val="auto"/>
                <w:kern w:val="0"/>
                <w:sz w:val="24"/>
                <w:highlight w:val="none"/>
              </w:rPr>
              <w:t>规划名称：《重庆市合川区龙市镇总体规划（2018-2035）》</w:t>
            </w:r>
          </w:p>
        </w:tc>
      </w:tr>
      <w:tr w14:paraId="349C1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516" w:type="dxa"/>
            <w:vAlign w:val="center"/>
          </w:tcPr>
          <w:p w14:paraId="523B9E03">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规划环境影响</w:t>
            </w:r>
          </w:p>
          <w:p w14:paraId="10E4A577">
            <w:pPr>
              <w:adjustRightInd w:val="0"/>
              <w:snapToGrid w:val="0"/>
              <w:jc w:val="center"/>
              <w:rPr>
                <w:rFonts w:ascii="宋体" w:hAnsi="宋体" w:cs="宋体"/>
                <w:color w:val="auto"/>
                <w:kern w:val="0"/>
                <w:szCs w:val="21"/>
                <w:highlight w:val="none"/>
              </w:rPr>
            </w:pPr>
            <w:r>
              <w:rPr>
                <w:rFonts w:hint="eastAsia" w:ascii="宋体" w:hAnsi="宋体" w:cs="宋体"/>
                <w:color w:val="auto"/>
                <w:szCs w:val="21"/>
                <w:highlight w:val="none"/>
              </w:rPr>
              <w:t>评价情况</w:t>
            </w:r>
          </w:p>
        </w:tc>
        <w:tc>
          <w:tcPr>
            <w:tcW w:w="8354" w:type="dxa"/>
            <w:gridSpan w:val="4"/>
            <w:vAlign w:val="center"/>
          </w:tcPr>
          <w:p w14:paraId="116B64E0">
            <w:pPr>
              <w:spacing w:line="460" w:lineRule="exact"/>
              <w:rPr>
                <w:rFonts w:ascii="宋体" w:hAnsi="宋体" w:cs="宋体"/>
                <w:color w:val="auto"/>
                <w:spacing w:val="6"/>
                <w:kern w:val="0"/>
                <w:sz w:val="24"/>
                <w:highlight w:val="none"/>
              </w:rPr>
            </w:pPr>
            <w:r>
              <w:rPr>
                <w:rFonts w:hint="eastAsia"/>
                <w:color w:val="auto"/>
                <w:sz w:val="24"/>
                <w:highlight w:val="none"/>
              </w:rPr>
              <w:t>规划名称：</w:t>
            </w:r>
            <w:r>
              <w:rPr>
                <w:rFonts w:hint="eastAsia" w:ascii="宋体" w:hAnsi="宋体" w:cs="宋体"/>
                <w:color w:val="auto"/>
                <w:spacing w:val="6"/>
                <w:kern w:val="0"/>
                <w:sz w:val="24"/>
                <w:highlight w:val="none"/>
              </w:rPr>
              <w:t>《重庆市合川区龙市镇控制性详细规划环境影响报告书》</w:t>
            </w:r>
          </w:p>
          <w:p w14:paraId="3A9F6890">
            <w:pPr>
              <w:spacing w:line="460" w:lineRule="exact"/>
              <w:rPr>
                <w:color w:val="auto"/>
                <w:sz w:val="24"/>
                <w:highlight w:val="none"/>
              </w:rPr>
            </w:pPr>
            <w:r>
              <w:rPr>
                <w:rFonts w:hint="eastAsia"/>
                <w:color w:val="auto"/>
                <w:sz w:val="24"/>
                <w:highlight w:val="none"/>
              </w:rPr>
              <w:t>审批机关：重庆市合川区生态环境局</w:t>
            </w:r>
          </w:p>
          <w:p w14:paraId="0AF8AFFB">
            <w:pPr>
              <w:widowControl/>
              <w:spacing w:line="460" w:lineRule="exact"/>
              <w:rPr>
                <w:rFonts w:ascii="宋体" w:hAnsi="宋体" w:cs="宋体"/>
                <w:color w:val="auto"/>
                <w:kern w:val="0"/>
                <w:szCs w:val="21"/>
                <w:highlight w:val="none"/>
              </w:rPr>
            </w:pPr>
            <w:r>
              <w:rPr>
                <w:rFonts w:hint="eastAsia"/>
                <w:color w:val="auto"/>
                <w:sz w:val="24"/>
                <w:highlight w:val="none"/>
              </w:rPr>
              <w:t>审批文件名称及文号：</w:t>
            </w:r>
            <w:r>
              <w:rPr>
                <w:rFonts w:hint="eastAsia"/>
                <w:color w:val="auto"/>
                <w:kern w:val="0"/>
                <w:sz w:val="24"/>
                <w:highlight w:val="none"/>
              </w:rPr>
              <w:t>《重庆市合川区龙市镇控制性详细规划环境影响报告书的审查意见函》（合川环函〔2019〕139号）</w:t>
            </w:r>
          </w:p>
        </w:tc>
      </w:tr>
      <w:tr w14:paraId="53A39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dxa"/>
            <w:vAlign w:val="center"/>
          </w:tcPr>
          <w:p w14:paraId="06429AAE">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规划及规划环境</w:t>
            </w:r>
          </w:p>
          <w:p w14:paraId="31CFF029">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影响评价符合性分析</w:t>
            </w:r>
          </w:p>
        </w:tc>
        <w:tc>
          <w:tcPr>
            <w:tcW w:w="8354" w:type="dxa"/>
            <w:gridSpan w:val="4"/>
            <w:vAlign w:val="center"/>
          </w:tcPr>
          <w:p w14:paraId="51672553">
            <w:pPr>
              <w:spacing w:line="460" w:lineRule="exact"/>
              <w:rPr>
                <w:b/>
                <w:color w:val="auto"/>
                <w:sz w:val="24"/>
                <w:highlight w:val="none"/>
              </w:rPr>
            </w:pPr>
            <w:r>
              <w:rPr>
                <w:rFonts w:hint="eastAsia"/>
                <w:b/>
                <w:color w:val="auto"/>
                <w:sz w:val="24"/>
                <w:highlight w:val="none"/>
              </w:rPr>
              <w:t>1规划及规划环境影响评价符合性分析</w:t>
            </w:r>
          </w:p>
          <w:p w14:paraId="6C95681C">
            <w:pPr>
              <w:spacing w:line="460" w:lineRule="exact"/>
              <w:rPr>
                <w:b/>
                <w:color w:val="auto"/>
                <w:sz w:val="24"/>
                <w:highlight w:val="none"/>
              </w:rPr>
            </w:pPr>
            <w:r>
              <w:rPr>
                <w:rFonts w:hint="eastAsia"/>
                <w:b/>
                <w:color w:val="auto"/>
                <w:sz w:val="24"/>
                <w:highlight w:val="none"/>
              </w:rPr>
              <w:t>1.1</w:t>
            </w:r>
            <w:r>
              <w:rPr>
                <w:rFonts w:hint="eastAsia"/>
                <w:b/>
                <w:bCs/>
                <w:color w:val="auto"/>
                <w:sz w:val="24"/>
                <w:highlight w:val="none"/>
              </w:rPr>
              <w:t>与《</w:t>
            </w:r>
            <w:r>
              <w:rPr>
                <w:b/>
                <w:bCs/>
                <w:color w:val="auto"/>
                <w:sz w:val="24"/>
                <w:highlight w:val="none"/>
              </w:rPr>
              <w:t>重庆市合川区龙市镇总体规划（2018-2035）》</w:t>
            </w:r>
            <w:r>
              <w:rPr>
                <w:rFonts w:hint="eastAsia"/>
                <w:b/>
                <w:bCs/>
                <w:color w:val="auto"/>
                <w:sz w:val="24"/>
                <w:highlight w:val="none"/>
              </w:rPr>
              <w:t>符合性分析</w:t>
            </w:r>
          </w:p>
          <w:p w14:paraId="0577E9C2">
            <w:pPr>
              <w:widowControl/>
              <w:spacing w:line="460" w:lineRule="exact"/>
              <w:ind w:firstLine="480"/>
              <w:rPr>
                <w:rFonts w:hAnsi="宋体"/>
                <w:color w:val="auto"/>
                <w:sz w:val="24"/>
                <w:highlight w:val="none"/>
              </w:rPr>
            </w:pPr>
            <w:r>
              <w:rPr>
                <w:rFonts w:hint="eastAsia" w:hAnsi="宋体"/>
                <w:color w:val="auto"/>
                <w:sz w:val="24"/>
                <w:highlight w:val="none"/>
              </w:rPr>
              <w:t>镇域总体规划范围：包括现状镇区用地范围和本次规划向南部、北部拓展的新区范围，东北至龙市中学，西南接友军生态园，沿龙腾大道（S208龙市镇区段）向东西两侧拓展，含1个社区和15个行政村，121.02平方公里。规划范围用地562.7公顷，其中：城市建设用地220.16公顷，村庄建设用地8.0公顷，其他建设用地99.85公顷，非建设用地234.69公顷。</w:t>
            </w:r>
          </w:p>
          <w:p w14:paraId="662C0D6E">
            <w:pPr>
              <w:widowControl/>
              <w:spacing w:line="460" w:lineRule="exact"/>
              <w:ind w:firstLine="480"/>
              <w:rPr>
                <w:rFonts w:hAnsi="宋体"/>
                <w:color w:val="auto"/>
                <w:sz w:val="24"/>
                <w:highlight w:val="none"/>
              </w:rPr>
            </w:pPr>
            <w:r>
              <w:rPr>
                <w:rFonts w:hint="eastAsia" w:hAnsi="宋体"/>
                <w:color w:val="auto"/>
                <w:sz w:val="24"/>
                <w:highlight w:val="none"/>
              </w:rPr>
              <w:t>龙市镇城镇性质：为新兴综合型城镇，是合川渠江特色经济区重点镇，合川北部商贸服务重镇，以食品加工、新型建材、机械加工等产业为主的新兴综合型城镇。</w:t>
            </w:r>
          </w:p>
          <w:p w14:paraId="0EB536C3">
            <w:pPr>
              <w:autoSpaceDE w:val="0"/>
              <w:autoSpaceDN w:val="0"/>
              <w:adjustRightInd w:val="0"/>
              <w:snapToGrid w:val="0"/>
              <w:spacing w:line="460" w:lineRule="exact"/>
              <w:ind w:firstLine="480" w:firstLineChars="200"/>
              <w:rPr>
                <w:rFonts w:hAnsi="宋体"/>
                <w:color w:val="auto"/>
                <w:sz w:val="24"/>
                <w:highlight w:val="none"/>
              </w:rPr>
            </w:pPr>
            <w:r>
              <w:rPr>
                <w:rFonts w:hint="eastAsia" w:hAnsi="宋体"/>
                <w:color w:val="auto"/>
                <w:sz w:val="24"/>
                <w:highlight w:val="none"/>
              </w:rPr>
              <w:t>项目位于重庆市合川区龙市镇龙马大道7号重庆市厨鼎食品有限公司厂区内，属于工业区规划范围，项目为</w:t>
            </w:r>
            <w:r>
              <w:rPr>
                <w:rFonts w:hint="eastAsia" w:ascii="宋体" w:hAnsi="宋体" w:cs="宋体"/>
                <w:bCs/>
                <w:color w:val="auto"/>
                <w:sz w:val="24"/>
                <w:highlight w:val="none"/>
              </w:rPr>
              <w:t>淀粉及淀粉制品制造，属于食品加工项目</w:t>
            </w:r>
            <w:r>
              <w:rPr>
                <w:rFonts w:hint="eastAsia" w:hAnsi="宋体"/>
                <w:color w:val="auto"/>
                <w:sz w:val="24"/>
                <w:highlight w:val="none"/>
              </w:rPr>
              <w:t>，属于龙市镇规划发展产业。因此，项目符合《重庆市合川区龙市镇总体规划（2018-2035）》相关要求。</w:t>
            </w:r>
          </w:p>
          <w:p w14:paraId="1017F9FF">
            <w:pPr>
              <w:spacing w:line="460" w:lineRule="exact"/>
              <w:rPr>
                <w:b/>
                <w:color w:val="auto"/>
                <w:sz w:val="24"/>
                <w:highlight w:val="none"/>
              </w:rPr>
            </w:pPr>
            <w:r>
              <w:rPr>
                <w:rFonts w:hint="eastAsia"/>
                <w:b/>
                <w:color w:val="auto"/>
                <w:sz w:val="24"/>
                <w:highlight w:val="none"/>
              </w:rPr>
              <w:t>1.2 与</w:t>
            </w:r>
            <w:r>
              <w:rPr>
                <w:rFonts w:hint="eastAsia"/>
                <w:b/>
                <w:color w:val="auto"/>
                <w:kern w:val="0"/>
                <w:sz w:val="24"/>
                <w:highlight w:val="none"/>
              </w:rPr>
              <w:t>《重庆市合川区龙市镇控制性详细规划环境影响报告书</w:t>
            </w:r>
            <w:r>
              <w:rPr>
                <w:rFonts w:hint="eastAsia"/>
                <w:b/>
                <w:color w:val="auto"/>
                <w:sz w:val="24"/>
                <w:highlight w:val="none"/>
              </w:rPr>
              <w:t>》及其审查意见（合川环函〔2019〕139号）符合性分析</w:t>
            </w:r>
          </w:p>
          <w:p w14:paraId="5670557D">
            <w:pPr>
              <w:widowControl/>
              <w:spacing w:line="460" w:lineRule="exact"/>
              <w:ind w:firstLine="482"/>
              <w:rPr>
                <w:rFonts w:hAnsi="宋体"/>
                <w:color w:val="auto"/>
                <w:sz w:val="24"/>
                <w:highlight w:val="none"/>
              </w:rPr>
            </w:pPr>
            <w:r>
              <w:rPr>
                <w:rFonts w:hint="eastAsia" w:hAnsi="宋体"/>
                <w:color w:val="auto"/>
                <w:sz w:val="24"/>
                <w:highlight w:val="none"/>
              </w:rPr>
              <w:t>规划范围：规划总面积5.627 km</w:t>
            </w:r>
            <w:r>
              <w:rPr>
                <w:rFonts w:hint="eastAsia" w:hAnsi="宋体"/>
                <w:color w:val="auto"/>
                <w:sz w:val="24"/>
                <w:highlight w:val="none"/>
                <w:vertAlign w:val="superscript"/>
              </w:rPr>
              <w:t>2</w:t>
            </w:r>
            <w:r>
              <w:rPr>
                <w:rFonts w:hint="eastAsia" w:hAnsi="宋体"/>
                <w:color w:val="auto"/>
                <w:sz w:val="24"/>
                <w:highlight w:val="none"/>
              </w:rPr>
              <w:t>，其中城市建设用地面积2.2 km</w:t>
            </w:r>
            <w:r>
              <w:rPr>
                <w:rFonts w:hint="eastAsia" w:hAnsi="宋体"/>
                <w:color w:val="auto"/>
                <w:sz w:val="24"/>
                <w:highlight w:val="none"/>
                <w:vertAlign w:val="superscript"/>
              </w:rPr>
              <w:t>2</w:t>
            </w:r>
            <w:r>
              <w:rPr>
                <w:rFonts w:hint="eastAsia" w:hAnsi="宋体"/>
                <w:color w:val="auto"/>
                <w:sz w:val="24"/>
                <w:highlight w:val="none"/>
              </w:rPr>
              <w:t>，规划环评重点评价城市建设用地（包括工业组团和居住组团）；规划范围包括现状镇区用地范围和本次规划向南部、北部拓展的新区范围，东北至龙市中学，西南接友军生态园，沿龙腾大道（S207龙市镇区段）向东西两侧拓展。</w:t>
            </w:r>
          </w:p>
          <w:p w14:paraId="55A2BC5E">
            <w:pPr>
              <w:widowControl/>
              <w:spacing w:line="460" w:lineRule="exact"/>
              <w:ind w:firstLine="482"/>
              <w:rPr>
                <w:rFonts w:hAnsi="宋体"/>
                <w:color w:val="auto"/>
                <w:sz w:val="24"/>
                <w:highlight w:val="none"/>
              </w:rPr>
            </w:pPr>
            <w:r>
              <w:rPr>
                <w:rFonts w:hint="eastAsia" w:hAnsi="宋体"/>
                <w:color w:val="auto"/>
                <w:sz w:val="24"/>
                <w:highlight w:val="none"/>
              </w:rPr>
              <w:t>产业定位：以工业、商业服务业和居住为主，形成集行政、居住、商贸、文化体育、工业职能、物流集散的新兴综合型城镇，其中工业在现状工业用地基础上进行用地整合，形成以农副产品加工为主、新型建材和机械加工为辅的工业组团。</w:t>
            </w:r>
          </w:p>
          <w:p w14:paraId="2C6A3664">
            <w:pPr>
              <w:widowControl/>
              <w:spacing w:line="460" w:lineRule="exact"/>
              <w:rPr>
                <w:rFonts w:hAnsi="宋体"/>
                <w:b/>
                <w:bCs/>
                <w:color w:val="auto"/>
                <w:sz w:val="24"/>
                <w:highlight w:val="none"/>
              </w:rPr>
            </w:pPr>
            <w:r>
              <w:rPr>
                <w:rFonts w:hint="eastAsia" w:hAnsi="宋体"/>
                <w:b/>
                <w:bCs/>
                <w:color w:val="auto"/>
                <w:sz w:val="24"/>
                <w:highlight w:val="none"/>
              </w:rPr>
              <w:t>（1）用地性质及规划符合性</w:t>
            </w:r>
          </w:p>
          <w:p w14:paraId="23AFA3CE">
            <w:pPr>
              <w:widowControl/>
              <w:spacing w:line="460" w:lineRule="exact"/>
              <w:ind w:firstLine="482"/>
              <w:rPr>
                <w:rFonts w:hAnsi="宋体"/>
                <w:color w:val="auto"/>
                <w:sz w:val="24"/>
                <w:highlight w:val="none"/>
              </w:rPr>
            </w:pPr>
            <w:r>
              <w:rPr>
                <w:rFonts w:hint="eastAsia" w:hAnsi="宋体"/>
                <w:color w:val="auto"/>
                <w:sz w:val="24"/>
                <w:highlight w:val="none"/>
              </w:rPr>
              <w:t>本项目位于合川区龙市镇工业组团内，本项目使用地块性质为工业用地，符合龙市镇土地规划要求。</w:t>
            </w:r>
          </w:p>
          <w:p w14:paraId="2C39EA27">
            <w:pPr>
              <w:widowControl/>
              <w:spacing w:line="460" w:lineRule="exact"/>
              <w:rPr>
                <w:rFonts w:hAnsi="宋体"/>
                <w:b/>
                <w:bCs/>
                <w:color w:val="auto"/>
                <w:sz w:val="24"/>
                <w:highlight w:val="none"/>
              </w:rPr>
            </w:pPr>
            <w:r>
              <w:rPr>
                <w:rFonts w:hint="eastAsia" w:hAnsi="宋体"/>
                <w:b/>
                <w:bCs/>
                <w:color w:val="auto"/>
                <w:sz w:val="24"/>
                <w:highlight w:val="none"/>
              </w:rPr>
              <w:t>（2）与龙市镇工业组团规划符合性分析</w:t>
            </w:r>
          </w:p>
          <w:p w14:paraId="3E5F4FF5">
            <w:pPr>
              <w:widowControl/>
              <w:spacing w:line="460" w:lineRule="exact"/>
              <w:ind w:firstLine="482"/>
              <w:rPr>
                <w:rFonts w:hAnsi="宋体"/>
                <w:color w:val="auto"/>
                <w:sz w:val="24"/>
                <w:highlight w:val="none"/>
              </w:rPr>
            </w:pPr>
            <w:r>
              <w:rPr>
                <w:rFonts w:hint="eastAsia" w:hAnsi="宋体"/>
                <w:color w:val="auto"/>
                <w:sz w:val="24"/>
                <w:highlight w:val="none"/>
              </w:rPr>
              <w:t>本项目位于重庆市合川区龙市镇工业组团内，根据《重庆市合川区龙市镇控制性详细规划环境影响报告书》：工业组团产业定位为以农副产品加工业为主，新型建材、机械加工为辅。本项目为淀粉及淀粉制品制造项目，属于农副产品加工业项目，不属于规划环评中禁止类项目，因此符合重庆市合川区龙市镇工业组团发展规划。</w:t>
            </w:r>
          </w:p>
          <w:p w14:paraId="4F9EABA2">
            <w:pPr>
              <w:widowControl/>
              <w:spacing w:line="460" w:lineRule="exact"/>
              <w:rPr>
                <w:rFonts w:hAnsi="宋体"/>
                <w:b/>
                <w:bCs/>
                <w:color w:val="auto"/>
                <w:sz w:val="24"/>
                <w:highlight w:val="none"/>
              </w:rPr>
            </w:pPr>
            <w:r>
              <w:rPr>
                <w:rFonts w:hint="eastAsia" w:hAnsi="宋体"/>
                <w:b/>
                <w:bCs/>
                <w:color w:val="auto"/>
                <w:sz w:val="24"/>
                <w:highlight w:val="none"/>
              </w:rPr>
              <w:t>（3）与龙市镇工业组团环境准入负面清单</w:t>
            </w:r>
          </w:p>
          <w:p w14:paraId="0EFB1AEA">
            <w:pPr>
              <w:widowControl/>
              <w:spacing w:line="460" w:lineRule="exact"/>
              <w:ind w:firstLine="482"/>
              <w:rPr>
                <w:rFonts w:hAnsi="宋体"/>
                <w:color w:val="auto"/>
                <w:sz w:val="24"/>
                <w:highlight w:val="none"/>
              </w:rPr>
            </w:pPr>
            <w:r>
              <w:rPr>
                <w:rFonts w:hint="eastAsia" w:hAnsi="宋体"/>
                <w:color w:val="auto"/>
                <w:sz w:val="24"/>
                <w:highlight w:val="none"/>
              </w:rPr>
              <w:t>项目与龙市镇工业组团环境准入负面清单符合性见表1.2-1。</w:t>
            </w:r>
          </w:p>
          <w:p w14:paraId="3605A706">
            <w:pPr>
              <w:widowControl/>
              <w:spacing w:line="460" w:lineRule="exact"/>
              <w:ind w:firstLine="482"/>
              <w:jc w:val="center"/>
              <w:rPr>
                <w:b/>
                <w:bCs/>
                <w:color w:val="auto"/>
                <w:sz w:val="24"/>
                <w:highlight w:val="none"/>
              </w:rPr>
            </w:pPr>
            <w:r>
              <w:rPr>
                <w:b/>
                <w:bCs/>
                <w:color w:val="auto"/>
                <w:sz w:val="24"/>
                <w:highlight w:val="none"/>
              </w:rPr>
              <w:t xml:space="preserve">表1.2-1  </w:t>
            </w:r>
            <w:r>
              <w:rPr>
                <w:rFonts w:hint="eastAsia"/>
                <w:b/>
                <w:bCs/>
                <w:color w:val="auto"/>
                <w:sz w:val="24"/>
                <w:highlight w:val="none"/>
              </w:rPr>
              <w:t>龙市镇工业组团</w:t>
            </w:r>
            <w:r>
              <w:rPr>
                <w:b/>
                <w:bCs/>
                <w:color w:val="auto"/>
                <w:sz w:val="24"/>
                <w:highlight w:val="none"/>
              </w:rPr>
              <w:t>环境准入负面清单</w:t>
            </w:r>
          </w:p>
          <w:tbl>
            <w:tblPr>
              <w:tblStyle w:val="18"/>
              <w:tblW w:w="81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315"/>
              <w:gridCol w:w="3918"/>
              <w:gridCol w:w="2142"/>
            </w:tblGrid>
            <w:tr w14:paraId="4AEE2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75" w:type="pct"/>
                  <w:gridSpan w:val="2"/>
                  <w:tcBorders>
                    <w:top w:val="single" w:color="auto" w:sz="4" w:space="0"/>
                    <w:left w:val="single" w:color="auto" w:sz="0" w:space="0"/>
                  </w:tcBorders>
                  <w:vAlign w:val="center"/>
                </w:tcPr>
                <w:p w14:paraId="1422DCC9">
                  <w:pPr>
                    <w:widowControl/>
                    <w:adjustRightInd w:val="0"/>
                    <w:snapToGrid w:val="0"/>
                    <w:jc w:val="center"/>
                    <w:rPr>
                      <w:bCs/>
                      <w:color w:val="auto"/>
                      <w:kern w:val="0"/>
                      <w:szCs w:val="21"/>
                      <w:highlight w:val="none"/>
                    </w:rPr>
                  </w:pPr>
                  <w:r>
                    <w:rPr>
                      <w:bCs/>
                      <w:color w:val="auto"/>
                      <w:kern w:val="0"/>
                      <w:szCs w:val="21"/>
                      <w:highlight w:val="none"/>
                    </w:rPr>
                    <w:t>分类</w:t>
                  </w:r>
                </w:p>
              </w:tc>
              <w:tc>
                <w:tcPr>
                  <w:tcW w:w="2407" w:type="pct"/>
                  <w:tcBorders>
                    <w:top w:val="single" w:color="auto" w:sz="4" w:space="0"/>
                  </w:tcBorders>
                  <w:vAlign w:val="center"/>
                </w:tcPr>
                <w:p w14:paraId="168A86C2">
                  <w:pPr>
                    <w:widowControl/>
                    <w:adjustRightInd w:val="0"/>
                    <w:snapToGrid w:val="0"/>
                    <w:jc w:val="center"/>
                    <w:rPr>
                      <w:bCs/>
                      <w:color w:val="auto"/>
                      <w:kern w:val="0"/>
                      <w:szCs w:val="21"/>
                      <w:highlight w:val="none"/>
                    </w:rPr>
                  </w:pPr>
                  <w:r>
                    <w:rPr>
                      <w:bCs/>
                      <w:color w:val="auto"/>
                      <w:kern w:val="0"/>
                      <w:szCs w:val="21"/>
                      <w:highlight w:val="none"/>
                    </w:rPr>
                    <w:t>清单内容</w:t>
                  </w:r>
                </w:p>
              </w:tc>
              <w:tc>
                <w:tcPr>
                  <w:tcW w:w="1316" w:type="pct"/>
                  <w:tcBorders>
                    <w:top w:val="single" w:color="auto" w:sz="4" w:space="0"/>
                    <w:right w:val="single" w:color="auto" w:sz="4" w:space="0"/>
                  </w:tcBorders>
                  <w:vAlign w:val="center"/>
                </w:tcPr>
                <w:p w14:paraId="589D4AA4">
                  <w:pPr>
                    <w:widowControl/>
                    <w:adjustRightInd w:val="0"/>
                    <w:snapToGrid w:val="0"/>
                    <w:jc w:val="center"/>
                    <w:rPr>
                      <w:bCs/>
                      <w:color w:val="auto"/>
                      <w:kern w:val="0"/>
                      <w:szCs w:val="21"/>
                      <w:highlight w:val="none"/>
                    </w:rPr>
                  </w:pPr>
                  <w:r>
                    <w:rPr>
                      <w:bCs/>
                      <w:color w:val="auto"/>
                      <w:kern w:val="0"/>
                      <w:szCs w:val="21"/>
                      <w:highlight w:val="none"/>
                    </w:rPr>
                    <w:t>符合性分析</w:t>
                  </w:r>
                </w:p>
              </w:tc>
            </w:tr>
            <w:tr w14:paraId="6A34C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75" w:type="pct"/>
                  <w:gridSpan w:val="2"/>
                  <w:tcBorders>
                    <w:left w:val="single" w:color="auto" w:sz="4" w:space="0"/>
                  </w:tcBorders>
                  <w:vAlign w:val="center"/>
                </w:tcPr>
                <w:p w14:paraId="11B2E81B">
                  <w:pPr>
                    <w:widowControl/>
                    <w:adjustRightInd w:val="0"/>
                    <w:snapToGrid w:val="0"/>
                    <w:jc w:val="center"/>
                    <w:rPr>
                      <w:color w:val="auto"/>
                      <w:kern w:val="0"/>
                      <w:szCs w:val="21"/>
                      <w:highlight w:val="none"/>
                    </w:rPr>
                  </w:pPr>
                  <w:r>
                    <w:rPr>
                      <w:color w:val="auto"/>
                      <w:kern w:val="0"/>
                      <w:szCs w:val="21"/>
                      <w:highlight w:val="none"/>
                    </w:rPr>
                    <w:t>空间布局</w:t>
                  </w:r>
                </w:p>
              </w:tc>
              <w:tc>
                <w:tcPr>
                  <w:tcW w:w="2407" w:type="pct"/>
                  <w:vAlign w:val="center"/>
                </w:tcPr>
                <w:p w14:paraId="4B62B1FE">
                  <w:pPr>
                    <w:widowControl/>
                    <w:adjustRightInd w:val="0"/>
                    <w:snapToGrid w:val="0"/>
                    <w:jc w:val="center"/>
                    <w:rPr>
                      <w:color w:val="auto"/>
                      <w:kern w:val="0"/>
                      <w:szCs w:val="21"/>
                      <w:highlight w:val="none"/>
                    </w:rPr>
                  </w:pPr>
                  <w:r>
                    <w:rPr>
                      <w:color w:val="auto"/>
                      <w:kern w:val="0"/>
                      <w:szCs w:val="21"/>
                      <w:highlight w:val="none"/>
                    </w:rPr>
                    <w:t>具体项目环境防护距离由项目环评确定，项目环境防护距离应优化控制在工业组团范围内；建议靠近居住组团侧50m范围内的工业用地不得引进含喷涂工艺的工业项目</w:t>
                  </w:r>
                </w:p>
              </w:tc>
              <w:tc>
                <w:tcPr>
                  <w:tcW w:w="1316" w:type="pct"/>
                  <w:tcBorders>
                    <w:right w:val="single" w:color="auto" w:sz="4" w:space="0"/>
                  </w:tcBorders>
                  <w:vAlign w:val="center"/>
                </w:tcPr>
                <w:p w14:paraId="0E01F5E3">
                  <w:pPr>
                    <w:widowControl/>
                    <w:adjustRightInd w:val="0"/>
                    <w:snapToGrid w:val="0"/>
                    <w:jc w:val="center"/>
                    <w:rPr>
                      <w:color w:val="auto"/>
                      <w:kern w:val="0"/>
                      <w:szCs w:val="21"/>
                      <w:highlight w:val="none"/>
                    </w:rPr>
                  </w:pPr>
                  <w:r>
                    <w:rPr>
                      <w:color w:val="auto"/>
                      <w:kern w:val="0"/>
                      <w:szCs w:val="21"/>
                      <w:highlight w:val="none"/>
                    </w:rPr>
                    <w:t>本项目不设置防护距离，不涉及喷涂</w:t>
                  </w:r>
                </w:p>
              </w:tc>
            </w:tr>
            <w:tr w14:paraId="714A2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restart"/>
                  <w:tcBorders>
                    <w:left w:val="single" w:color="auto" w:sz="4" w:space="0"/>
                  </w:tcBorders>
                  <w:vAlign w:val="center"/>
                </w:tcPr>
                <w:p w14:paraId="067625CA">
                  <w:pPr>
                    <w:widowControl/>
                    <w:adjustRightInd w:val="0"/>
                    <w:snapToGrid w:val="0"/>
                    <w:jc w:val="center"/>
                    <w:rPr>
                      <w:color w:val="auto"/>
                      <w:kern w:val="0"/>
                      <w:szCs w:val="21"/>
                      <w:highlight w:val="none"/>
                    </w:rPr>
                  </w:pPr>
                  <w:r>
                    <w:rPr>
                      <w:color w:val="auto"/>
                      <w:kern w:val="0"/>
                      <w:szCs w:val="21"/>
                      <w:highlight w:val="none"/>
                    </w:rPr>
                    <w:t>污染物排放管控</w:t>
                  </w:r>
                </w:p>
              </w:tc>
              <w:tc>
                <w:tcPr>
                  <w:tcW w:w="808" w:type="pct"/>
                  <w:vAlign w:val="center"/>
                </w:tcPr>
                <w:p w14:paraId="16364CE0">
                  <w:pPr>
                    <w:widowControl/>
                    <w:adjustRightInd w:val="0"/>
                    <w:snapToGrid w:val="0"/>
                    <w:jc w:val="center"/>
                    <w:rPr>
                      <w:color w:val="auto"/>
                      <w:kern w:val="0"/>
                      <w:szCs w:val="21"/>
                      <w:highlight w:val="none"/>
                    </w:rPr>
                  </w:pPr>
                  <w:r>
                    <w:rPr>
                      <w:color w:val="auto"/>
                      <w:kern w:val="0"/>
                      <w:szCs w:val="21"/>
                      <w:highlight w:val="none"/>
                    </w:rPr>
                    <w:t>水污染控制措施要求</w:t>
                  </w:r>
                </w:p>
              </w:tc>
              <w:tc>
                <w:tcPr>
                  <w:tcW w:w="2407" w:type="pct"/>
                  <w:vAlign w:val="center"/>
                </w:tcPr>
                <w:p w14:paraId="01917C26">
                  <w:pPr>
                    <w:widowControl/>
                    <w:adjustRightInd w:val="0"/>
                    <w:snapToGrid w:val="0"/>
                    <w:jc w:val="center"/>
                    <w:rPr>
                      <w:color w:val="auto"/>
                      <w:kern w:val="0"/>
                      <w:szCs w:val="21"/>
                      <w:highlight w:val="none"/>
                    </w:rPr>
                  </w:pPr>
                  <w:r>
                    <w:rPr>
                      <w:color w:val="auto"/>
                      <w:kern w:val="0"/>
                      <w:szCs w:val="21"/>
                      <w:highlight w:val="none"/>
                    </w:rPr>
                    <w:t>规划区废水全部进入龙市</w:t>
                  </w:r>
                  <w:r>
                    <w:rPr>
                      <w:rFonts w:hint="eastAsia"/>
                      <w:color w:val="auto"/>
                      <w:kern w:val="0"/>
                      <w:szCs w:val="21"/>
                      <w:highlight w:val="none"/>
                    </w:rPr>
                    <w:t>镇</w:t>
                  </w:r>
                  <w:r>
                    <w:rPr>
                      <w:color w:val="auto"/>
                      <w:kern w:val="0"/>
                      <w:szCs w:val="21"/>
                      <w:highlight w:val="none"/>
                    </w:rPr>
                    <w:t>污水处理厂及龙市镇工业污水处理厂处理达标后排放，水污染物达标排放率100%</w:t>
                  </w:r>
                </w:p>
              </w:tc>
              <w:tc>
                <w:tcPr>
                  <w:tcW w:w="1316" w:type="pct"/>
                  <w:tcBorders>
                    <w:right w:val="single" w:color="auto" w:sz="4" w:space="0"/>
                  </w:tcBorders>
                  <w:vAlign w:val="center"/>
                </w:tcPr>
                <w:p w14:paraId="7BBD4E67">
                  <w:pPr>
                    <w:widowControl/>
                    <w:adjustRightInd w:val="0"/>
                    <w:snapToGrid w:val="0"/>
                    <w:jc w:val="center"/>
                    <w:rPr>
                      <w:color w:val="auto"/>
                      <w:kern w:val="0"/>
                      <w:szCs w:val="21"/>
                      <w:highlight w:val="none"/>
                    </w:rPr>
                  </w:pPr>
                  <w:r>
                    <w:rPr>
                      <w:color w:val="auto"/>
                      <w:kern w:val="0"/>
                      <w:szCs w:val="21"/>
                      <w:highlight w:val="none"/>
                    </w:rPr>
                    <w:t>项目污水全部进</w:t>
                  </w:r>
                  <w:r>
                    <w:rPr>
                      <w:rFonts w:hint="eastAsia"/>
                      <w:color w:val="auto"/>
                      <w:kern w:val="0"/>
                      <w:szCs w:val="21"/>
                      <w:highlight w:val="none"/>
                    </w:rPr>
                    <w:t>入</w:t>
                  </w:r>
                  <w:r>
                    <w:rPr>
                      <w:color w:val="auto"/>
                      <w:kern w:val="0"/>
                      <w:szCs w:val="21"/>
                      <w:highlight w:val="none"/>
                    </w:rPr>
                    <w:t>龙市</w:t>
                  </w:r>
                  <w:r>
                    <w:rPr>
                      <w:rFonts w:hint="eastAsia"/>
                      <w:color w:val="auto"/>
                      <w:kern w:val="0"/>
                      <w:szCs w:val="21"/>
                      <w:highlight w:val="none"/>
                    </w:rPr>
                    <w:t>镇</w:t>
                  </w:r>
                  <w:r>
                    <w:rPr>
                      <w:color w:val="auto"/>
                      <w:kern w:val="0"/>
                      <w:szCs w:val="21"/>
                      <w:highlight w:val="none"/>
                    </w:rPr>
                    <w:t>工业污水处理厂处理</w:t>
                  </w:r>
                  <w:r>
                    <w:rPr>
                      <w:rFonts w:hint="eastAsia"/>
                      <w:color w:val="auto"/>
                      <w:kern w:val="0"/>
                      <w:szCs w:val="21"/>
                      <w:highlight w:val="none"/>
                    </w:rPr>
                    <w:t>后达到</w:t>
                  </w:r>
                  <w:r>
                    <w:rPr>
                      <w:color w:val="auto"/>
                      <w:kern w:val="0"/>
                      <w:szCs w:val="21"/>
                      <w:highlight w:val="none"/>
                    </w:rPr>
                    <w:t>《城镇污水处理厂污染物排放标准》（GB18918 -2002）一级A标准后</w:t>
                  </w:r>
                  <w:r>
                    <w:rPr>
                      <w:rFonts w:hint="eastAsia"/>
                      <w:color w:val="auto"/>
                      <w:kern w:val="0"/>
                      <w:szCs w:val="21"/>
                      <w:highlight w:val="none"/>
                    </w:rPr>
                    <w:t>排放</w:t>
                  </w:r>
                </w:p>
              </w:tc>
            </w:tr>
            <w:tr w14:paraId="1BC8B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785CC611">
                  <w:pPr>
                    <w:widowControl/>
                    <w:adjustRightInd w:val="0"/>
                    <w:snapToGrid w:val="0"/>
                    <w:jc w:val="center"/>
                    <w:rPr>
                      <w:color w:val="auto"/>
                      <w:kern w:val="0"/>
                      <w:szCs w:val="21"/>
                      <w:highlight w:val="none"/>
                    </w:rPr>
                  </w:pPr>
                </w:p>
              </w:tc>
              <w:tc>
                <w:tcPr>
                  <w:tcW w:w="808" w:type="pct"/>
                  <w:vAlign w:val="center"/>
                </w:tcPr>
                <w:p w14:paraId="5F2221D5">
                  <w:pPr>
                    <w:widowControl/>
                    <w:adjustRightInd w:val="0"/>
                    <w:snapToGrid w:val="0"/>
                    <w:jc w:val="center"/>
                    <w:rPr>
                      <w:color w:val="auto"/>
                      <w:kern w:val="0"/>
                      <w:szCs w:val="21"/>
                      <w:highlight w:val="none"/>
                    </w:rPr>
                  </w:pPr>
                  <w:r>
                    <w:rPr>
                      <w:color w:val="auto"/>
                      <w:kern w:val="0"/>
                      <w:szCs w:val="21"/>
                      <w:highlight w:val="none"/>
                    </w:rPr>
                    <w:t>大气污染物达标排放率</w:t>
                  </w:r>
                </w:p>
              </w:tc>
              <w:tc>
                <w:tcPr>
                  <w:tcW w:w="2407" w:type="pct"/>
                  <w:vAlign w:val="center"/>
                </w:tcPr>
                <w:p w14:paraId="1CADF4B4">
                  <w:pPr>
                    <w:widowControl/>
                    <w:adjustRightInd w:val="0"/>
                    <w:snapToGrid w:val="0"/>
                    <w:jc w:val="center"/>
                    <w:rPr>
                      <w:color w:val="auto"/>
                      <w:kern w:val="0"/>
                      <w:szCs w:val="21"/>
                      <w:highlight w:val="none"/>
                    </w:rPr>
                  </w:pPr>
                  <w:r>
                    <w:rPr>
                      <w:color w:val="auto"/>
                      <w:kern w:val="0"/>
                      <w:szCs w:val="21"/>
                      <w:highlight w:val="none"/>
                    </w:rPr>
                    <w:t>100%</w:t>
                  </w:r>
                </w:p>
              </w:tc>
              <w:tc>
                <w:tcPr>
                  <w:tcW w:w="1316" w:type="pct"/>
                  <w:tcBorders>
                    <w:right w:val="single" w:color="auto" w:sz="4" w:space="0"/>
                  </w:tcBorders>
                  <w:vAlign w:val="center"/>
                </w:tcPr>
                <w:p w14:paraId="643768A8">
                  <w:pPr>
                    <w:widowControl/>
                    <w:adjustRightInd w:val="0"/>
                    <w:snapToGrid w:val="0"/>
                    <w:jc w:val="center"/>
                    <w:rPr>
                      <w:color w:val="auto"/>
                      <w:kern w:val="0"/>
                      <w:szCs w:val="21"/>
                      <w:highlight w:val="none"/>
                    </w:rPr>
                  </w:pPr>
                  <w:r>
                    <w:rPr>
                      <w:rFonts w:hint="eastAsia"/>
                      <w:color w:val="auto"/>
                      <w:kern w:val="0"/>
                      <w:szCs w:val="21"/>
                      <w:highlight w:val="none"/>
                    </w:rPr>
                    <w:t>本项目产生废气仅</w:t>
                  </w:r>
                  <w:r>
                    <w:rPr>
                      <w:rFonts w:hint="eastAsia" w:ascii="宋体" w:hAnsi="宋体" w:cs="宋体"/>
                      <w:bCs/>
                      <w:color w:val="auto"/>
                      <w:szCs w:val="21"/>
                      <w:highlight w:val="none"/>
                    </w:rPr>
                    <w:t>包装环节产生的微量粉尘，可达标排放。</w:t>
                  </w:r>
                </w:p>
              </w:tc>
            </w:tr>
            <w:tr w14:paraId="6BC93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5" w:type="pct"/>
                  <w:gridSpan w:val="2"/>
                  <w:vMerge w:val="restart"/>
                  <w:tcBorders>
                    <w:left w:val="single" w:color="auto" w:sz="4" w:space="0"/>
                  </w:tcBorders>
                  <w:vAlign w:val="center"/>
                </w:tcPr>
                <w:p w14:paraId="13B99AFF">
                  <w:pPr>
                    <w:widowControl/>
                    <w:adjustRightInd w:val="0"/>
                    <w:snapToGrid w:val="0"/>
                    <w:jc w:val="center"/>
                    <w:rPr>
                      <w:color w:val="auto"/>
                      <w:kern w:val="0"/>
                      <w:szCs w:val="21"/>
                      <w:highlight w:val="none"/>
                    </w:rPr>
                  </w:pPr>
                  <w:r>
                    <w:rPr>
                      <w:color w:val="auto"/>
                      <w:kern w:val="0"/>
                      <w:szCs w:val="21"/>
                      <w:highlight w:val="none"/>
                    </w:rPr>
                    <w:t>环境风险防控</w:t>
                  </w:r>
                </w:p>
              </w:tc>
              <w:tc>
                <w:tcPr>
                  <w:tcW w:w="2407" w:type="pct"/>
                  <w:vAlign w:val="center"/>
                </w:tcPr>
                <w:p w14:paraId="52E98F67">
                  <w:pPr>
                    <w:widowControl/>
                    <w:adjustRightInd w:val="0"/>
                    <w:snapToGrid w:val="0"/>
                    <w:jc w:val="center"/>
                    <w:rPr>
                      <w:color w:val="auto"/>
                      <w:kern w:val="0"/>
                      <w:szCs w:val="21"/>
                      <w:highlight w:val="none"/>
                    </w:rPr>
                  </w:pPr>
                  <w:r>
                    <w:rPr>
                      <w:color w:val="auto"/>
                      <w:kern w:val="0"/>
                      <w:szCs w:val="21"/>
                      <w:highlight w:val="none"/>
                    </w:rPr>
                    <w:t>禁止建设存在重大环境安全隐患的工业项目</w:t>
                  </w:r>
                </w:p>
              </w:tc>
              <w:tc>
                <w:tcPr>
                  <w:tcW w:w="1316" w:type="pct"/>
                  <w:tcBorders>
                    <w:right w:val="single" w:color="auto" w:sz="4" w:space="0"/>
                  </w:tcBorders>
                  <w:vAlign w:val="center"/>
                </w:tcPr>
                <w:p w14:paraId="1C32A710">
                  <w:pPr>
                    <w:widowControl/>
                    <w:adjustRightInd w:val="0"/>
                    <w:snapToGrid w:val="0"/>
                    <w:jc w:val="center"/>
                    <w:rPr>
                      <w:color w:val="auto"/>
                      <w:kern w:val="0"/>
                      <w:szCs w:val="21"/>
                      <w:highlight w:val="none"/>
                    </w:rPr>
                  </w:pPr>
                  <w:r>
                    <w:rPr>
                      <w:color w:val="auto"/>
                      <w:kern w:val="0"/>
                      <w:szCs w:val="21"/>
                      <w:highlight w:val="none"/>
                    </w:rPr>
                    <w:t>本项目</w:t>
                  </w:r>
                  <w:r>
                    <w:rPr>
                      <w:rFonts w:hint="eastAsia"/>
                      <w:color w:val="auto"/>
                      <w:kern w:val="0"/>
                      <w:szCs w:val="21"/>
                      <w:highlight w:val="none"/>
                    </w:rPr>
                    <w:t>为农副产品加工项目，不排放重金属、有毒有害物质，</w:t>
                  </w:r>
                  <w:r>
                    <w:rPr>
                      <w:color w:val="auto"/>
                      <w:kern w:val="0"/>
                      <w:szCs w:val="21"/>
                      <w:highlight w:val="none"/>
                    </w:rPr>
                    <w:t>不</w:t>
                  </w:r>
                  <w:r>
                    <w:rPr>
                      <w:rFonts w:hint="eastAsia"/>
                      <w:color w:val="auto"/>
                      <w:kern w:val="0"/>
                      <w:szCs w:val="21"/>
                      <w:highlight w:val="none"/>
                    </w:rPr>
                    <w:t>属于</w:t>
                  </w:r>
                  <w:r>
                    <w:rPr>
                      <w:color w:val="auto"/>
                      <w:kern w:val="0"/>
                      <w:szCs w:val="21"/>
                      <w:highlight w:val="none"/>
                    </w:rPr>
                    <w:t>存在重大安全隐患</w:t>
                  </w:r>
                  <w:r>
                    <w:rPr>
                      <w:rFonts w:hint="eastAsia"/>
                      <w:color w:val="auto"/>
                      <w:kern w:val="0"/>
                      <w:szCs w:val="21"/>
                      <w:highlight w:val="none"/>
                    </w:rPr>
                    <w:t>的工业项目</w:t>
                  </w:r>
                </w:p>
              </w:tc>
            </w:tr>
            <w:tr w14:paraId="52A60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5" w:type="pct"/>
                  <w:gridSpan w:val="2"/>
                  <w:vMerge w:val="continue"/>
                  <w:tcBorders>
                    <w:left w:val="single" w:color="auto" w:sz="4" w:space="0"/>
                  </w:tcBorders>
                  <w:vAlign w:val="center"/>
                </w:tcPr>
                <w:p w14:paraId="154F060E">
                  <w:pPr>
                    <w:widowControl/>
                    <w:adjustRightInd w:val="0"/>
                    <w:snapToGrid w:val="0"/>
                    <w:jc w:val="center"/>
                    <w:rPr>
                      <w:color w:val="auto"/>
                      <w:kern w:val="0"/>
                      <w:szCs w:val="21"/>
                      <w:highlight w:val="none"/>
                    </w:rPr>
                  </w:pPr>
                </w:p>
              </w:tc>
              <w:tc>
                <w:tcPr>
                  <w:tcW w:w="2407" w:type="pct"/>
                  <w:vAlign w:val="center"/>
                </w:tcPr>
                <w:p w14:paraId="14FC8621">
                  <w:pPr>
                    <w:widowControl/>
                    <w:adjustRightInd w:val="0"/>
                    <w:snapToGrid w:val="0"/>
                    <w:jc w:val="center"/>
                    <w:rPr>
                      <w:color w:val="auto"/>
                      <w:kern w:val="0"/>
                      <w:szCs w:val="21"/>
                      <w:highlight w:val="none"/>
                    </w:rPr>
                  </w:pPr>
                  <w:r>
                    <w:rPr>
                      <w:color w:val="auto"/>
                      <w:kern w:val="0"/>
                      <w:szCs w:val="21"/>
                      <w:highlight w:val="none"/>
                    </w:rPr>
                    <w:t>加大对太和镇、龙市镇等镇已有工业企业污染源的监测</w:t>
                  </w:r>
                </w:p>
              </w:tc>
              <w:tc>
                <w:tcPr>
                  <w:tcW w:w="1316" w:type="pct"/>
                  <w:tcBorders>
                    <w:right w:val="single" w:color="auto" w:sz="4" w:space="0"/>
                  </w:tcBorders>
                  <w:vAlign w:val="center"/>
                </w:tcPr>
                <w:p w14:paraId="5602F061">
                  <w:pPr>
                    <w:widowControl/>
                    <w:adjustRightInd w:val="0"/>
                    <w:snapToGrid w:val="0"/>
                    <w:jc w:val="center"/>
                    <w:rPr>
                      <w:color w:val="auto"/>
                      <w:kern w:val="0"/>
                      <w:szCs w:val="21"/>
                      <w:highlight w:val="none"/>
                    </w:rPr>
                  </w:pPr>
                  <w:r>
                    <w:rPr>
                      <w:rFonts w:hint="eastAsia"/>
                      <w:color w:val="auto"/>
                      <w:kern w:val="0"/>
                      <w:szCs w:val="21"/>
                      <w:highlight w:val="none"/>
                    </w:rPr>
                    <w:t>本项目制定了自行监测计划</w:t>
                  </w:r>
                </w:p>
              </w:tc>
            </w:tr>
            <w:tr w14:paraId="05B3D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5" w:type="pct"/>
                  <w:gridSpan w:val="2"/>
                  <w:vMerge w:val="restart"/>
                  <w:tcBorders>
                    <w:left w:val="single" w:color="auto" w:sz="4" w:space="0"/>
                  </w:tcBorders>
                  <w:vAlign w:val="center"/>
                </w:tcPr>
                <w:p w14:paraId="445B5B28">
                  <w:pPr>
                    <w:widowControl/>
                    <w:adjustRightInd w:val="0"/>
                    <w:snapToGrid w:val="0"/>
                    <w:jc w:val="center"/>
                    <w:rPr>
                      <w:color w:val="auto"/>
                      <w:kern w:val="0"/>
                      <w:szCs w:val="21"/>
                      <w:highlight w:val="none"/>
                    </w:rPr>
                  </w:pPr>
                  <w:r>
                    <w:rPr>
                      <w:color w:val="auto"/>
                      <w:kern w:val="0"/>
                      <w:szCs w:val="21"/>
                      <w:highlight w:val="none"/>
                    </w:rPr>
                    <w:t>资源利用效率</w:t>
                  </w:r>
                </w:p>
              </w:tc>
              <w:tc>
                <w:tcPr>
                  <w:tcW w:w="2407" w:type="pct"/>
                  <w:vAlign w:val="center"/>
                </w:tcPr>
                <w:p w14:paraId="7FA1029B">
                  <w:pPr>
                    <w:widowControl/>
                    <w:adjustRightInd w:val="0"/>
                    <w:snapToGrid w:val="0"/>
                    <w:jc w:val="center"/>
                    <w:rPr>
                      <w:color w:val="auto"/>
                      <w:kern w:val="0"/>
                      <w:szCs w:val="21"/>
                      <w:highlight w:val="none"/>
                    </w:rPr>
                  </w:pPr>
                  <w:r>
                    <w:rPr>
                      <w:color w:val="auto"/>
                      <w:kern w:val="0"/>
                      <w:szCs w:val="21"/>
                      <w:highlight w:val="none"/>
                    </w:rPr>
                    <w:t>万元工业增加值能耗（吨标煤）≤1.3</w:t>
                  </w:r>
                </w:p>
              </w:tc>
              <w:tc>
                <w:tcPr>
                  <w:tcW w:w="1316" w:type="pct"/>
                  <w:tcBorders>
                    <w:right w:val="single" w:color="auto" w:sz="4" w:space="0"/>
                  </w:tcBorders>
                  <w:vAlign w:val="center"/>
                </w:tcPr>
                <w:p w14:paraId="02F09F31">
                  <w:pPr>
                    <w:widowControl/>
                    <w:adjustRightInd w:val="0"/>
                    <w:snapToGrid w:val="0"/>
                    <w:jc w:val="center"/>
                    <w:rPr>
                      <w:color w:val="auto"/>
                      <w:kern w:val="0"/>
                      <w:szCs w:val="21"/>
                      <w:highlight w:val="none"/>
                    </w:rPr>
                  </w:pPr>
                  <w:r>
                    <w:rPr>
                      <w:color w:val="auto"/>
                      <w:kern w:val="0"/>
                      <w:szCs w:val="21"/>
                      <w:highlight w:val="none"/>
                    </w:rPr>
                    <w:t>万元工业增加值能耗（吨标煤）</w:t>
                  </w:r>
                  <w:r>
                    <w:rPr>
                      <w:rFonts w:hint="eastAsia"/>
                      <w:color w:val="auto"/>
                      <w:kern w:val="0"/>
                      <w:szCs w:val="21"/>
                      <w:highlight w:val="none"/>
                    </w:rPr>
                    <w:t>为1.23，</w:t>
                  </w:r>
                  <w:r>
                    <w:rPr>
                      <w:color w:val="auto"/>
                      <w:kern w:val="0"/>
                      <w:szCs w:val="21"/>
                      <w:highlight w:val="none"/>
                    </w:rPr>
                    <w:t>满足</w:t>
                  </w:r>
                  <w:r>
                    <w:rPr>
                      <w:rFonts w:hint="eastAsia"/>
                      <w:color w:val="auto"/>
                      <w:kern w:val="0"/>
                      <w:szCs w:val="21"/>
                      <w:highlight w:val="none"/>
                    </w:rPr>
                    <w:t>此要求</w:t>
                  </w:r>
                </w:p>
              </w:tc>
            </w:tr>
            <w:tr w14:paraId="4E640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5" w:type="pct"/>
                  <w:gridSpan w:val="2"/>
                  <w:vMerge w:val="continue"/>
                  <w:tcBorders>
                    <w:left w:val="single" w:color="auto" w:sz="4" w:space="0"/>
                  </w:tcBorders>
                  <w:vAlign w:val="center"/>
                </w:tcPr>
                <w:p w14:paraId="7D772D73">
                  <w:pPr>
                    <w:widowControl/>
                    <w:adjustRightInd w:val="0"/>
                    <w:snapToGrid w:val="0"/>
                    <w:jc w:val="center"/>
                    <w:rPr>
                      <w:color w:val="auto"/>
                      <w:kern w:val="0"/>
                      <w:szCs w:val="21"/>
                      <w:highlight w:val="none"/>
                    </w:rPr>
                  </w:pPr>
                </w:p>
              </w:tc>
              <w:tc>
                <w:tcPr>
                  <w:tcW w:w="2407" w:type="pct"/>
                  <w:vAlign w:val="center"/>
                </w:tcPr>
                <w:p w14:paraId="2979DA89">
                  <w:pPr>
                    <w:widowControl/>
                    <w:adjustRightInd w:val="0"/>
                    <w:snapToGrid w:val="0"/>
                    <w:jc w:val="center"/>
                    <w:rPr>
                      <w:color w:val="auto"/>
                      <w:kern w:val="0"/>
                      <w:szCs w:val="21"/>
                      <w:highlight w:val="none"/>
                    </w:rPr>
                  </w:pPr>
                  <w:r>
                    <w:rPr>
                      <w:color w:val="auto"/>
                      <w:kern w:val="0"/>
                      <w:szCs w:val="21"/>
                      <w:highlight w:val="none"/>
                    </w:rPr>
                    <w:t>万元工业增加值用水量（m³/万元）&lt;36.9</w:t>
                  </w:r>
                </w:p>
              </w:tc>
              <w:tc>
                <w:tcPr>
                  <w:tcW w:w="1316" w:type="pct"/>
                  <w:tcBorders>
                    <w:right w:val="single" w:color="auto" w:sz="4" w:space="0"/>
                  </w:tcBorders>
                  <w:vAlign w:val="center"/>
                </w:tcPr>
                <w:p w14:paraId="35B8684D">
                  <w:pPr>
                    <w:widowControl/>
                    <w:adjustRightInd w:val="0"/>
                    <w:snapToGrid w:val="0"/>
                    <w:jc w:val="center"/>
                    <w:rPr>
                      <w:color w:val="auto"/>
                      <w:kern w:val="0"/>
                      <w:szCs w:val="21"/>
                      <w:highlight w:val="none"/>
                    </w:rPr>
                  </w:pPr>
                  <w:r>
                    <w:rPr>
                      <w:color w:val="auto"/>
                      <w:kern w:val="0"/>
                      <w:szCs w:val="21"/>
                      <w:highlight w:val="none"/>
                    </w:rPr>
                    <w:t>万元工业增加值用水量</w:t>
                  </w:r>
                  <w:r>
                    <w:rPr>
                      <w:rFonts w:hint="eastAsia"/>
                      <w:color w:val="auto"/>
                      <w:kern w:val="0"/>
                      <w:szCs w:val="21"/>
                      <w:highlight w:val="none"/>
                    </w:rPr>
                    <w:t>为33.3，</w:t>
                  </w:r>
                  <w:r>
                    <w:rPr>
                      <w:color w:val="auto"/>
                      <w:kern w:val="0"/>
                      <w:szCs w:val="21"/>
                      <w:highlight w:val="none"/>
                    </w:rPr>
                    <w:t>满足</w:t>
                  </w:r>
                  <w:r>
                    <w:rPr>
                      <w:rFonts w:hint="eastAsia"/>
                      <w:color w:val="auto"/>
                      <w:kern w:val="0"/>
                      <w:szCs w:val="21"/>
                      <w:highlight w:val="none"/>
                    </w:rPr>
                    <w:t>此要求</w:t>
                  </w:r>
                </w:p>
              </w:tc>
            </w:tr>
            <w:tr w14:paraId="4CAA9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5" w:type="pct"/>
                  <w:gridSpan w:val="2"/>
                  <w:vMerge w:val="continue"/>
                  <w:tcBorders>
                    <w:left w:val="single" w:color="auto" w:sz="4" w:space="0"/>
                  </w:tcBorders>
                  <w:vAlign w:val="center"/>
                </w:tcPr>
                <w:p w14:paraId="2A7389B7">
                  <w:pPr>
                    <w:widowControl/>
                    <w:adjustRightInd w:val="0"/>
                    <w:snapToGrid w:val="0"/>
                    <w:jc w:val="center"/>
                    <w:rPr>
                      <w:color w:val="auto"/>
                      <w:kern w:val="0"/>
                      <w:szCs w:val="21"/>
                      <w:highlight w:val="none"/>
                    </w:rPr>
                  </w:pPr>
                </w:p>
              </w:tc>
              <w:tc>
                <w:tcPr>
                  <w:tcW w:w="2407" w:type="pct"/>
                  <w:vAlign w:val="center"/>
                </w:tcPr>
                <w:p w14:paraId="0772CFAA">
                  <w:pPr>
                    <w:widowControl/>
                    <w:adjustRightInd w:val="0"/>
                    <w:snapToGrid w:val="0"/>
                    <w:jc w:val="center"/>
                    <w:rPr>
                      <w:color w:val="auto"/>
                      <w:kern w:val="0"/>
                      <w:szCs w:val="21"/>
                      <w:highlight w:val="none"/>
                    </w:rPr>
                  </w:pPr>
                  <w:r>
                    <w:rPr>
                      <w:color w:val="auto"/>
                      <w:kern w:val="0"/>
                      <w:szCs w:val="21"/>
                      <w:highlight w:val="none"/>
                    </w:rPr>
                    <w:t>清洁生产水平不得低于国内先进水平</w:t>
                  </w:r>
                </w:p>
              </w:tc>
              <w:tc>
                <w:tcPr>
                  <w:tcW w:w="1316" w:type="pct"/>
                  <w:tcBorders>
                    <w:right w:val="single" w:color="auto" w:sz="4" w:space="0"/>
                  </w:tcBorders>
                  <w:vAlign w:val="center"/>
                </w:tcPr>
                <w:p w14:paraId="1CD1421B">
                  <w:pPr>
                    <w:widowControl/>
                    <w:adjustRightInd w:val="0"/>
                    <w:snapToGrid w:val="0"/>
                    <w:jc w:val="center"/>
                    <w:rPr>
                      <w:color w:val="auto"/>
                      <w:kern w:val="0"/>
                      <w:szCs w:val="21"/>
                      <w:highlight w:val="none"/>
                    </w:rPr>
                  </w:pPr>
                  <w:r>
                    <w:rPr>
                      <w:rFonts w:hint="eastAsia"/>
                      <w:color w:val="auto"/>
                      <w:kern w:val="0"/>
                      <w:szCs w:val="21"/>
                      <w:highlight w:val="none"/>
                    </w:rPr>
                    <w:t>清洁生产水平</w:t>
                  </w:r>
                  <w:r>
                    <w:rPr>
                      <w:color w:val="auto"/>
                      <w:kern w:val="0"/>
                      <w:szCs w:val="21"/>
                      <w:highlight w:val="none"/>
                    </w:rPr>
                    <w:t>满足国内先进水平</w:t>
                  </w:r>
                </w:p>
              </w:tc>
            </w:tr>
            <w:tr w14:paraId="5DFF2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restart"/>
                  <w:tcBorders>
                    <w:left w:val="single" w:color="auto" w:sz="4" w:space="0"/>
                  </w:tcBorders>
                  <w:vAlign w:val="center"/>
                </w:tcPr>
                <w:p w14:paraId="0AC5876D">
                  <w:pPr>
                    <w:widowControl/>
                    <w:adjustRightInd w:val="0"/>
                    <w:snapToGrid w:val="0"/>
                    <w:jc w:val="center"/>
                    <w:rPr>
                      <w:color w:val="auto"/>
                      <w:kern w:val="0"/>
                      <w:szCs w:val="21"/>
                      <w:highlight w:val="none"/>
                    </w:rPr>
                  </w:pPr>
                  <w:r>
                    <w:rPr>
                      <w:color w:val="auto"/>
                      <w:kern w:val="0"/>
                      <w:szCs w:val="21"/>
                      <w:highlight w:val="none"/>
                    </w:rPr>
                    <w:t>禁止准入产业</w:t>
                  </w:r>
                </w:p>
              </w:tc>
              <w:tc>
                <w:tcPr>
                  <w:tcW w:w="808" w:type="pct"/>
                  <w:vMerge w:val="restart"/>
                  <w:vAlign w:val="center"/>
                </w:tcPr>
                <w:p w14:paraId="3988C9EE">
                  <w:pPr>
                    <w:widowControl/>
                    <w:adjustRightInd w:val="0"/>
                    <w:snapToGrid w:val="0"/>
                    <w:jc w:val="center"/>
                    <w:rPr>
                      <w:color w:val="auto"/>
                      <w:kern w:val="0"/>
                      <w:szCs w:val="21"/>
                      <w:highlight w:val="none"/>
                    </w:rPr>
                  </w:pPr>
                  <w:r>
                    <w:rPr>
                      <w:color w:val="auto"/>
                      <w:kern w:val="0"/>
                      <w:szCs w:val="21"/>
                      <w:highlight w:val="none"/>
                    </w:rPr>
                    <w:t>总体</w:t>
                  </w:r>
                </w:p>
              </w:tc>
              <w:tc>
                <w:tcPr>
                  <w:tcW w:w="2407" w:type="pct"/>
                  <w:vAlign w:val="center"/>
                </w:tcPr>
                <w:p w14:paraId="1478648D">
                  <w:pPr>
                    <w:widowControl/>
                    <w:adjustRightInd w:val="0"/>
                    <w:snapToGrid w:val="0"/>
                    <w:jc w:val="center"/>
                    <w:rPr>
                      <w:color w:val="auto"/>
                      <w:kern w:val="0"/>
                      <w:szCs w:val="21"/>
                      <w:highlight w:val="none"/>
                    </w:rPr>
                  </w:pPr>
                  <w:r>
                    <w:rPr>
                      <w:color w:val="auto"/>
                      <w:kern w:val="0"/>
                      <w:szCs w:val="21"/>
                      <w:highlight w:val="none"/>
                    </w:rPr>
                    <w:t>禁止引入《市场准入负面清单（2018 年版）》禁止准入事项</w:t>
                  </w:r>
                </w:p>
              </w:tc>
              <w:tc>
                <w:tcPr>
                  <w:tcW w:w="1316" w:type="pct"/>
                  <w:tcBorders>
                    <w:right w:val="single" w:color="auto" w:sz="4" w:space="0"/>
                  </w:tcBorders>
                  <w:vAlign w:val="center"/>
                </w:tcPr>
                <w:p w14:paraId="6FCABF9E">
                  <w:pPr>
                    <w:widowControl/>
                    <w:adjustRightInd w:val="0"/>
                    <w:snapToGrid w:val="0"/>
                    <w:jc w:val="center"/>
                    <w:rPr>
                      <w:color w:val="auto"/>
                      <w:kern w:val="0"/>
                      <w:szCs w:val="21"/>
                      <w:highlight w:val="none"/>
                    </w:rPr>
                  </w:pPr>
                  <w:r>
                    <w:rPr>
                      <w:color w:val="auto"/>
                      <w:kern w:val="0"/>
                      <w:szCs w:val="21"/>
                      <w:highlight w:val="none"/>
                    </w:rPr>
                    <w:t>本项目不属于文件中禁止准入事项</w:t>
                  </w:r>
                </w:p>
              </w:tc>
            </w:tr>
            <w:tr w14:paraId="1B8DA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018DB0CD">
                  <w:pPr>
                    <w:widowControl/>
                    <w:adjustRightInd w:val="0"/>
                    <w:snapToGrid w:val="0"/>
                    <w:jc w:val="center"/>
                    <w:rPr>
                      <w:color w:val="auto"/>
                      <w:kern w:val="0"/>
                      <w:szCs w:val="21"/>
                      <w:highlight w:val="none"/>
                    </w:rPr>
                  </w:pPr>
                </w:p>
              </w:tc>
              <w:tc>
                <w:tcPr>
                  <w:tcW w:w="808" w:type="pct"/>
                  <w:vMerge w:val="continue"/>
                  <w:vAlign w:val="center"/>
                </w:tcPr>
                <w:p w14:paraId="318867FB">
                  <w:pPr>
                    <w:widowControl/>
                    <w:adjustRightInd w:val="0"/>
                    <w:snapToGrid w:val="0"/>
                    <w:jc w:val="center"/>
                    <w:rPr>
                      <w:color w:val="auto"/>
                      <w:kern w:val="0"/>
                      <w:szCs w:val="21"/>
                      <w:highlight w:val="none"/>
                    </w:rPr>
                  </w:pPr>
                </w:p>
              </w:tc>
              <w:tc>
                <w:tcPr>
                  <w:tcW w:w="2407" w:type="pct"/>
                  <w:vAlign w:val="center"/>
                </w:tcPr>
                <w:p w14:paraId="4C438537">
                  <w:pPr>
                    <w:widowControl/>
                    <w:adjustRightInd w:val="0"/>
                    <w:snapToGrid w:val="0"/>
                    <w:jc w:val="center"/>
                    <w:rPr>
                      <w:color w:val="auto"/>
                      <w:kern w:val="0"/>
                      <w:szCs w:val="21"/>
                      <w:highlight w:val="none"/>
                    </w:rPr>
                  </w:pPr>
                  <w:r>
                    <w:rPr>
                      <w:color w:val="auto"/>
                      <w:kern w:val="0"/>
                      <w:szCs w:val="21"/>
                      <w:highlight w:val="none"/>
                    </w:rPr>
                    <w:t>禁止引入《产业结构调整指导目录》淘汰类、限制类</w:t>
                  </w:r>
                </w:p>
              </w:tc>
              <w:tc>
                <w:tcPr>
                  <w:tcW w:w="1316" w:type="pct"/>
                  <w:tcBorders>
                    <w:right w:val="single" w:color="auto" w:sz="4" w:space="0"/>
                  </w:tcBorders>
                  <w:vAlign w:val="center"/>
                </w:tcPr>
                <w:p w14:paraId="58F67551">
                  <w:pPr>
                    <w:widowControl/>
                    <w:adjustRightInd w:val="0"/>
                    <w:snapToGrid w:val="0"/>
                    <w:jc w:val="center"/>
                    <w:rPr>
                      <w:color w:val="auto"/>
                      <w:kern w:val="0"/>
                      <w:szCs w:val="21"/>
                      <w:highlight w:val="none"/>
                    </w:rPr>
                  </w:pPr>
                  <w:r>
                    <w:rPr>
                      <w:color w:val="auto"/>
                      <w:kern w:val="0"/>
                      <w:szCs w:val="21"/>
                      <w:highlight w:val="none"/>
                    </w:rPr>
                    <w:t>本项目</w:t>
                  </w:r>
                  <w:r>
                    <w:rPr>
                      <w:rFonts w:hint="eastAsia"/>
                      <w:color w:val="auto"/>
                      <w:kern w:val="0"/>
                      <w:szCs w:val="21"/>
                      <w:highlight w:val="none"/>
                    </w:rPr>
                    <w:t>属于</w:t>
                  </w:r>
                  <w:r>
                    <w:rPr>
                      <w:color w:val="auto"/>
                      <w:kern w:val="0"/>
                      <w:szCs w:val="21"/>
                      <w:highlight w:val="none"/>
                    </w:rPr>
                    <w:t>《产业结构调整指导目录》</w:t>
                  </w:r>
                  <w:r>
                    <w:rPr>
                      <w:rFonts w:hint="eastAsia"/>
                      <w:color w:val="auto"/>
                      <w:kern w:val="0"/>
                      <w:szCs w:val="21"/>
                      <w:highlight w:val="none"/>
                    </w:rPr>
                    <w:t>（2024年本）中的允许类，</w:t>
                  </w:r>
                  <w:r>
                    <w:rPr>
                      <w:color w:val="auto"/>
                      <w:kern w:val="0"/>
                      <w:szCs w:val="21"/>
                      <w:highlight w:val="none"/>
                    </w:rPr>
                    <w:t>不属于淘汰类、限制类</w:t>
                  </w:r>
                </w:p>
              </w:tc>
            </w:tr>
            <w:tr w14:paraId="1BBDE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vMerge w:val="continue"/>
                  <w:tcBorders>
                    <w:left w:val="single" w:color="auto" w:sz="4" w:space="0"/>
                  </w:tcBorders>
                  <w:vAlign w:val="center"/>
                </w:tcPr>
                <w:p w14:paraId="6A5D8B9F">
                  <w:pPr>
                    <w:widowControl/>
                    <w:adjustRightInd w:val="0"/>
                    <w:snapToGrid w:val="0"/>
                    <w:jc w:val="center"/>
                    <w:rPr>
                      <w:color w:val="auto"/>
                      <w:kern w:val="0"/>
                      <w:szCs w:val="21"/>
                      <w:highlight w:val="none"/>
                    </w:rPr>
                  </w:pPr>
                </w:p>
              </w:tc>
              <w:tc>
                <w:tcPr>
                  <w:tcW w:w="808" w:type="pct"/>
                  <w:vMerge w:val="continue"/>
                  <w:vAlign w:val="center"/>
                </w:tcPr>
                <w:p w14:paraId="71472A92">
                  <w:pPr>
                    <w:widowControl/>
                    <w:adjustRightInd w:val="0"/>
                    <w:snapToGrid w:val="0"/>
                    <w:jc w:val="center"/>
                    <w:rPr>
                      <w:color w:val="auto"/>
                      <w:kern w:val="0"/>
                      <w:szCs w:val="21"/>
                      <w:highlight w:val="none"/>
                    </w:rPr>
                  </w:pPr>
                </w:p>
              </w:tc>
              <w:tc>
                <w:tcPr>
                  <w:tcW w:w="2407" w:type="pct"/>
                  <w:vAlign w:val="center"/>
                </w:tcPr>
                <w:p w14:paraId="016A5817">
                  <w:pPr>
                    <w:widowControl/>
                    <w:adjustRightInd w:val="0"/>
                    <w:snapToGrid w:val="0"/>
                    <w:jc w:val="center"/>
                    <w:rPr>
                      <w:color w:val="auto"/>
                      <w:kern w:val="0"/>
                      <w:szCs w:val="21"/>
                      <w:highlight w:val="none"/>
                    </w:rPr>
                  </w:pPr>
                  <w:r>
                    <w:rPr>
                      <w:color w:val="auto"/>
                      <w:kern w:val="0"/>
                      <w:szCs w:val="21"/>
                      <w:highlight w:val="none"/>
                    </w:rPr>
                    <w:t>禁止引入资源环境绩效水平超过《重庆市工业项目环境准入规定》（渝办发</w:t>
                  </w:r>
                  <w:r>
                    <w:rPr>
                      <w:rFonts w:hint="eastAsia"/>
                      <w:color w:val="auto"/>
                      <w:kern w:val="0"/>
                      <w:szCs w:val="21"/>
                      <w:highlight w:val="none"/>
                    </w:rPr>
                    <w:t>〔2012〕</w:t>
                  </w:r>
                  <w:r>
                    <w:rPr>
                      <w:color w:val="auto"/>
                      <w:kern w:val="0"/>
                      <w:szCs w:val="21"/>
                      <w:highlight w:val="none"/>
                    </w:rPr>
                    <w:t>142 号）限值以及不符合生态建设和环境保护规划区域布局规定的工业项目</w:t>
                  </w:r>
                </w:p>
              </w:tc>
              <w:tc>
                <w:tcPr>
                  <w:tcW w:w="1316" w:type="pct"/>
                  <w:tcBorders>
                    <w:right w:val="single" w:color="auto" w:sz="4" w:space="0"/>
                  </w:tcBorders>
                  <w:vAlign w:val="center"/>
                </w:tcPr>
                <w:p w14:paraId="13672E7C">
                  <w:pPr>
                    <w:widowControl/>
                    <w:adjustRightInd w:val="0"/>
                    <w:snapToGrid w:val="0"/>
                    <w:jc w:val="center"/>
                    <w:rPr>
                      <w:color w:val="auto"/>
                      <w:kern w:val="0"/>
                      <w:szCs w:val="21"/>
                      <w:highlight w:val="none"/>
                    </w:rPr>
                  </w:pPr>
                  <w:r>
                    <w:rPr>
                      <w:color w:val="auto"/>
                      <w:kern w:val="0"/>
                      <w:szCs w:val="21"/>
                      <w:highlight w:val="none"/>
                    </w:rPr>
                    <w:t>本项目</w:t>
                  </w:r>
                  <w:r>
                    <w:rPr>
                      <w:rFonts w:hint="eastAsia"/>
                      <w:color w:val="auto"/>
                      <w:kern w:val="0"/>
                      <w:szCs w:val="21"/>
                      <w:highlight w:val="none"/>
                    </w:rPr>
                    <w:t>满足相关要求</w:t>
                  </w:r>
                </w:p>
              </w:tc>
            </w:tr>
            <w:tr w14:paraId="28A53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2D4EBE52">
                  <w:pPr>
                    <w:widowControl/>
                    <w:adjustRightInd w:val="0"/>
                    <w:snapToGrid w:val="0"/>
                    <w:jc w:val="center"/>
                    <w:rPr>
                      <w:color w:val="auto"/>
                      <w:kern w:val="0"/>
                      <w:szCs w:val="21"/>
                      <w:highlight w:val="none"/>
                    </w:rPr>
                  </w:pPr>
                </w:p>
              </w:tc>
              <w:tc>
                <w:tcPr>
                  <w:tcW w:w="808" w:type="pct"/>
                  <w:vMerge w:val="continue"/>
                  <w:vAlign w:val="center"/>
                </w:tcPr>
                <w:p w14:paraId="2A90242D">
                  <w:pPr>
                    <w:widowControl/>
                    <w:adjustRightInd w:val="0"/>
                    <w:snapToGrid w:val="0"/>
                    <w:jc w:val="center"/>
                    <w:rPr>
                      <w:color w:val="auto"/>
                      <w:kern w:val="0"/>
                      <w:szCs w:val="21"/>
                      <w:highlight w:val="none"/>
                    </w:rPr>
                  </w:pPr>
                </w:p>
              </w:tc>
              <w:tc>
                <w:tcPr>
                  <w:tcW w:w="2407" w:type="pct"/>
                  <w:vAlign w:val="center"/>
                </w:tcPr>
                <w:p w14:paraId="32B0FF03">
                  <w:pPr>
                    <w:widowControl/>
                    <w:adjustRightInd w:val="0"/>
                    <w:snapToGrid w:val="0"/>
                    <w:jc w:val="center"/>
                    <w:rPr>
                      <w:color w:val="auto"/>
                      <w:kern w:val="0"/>
                      <w:szCs w:val="21"/>
                      <w:highlight w:val="none"/>
                    </w:rPr>
                  </w:pPr>
                  <w:r>
                    <w:rPr>
                      <w:color w:val="auto"/>
                      <w:kern w:val="0"/>
                      <w:szCs w:val="21"/>
                      <w:highlight w:val="none"/>
                    </w:rPr>
                    <w:t>禁止引入属于否定性指标范围内的企业、工艺</w:t>
                  </w:r>
                </w:p>
              </w:tc>
              <w:tc>
                <w:tcPr>
                  <w:tcW w:w="1316" w:type="pct"/>
                  <w:tcBorders>
                    <w:right w:val="single" w:color="auto" w:sz="4" w:space="0"/>
                  </w:tcBorders>
                  <w:vAlign w:val="center"/>
                </w:tcPr>
                <w:p w14:paraId="17A97BBE">
                  <w:pPr>
                    <w:widowControl/>
                    <w:adjustRightInd w:val="0"/>
                    <w:snapToGrid w:val="0"/>
                    <w:jc w:val="center"/>
                    <w:rPr>
                      <w:color w:val="auto"/>
                      <w:kern w:val="0"/>
                      <w:szCs w:val="21"/>
                      <w:highlight w:val="none"/>
                    </w:rPr>
                  </w:pPr>
                  <w:r>
                    <w:rPr>
                      <w:color w:val="auto"/>
                      <w:kern w:val="0"/>
                      <w:szCs w:val="21"/>
                      <w:highlight w:val="none"/>
                    </w:rPr>
                    <w:t>不属于否定性指标范围内的企业、工艺</w:t>
                  </w:r>
                </w:p>
              </w:tc>
            </w:tr>
            <w:tr w14:paraId="60DEF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29468277">
                  <w:pPr>
                    <w:widowControl/>
                    <w:adjustRightInd w:val="0"/>
                    <w:snapToGrid w:val="0"/>
                    <w:jc w:val="center"/>
                    <w:rPr>
                      <w:color w:val="auto"/>
                      <w:kern w:val="0"/>
                      <w:szCs w:val="21"/>
                      <w:highlight w:val="none"/>
                    </w:rPr>
                  </w:pPr>
                </w:p>
              </w:tc>
              <w:tc>
                <w:tcPr>
                  <w:tcW w:w="808" w:type="pct"/>
                  <w:vMerge w:val="continue"/>
                  <w:vAlign w:val="center"/>
                </w:tcPr>
                <w:p w14:paraId="55368292">
                  <w:pPr>
                    <w:widowControl/>
                    <w:adjustRightInd w:val="0"/>
                    <w:snapToGrid w:val="0"/>
                    <w:jc w:val="center"/>
                    <w:rPr>
                      <w:color w:val="auto"/>
                      <w:kern w:val="0"/>
                      <w:szCs w:val="21"/>
                      <w:highlight w:val="none"/>
                    </w:rPr>
                  </w:pPr>
                </w:p>
              </w:tc>
              <w:tc>
                <w:tcPr>
                  <w:tcW w:w="2407" w:type="pct"/>
                  <w:vAlign w:val="center"/>
                </w:tcPr>
                <w:p w14:paraId="7F4DB7E0">
                  <w:pPr>
                    <w:widowControl/>
                    <w:adjustRightInd w:val="0"/>
                    <w:snapToGrid w:val="0"/>
                    <w:jc w:val="center"/>
                    <w:rPr>
                      <w:color w:val="auto"/>
                      <w:kern w:val="0"/>
                      <w:szCs w:val="21"/>
                      <w:highlight w:val="none"/>
                    </w:rPr>
                  </w:pPr>
                  <w:r>
                    <w:rPr>
                      <w:color w:val="auto"/>
                      <w:kern w:val="0"/>
                      <w:szCs w:val="21"/>
                      <w:highlight w:val="none"/>
                    </w:rPr>
                    <w:t>禁止新建、扩建化工项目；长江、嘉陵江主城区及其上游沿江河段不予准入排放有毒有害物质、重金属以及存在严重安全风险的产业项目</w:t>
                  </w:r>
                </w:p>
              </w:tc>
              <w:tc>
                <w:tcPr>
                  <w:tcW w:w="1316" w:type="pct"/>
                  <w:tcBorders>
                    <w:right w:val="single" w:color="auto" w:sz="4" w:space="0"/>
                  </w:tcBorders>
                  <w:vAlign w:val="center"/>
                </w:tcPr>
                <w:p w14:paraId="3BD71AF5">
                  <w:pPr>
                    <w:widowControl/>
                    <w:adjustRightInd w:val="0"/>
                    <w:snapToGrid w:val="0"/>
                    <w:jc w:val="center"/>
                    <w:rPr>
                      <w:color w:val="auto"/>
                      <w:kern w:val="0"/>
                      <w:szCs w:val="21"/>
                      <w:highlight w:val="none"/>
                    </w:rPr>
                  </w:pPr>
                  <w:r>
                    <w:rPr>
                      <w:rFonts w:hint="eastAsia"/>
                      <w:color w:val="auto"/>
                      <w:kern w:val="0"/>
                      <w:szCs w:val="21"/>
                      <w:highlight w:val="none"/>
                    </w:rPr>
                    <w:t>本项目</w:t>
                  </w:r>
                  <w:r>
                    <w:rPr>
                      <w:color w:val="auto"/>
                      <w:kern w:val="0"/>
                      <w:szCs w:val="21"/>
                      <w:highlight w:val="none"/>
                    </w:rPr>
                    <w:t>不属于化工</w:t>
                  </w:r>
                  <w:r>
                    <w:rPr>
                      <w:rFonts w:hint="eastAsia"/>
                      <w:color w:val="auto"/>
                      <w:kern w:val="0"/>
                      <w:szCs w:val="21"/>
                      <w:highlight w:val="none"/>
                    </w:rPr>
                    <w:t>项目</w:t>
                  </w:r>
                  <w:r>
                    <w:rPr>
                      <w:color w:val="auto"/>
                      <w:kern w:val="0"/>
                      <w:szCs w:val="21"/>
                      <w:highlight w:val="none"/>
                    </w:rPr>
                    <w:t>，不排放有毒有害物质</w:t>
                  </w:r>
                  <w:r>
                    <w:rPr>
                      <w:rFonts w:hint="eastAsia"/>
                      <w:color w:val="auto"/>
                      <w:kern w:val="0"/>
                      <w:szCs w:val="21"/>
                      <w:highlight w:val="none"/>
                    </w:rPr>
                    <w:t>，</w:t>
                  </w:r>
                  <w:r>
                    <w:rPr>
                      <w:color w:val="auto"/>
                      <w:kern w:val="0"/>
                      <w:szCs w:val="21"/>
                      <w:highlight w:val="none"/>
                    </w:rPr>
                    <w:t>不存在重大安全风险</w:t>
                  </w:r>
                </w:p>
              </w:tc>
            </w:tr>
            <w:tr w14:paraId="05461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7AB66DD9">
                  <w:pPr>
                    <w:widowControl/>
                    <w:adjustRightInd w:val="0"/>
                    <w:snapToGrid w:val="0"/>
                    <w:jc w:val="center"/>
                    <w:rPr>
                      <w:color w:val="auto"/>
                      <w:kern w:val="0"/>
                      <w:szCs w:val="21"/>
                      <w:highlight w:val="none"/>
                    </w:rPr>
                  </w:pPr>
                </w:p>
              </w:tc>
              <w:tc>
                <w:tcPr>
                  <w:tcW w:w="808" w:type="pct"/>
                  <w:vMerge w:val="continue"/>
                  <w:vAlign w:val="center"/>
                </w:tcPr>
                <w:p w14:paraId="6E010334">
                  <w:pPr>
                    <w:widowControl/>
                    <w:adjustRightInd w:val="0"/>
                    <w:snapToGrid w:val="0"/>
                    <w:jc w:val="center"/>
                    <w:rPr>
                      <w:color w:val="auto"/>
                      <w:kern w:val="0"/>
                      <w:szCs w:val="21"/>
                      <w:highlight w:val="none"/>
                    </w:rPr>
                  </w:pPr>
                </w:p>
              </w:tc>
              <w:tc>
                <w:tcPr>
                  <w:tcW w:w="2407" w:type="pct"/>
                  <w:vAlign w:val="center"/>
                </w:tcPr>
                <w:p w14:paraId="75C479CA">
                  <w:pPr>
                    <w:widowControl/>
                    <w:adjustRightInd w:val="0"/>
                    <w:snapToGrid w:val="0"/>
                    <w:jc w:val="center"/>
                    <w:rPr>
                      <w:color w:val="auto"/>
                      <w:kern w:val="0"/>
                      <w:szCs w:val="21"/>
                      <w:highlight w:val="none"/>
                    </w:rPr>
                  </w:pPr>
                  <w:r>
                    <w:rPr>
                      <w:color w:val="auto"/>
                      <w:kern w:val="0"/>
                      <w:szCs w:val="21"/>
                      <w:highlight w:val="none"/>
                    </w:rPr>
                    <w:t>禁止新建、扩建未按照国家有关规定取得相关产能置换指标的钢铁、水泥、电解铝、平板玻璃、船舶等产能严重过剩行业</w:t>
                  </w:r>
                </w:p>
              </w:tc>
              <w:tc>
                <w:tcPr>
                  <w:tcW w:w="1316" w:type="pct"/>
                  <w:tcBorders>
                    <w:right w:val="single" w:color="auto" w:sz="4" w:space="0"/>
                  </w:tcBorders>
                  <w:vAlign w:val="center"/>
                </w:tcPr>
                <w:p w14:paraId="7AE6EB90">
                  <w:pPr>
                    <w:widowControl/>
                    <w:adjustRightInd w:val="0"/>
                    <w:snapToGrid w:val="0"/>
                    <w:jc w:val="center"/>
                    <w:rPr>
                      <w:color w:val="auto"/>
                      <w:kern w:val="0"/>
                      <w:szCs w:val="21"/>
                      <w:highlight w:val="none"/>
                    </w:rPr>
                  </w:pPr>
                  <w:r>
                    <w:rPr>
                      <w:rFonts w:hint="eastAsia"/>
                      <w:color w:val="auto"/>
                      <w:kern w:val="0"/>
                      <w:szCs w:val="21"/>
                      <w:highlight w:val="none"/>
                    </w:rPr>
                    <w:t>本项目</w:t>
                  </w:r>
                  <w:r>
                    <w:rPr>
                      <w:color w:val="auto"/>
                      <w:kern w:val="0"/>
                      <w:szCs w:val="21"/>
                      <w:highlight w:val="none"/>
                    </w:rPr>
                    <w:t>不属于产能</w:t>
                  </w:r>
                  <w:r>
                    <w:rPr>
                      <w:rFonts w:hint="eastAsia"/>
                      <w:color w:val="auto"/>
                      <w:kern w:val="0"/>
                      <w:szCs w:val="21"/>
                      <w:highlight w:val="none"/>
                    </w:rPr>
                    <w:t>严重</w:t>
                  </w:r>
                  <w:r>
                    <w:rPr>
                      <w:color w:val="auto"/>
                      <w:kern w:val="0"/>
                      <w:szCs w:val="21"/>
                      <w:highlight w:val="none"/>
                    </w:rPr>
                    <w:t>过剩行业</w:t>
                  </w:r>
                </w:p>
              </w:tc>
            </w:tr>
            <w:tr w14:paraId="5F6A6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7EFF954F">
                  <w:pPr>
                    <w:widowControl/>
                    <w:adjustRightInd w:val="0"/>
                    <w:snapToGrid w:val="0"/>
                    <w:jc w:val="center"/>
                    <w:rPr>
                      <w:color w:val="auto"/>
                      <w:kern w:val="0"/>
                      <w:szCs w:val="21"/>
                      <w:highlight w:val="none"/>
                    </w:rPr>
                  </w:pPr>
                </w:p>
              </w:tc>
              <w:tc>
                <w:tcPr>
                  <w:tcW w:w="808" w:type="pct"/>
                  <w:vMerge w:val="continue"/>
                  <w:vAlign w:val="center"/>
                </w:tcPr>
                <w:p w14:paraId="5116747C">
                  <w:pPr>
                    <w:widowControl/>
                    <w:adjustRightInd w:val="0"/>
                    <w:snapToGrid w:val="0"/>
                    <w:jc w:val="center"/>
                    <w:rPr>
                      <w:color w:val="auto"/>
                      <w:kern w:val="0"/>
                      <w:szCs w:val="21"/>
                      <w:highlight w:val="none"/>
                    </w:rPr>
                  </w:pPr>
                </w:p>
              </w:tc>
              <w:tc>
                <w:tcPr>
                  <w:tcW w:w="2407" w:type="pct"/>
                  <w:vAlign w:val="center"/>
                </w:tcPr>
                <w:p w14:paraId="35853309">
                  <w:pPr>
                    <w:widowControl/>
                    <w:adjustRightInd w:val="0"/>
                    <w:snapToGrid w:val="0"/>
                    <w:jc w:val="center"/>
                    <w:rPr>
                      <w:color w:val="auto"/>
                      <w:kern w:val="0"/>
                      <w:szCs w:val="21"/>
                      <w:highlight w:val="none"/>
                    </w:rPr>
                  </w:pPr>
                  <w:r>
                    <w:rPr>
                      <w:color w:val="auto"/>
                      <w:kern w:val="0"/>
                      <w:szCs w:val="21"/>
                      <w:highlight w:val="none"/>
                    </w:rPr>
                    <w:t>禁止引入涉及电镀工艺项目</w:t>
                  </w:r>
                </w:p>
              </w:tc>
              <w:tc>
                <w:tcPr>
                  <w:tcW w:w="1316" w:type="pct"/>
                  <w:tcBorders>
                    <w:right w:val="single" w:color="auto" w:sz="4" w:space="0"/>
                  </w:tcBorders>
                  <w:vAlign w:val="center"/>
                </w:tcPr>
                <w:p w14:paraId="2AFB6F00">
                  <w:pPr>
                    <w:widowControl/>
                    <w:adjustRightInd w:val="0"/>
                    <w:snapToGrid w:val="0"/>
                    <w:jc w:val="center"/>
                    <w:rPr>
                      <w:color w:val="auto"/>
                      <w:kern w:val="0"/>
                      <w:szCs w:val="21"/>
                      <w:highlight w:val="none"/>
                    </w:rPr>
                  </w:pPr>
                  <w:r>
                    <w:rPr>
                      <w:color w:val="auto"/>
                      <w:kern w:val="0"/>
                      <w:szCs w:val="21"/>
                      <w:highlight w:val="none"/>
                    </w:rPr>
                    <w:t>无电镀工艺</w:t>
                  </w:r>
                </w:p>
              </w:tc>
            </w:tr>
            <w:tr w14:paraId="4F78B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0464E558">
                  <w:pPr>
                    <w:widowControl/>
                    <w:adjustRightInd w:val="0"/>
                    <w:snapToGrid w:val="0"/>
                    <w:jc w:val="center"/>
                    <w:rPr>
                      <w:color w:val="auto"/>
                      <w:kern w:val="0"/>
                      <w:szCs w:val="21"/>
                      <w:highlight w:val="none"/>
                    </w:rPr>
                  </w:pPr>
                </w:p>
              </w:tc>
              <w:tc>
                <w:tcPr>
                  <w:tcW w:w="808" w:type="pct"/>
                  <w:vMerge w:val="continue"/>
                  <w:vAlign w:val="center"/>
                </w:tcPr>
                <w:p w14:paraId="06F014A1">
                  <w:pPr>
                    <w:widowControl/>
                    <w:adjustRightInd w:val="0"/>
                    <w:snapToGrid w:val="0"/>
                    <w:jc w:val="center"/>
                    <w:rPr>
                      <w:color w:val="auto"/>
                      <w:kern w:val="0"/>
                      <w:szCs w:val="21"/>
                      <w:highlight w:val="none"/>
                    </w:rPr>
                  </w:pPr>
                </w:p>
              </w:tc>
              <w:tc>
                <w:tcPr>
                  <w:tcW w:w="2407" w:type="pct"/>
                  <w:vAlign w:val="center"/>
                </w:tcPr>
                <w:p w14:paraId="54D86F9C">
                  <w:pPr>
                    <w:widowControl/>
                    <w:adjustRightInd w:val="0"/>
                    <w:snapToGrid w:val="0"/>
                    <w:jc w:val="center"/>
                    <w:rPr>
                      <w:color w:val="auto"/>
                      <w:kern w:val="0"/>
                      <w:szCs w:val="21"/>
                      <w:highlight w:val="none"/>
                    </w:rPr>
                  </w:pPr>
                  <w:r>
                    <w:rPr>
                      <w:color w:val="auto"/>
                      <w:kern w:val="0"/>
                      <w:szCs w:val="21"/>
                      <w:highlight w:val="none"/>
                    </w:rPr>
                    <w:t>集中式饮用水源取水口上游20公里范围内的沿岸地区，禁止新建、扩建、改建排放重金属、剧毒物质和持久性有机污染物的工业项目</w:t>
                  </w:r>
                </w:p>
              </w:tc>
              <w:tc>
                <w:tcPr>
                  <w:tcW w:w="1316" w:type="pct"/>
                  <w:tcBorders>
                    <w:right w:val="single" w:color="auto" w:sz="4" w:space="0"/>
                  </w:tcBorders>
                  <w:vAlign w:val="center"/>
                </w:tcPr>
                <w:p w14:paraId="34F49077">
                  <w:pPr>
                    <w:widowControl/>
                    <w:adjustRightInd w:val="0"/>
                    <w:snapToGrid w:val="0"/>
                    <w:jc w:val="center"/>
                    <w:rPr>
                      <w:color w:val="auto"/>
                      <w:kern w:val="0"/>
                      <w:szCs w:val="21"/>
                      <w:highlight w:val="none"/>
                    </w:rPr>
                  </w:pPr>
                  <w:r>
                    <w:rPr>
                      <w:rFonts w:hint="eastAsia"/>
                      <w:color w:val="auto"/>
                      <w:kern w:val="0"/>
                      <w:szCs w:val="21"/>
                      <w:highlight w:val="none"/>
                    </w:rPr>
                    <w:t>本项目</w:t>
                  </w:r>
                  <w:r>
                    <w:rPr>
                      <w:color w:val="auto"/>
                      <w:kern w:val="0"/>
                      <w:szCs w:val="21"/>
                      <w:highlight w:val="none"/>
                    </w:rPr>
                    <w:t>不排放重金属、剧毒物质和持久性有机污染物</w:t>
                  </w:r>
                </w:p>
              </w:tc>
            </w:tr>
            <w:tr w14:paraId="77CFC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7D9EC9CC">
                  <w:pPr>
                    <w:widowControl/>
                    <w:adjustRightInd w:val="0"/>
                    <w:snapToGrid w:val="0"/>
                    <w:jc w:val="center"/>
                    <w:rPr>
                      <w:color w:val="auto"/>
                      <w:kern w:val="0"/>
                      <w:szCs w:val="21"/>
                      <w:highlight w:val="none"/>
                    </w:rPr>
                  </w:pPr>
                </w:p>
              </w:tc>
              <w:tc>
                <w:tcPr>
                  <w:tcW w:w="808" w:type="pct"/>
                  <w:vMerge w:val="continue"/>
                  <w:vAlign w:val="center"/>
                </w:tcPr>
                <w:p w14:paraId="5CD30F44">
                  <w:pPr>
                    <w:widowControl/>
                    <w:adjustRightInd w:val="0"/>
                    <w:snapToGrid w:val="0"/>
                    <w:jc w:val="center"/>
                    <w:rPr>
                      <w:color w:val="auto"/>
                      <w:kern w:val="0"/>
                      <w:szCs w:val="21"/>
                      <w:highlight w:val="none"/>
                    </w:rPr>
                  </w:pPr>
                </w:p>
              </w:tc>
              <w:tc>
                <w:tcPr>
                  <w:tcW w:w="2407" w:type="pct"/>
                  <w:vAlign w:val="center"/>
                </w:tcPr>
                <w:p w14:paraId="4D4FE067">
                  <w:pPr>
                    <w:widowControl/>
                    <w:adjustRightInd w:val="0"/>
                    <w:snapToGrid w:val="0"/>
                    <w:jc w:val="center"/>
                    <w:rPr>
                      <w:color w:val="auto"/>
                      <w:kern w:val="0"/>
                      <w:szCs w:val="21"/>
                      <w:highlight w:val="none"/>
                    </w:rPr>
                  </w:pPr>
                  <w:r>
                    <w:rPr>
                      <w:color w:val="auto"/>
                      <w:kern w:val="0"/>
                      <w:szCs w:val="21"/>
                      <w:highlight w:val="none"/>
                    </w:rPr>
                    <w:t>禁止与规划区主导产业环境要求有冲突的项目</w:t>
                  </w:r>
                </w:p>
              </w:tc>
              <w:tc>
                <w:tcPr>
                  <w:tcW w:w="1316" w:type="pct"/>
                  <w:tcBorders>
                    <w:right w:val="single" w:color="auto" w:sz="4" w:space="0"/>
                  </w:tcBorders>
                  <w:vAlign w:val="center"/>
                </w:tcPr>
                <w:p w14:paraId="32D85158">
                  <w:pPr>
                    <w:widowControl/>
                    <w:adjustRightInd w:val="0"/>
                    <w:snapToGrid w:val="0"/>
                    <w:jc w:val="center"/>
                    <w:rPr>
                      <w:color w:val="auto"/>
                      <w:kern w:val="0"/>
                      <w:szCs w:val="21"/>
                      <w:highlight w:val="none"/>
                    </w:rPr>
                  </w:pPr>
                  <w:r>
                    <w:rPr>
                      <w:rFonts w:hint="eastAsia"/>
                      <w:color w:val="auto"/>
                      <w:kern w:val="0"/>
                      <w:szCs w:val="21"/>
                      <w:highlight w:val="none"/>
                    </w:rPr>
                    <w:t>本</w:t>
                  </w:r>
                  <w:r>
                    <w:rPr>
                      <w:color w:val="auto"/>
                      <w:kern w:val="0"/>
                      <w:szCs w:val="21"/>
                      <w:highlight w:val="none"/>
                    </w:rPr>
                    <w:t>项目与</w:t>
                  </w:r>
                  <w:r>
                    <w:rPr>
                      <w:rFonts w:hint="eastAsia"/>
                      <w:color w:val="auto"/>
                      <w:kern w:val="0"/>
                      <w:szCs w:val="21"/>
                      <w:highlight w:val="none"/>
                    </w:rPr>
                    <w:t>龙市镇工业组团</w:t>
                  </w:r>
                  <w:r>
                    <w:rPr>
                      <w:color w:val="auto"/>
                      <w:kern w:val="0"/>
                      <w:szCs w:val="21"/>
                      <w:highlight w:val="none"/>
                    </w:rPr>
                    <w:t>规划相符合</w:t>
                  </w:r>
                </w:p>
              </w:tc>
            </w:tr>
            <w:tr w14:paraId="781DA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1C0EA742">
                  <w:pPr>
                    <w:widowControl/>
                    <w:adjustRightInd w:val="0"/>
                    <w:snapToGrid w:val="0"/>
                    <w:jc w:val="center"/>
                    <w:rPr>
                      <w:color w:val="auto"/>
                      <w:kern w:val="0"/>
                      <w:szCs w:val="21"/>
                      <w:highlight w:val="none"/>
                    </w:rPr>
                  </w:pPr>
                </w:p>
              </w:tc>
              <w:tc>
                <w:tcPr>
                  <w:tcW w:w="808" w:type="pct"/>
                  <w:vAlign w:val="center"/>
                </w:tcPr>
                <w:p w14:paraId="64E9946B">
                  <w:pPr>
                    <w:widowControl/>
                    <w:adjustRightInd w:val="0"/>
                    <w:snapToGrid w:val="0"/>
                    <w:jc w:val="center"/>
                    <w:rPr>
                      <w:color w:val="auto"/>
                      <w:kern w:val="0"/>
                      <w:szCs w:val="21"/>
                      <w:highlight w:val="none"/>
                    </w:rPr>
                  </w:pPr>
                  <w:r>
                    <w:rPr>
                      <w:color w:val="auto"/>
                      <w:kern w:val="0"/>
                      <w:szCs w:val="21"/>
                      <w:highlight w:val="none"/>
                    </w:rPr>
                    <w:t>新型建材</w:t>
                  </w:r>
                </w:p>
              </w:tc>
              <w:tc>
                <w:tcPr>
                  <w:tcW w:w="2407" w:type="pct"/>
                  <w:vAlign w:val="center"/>
                </w:tcPr>
                <w:p w14:paraId="25BB76E9">
                  <w:pPr>
                    <w:widowControl/>
                    <w:adjustRightInd w:val="0"/>
                    <w:snapToGrid w:val="0"/>
                    <w:jc w:val="center"/>
                    <w:rPr>
                      <w:color w:val="auto"/>
                      <w:kern w:val="0"/>
                      <w:szCs w:val="21"/>
                      <w:highlight w:val="none"/>
                    </w:rPr>
                  </w:pPr>
                  <w:r>
                    <w:rPr>
                      <w:color w:val="auto"/>
                      <w:kern w:val="0"/>
                      <w:szCs w:val="21"/>
                      <w:highlight w:val="none"/>
                    </w:rPr>
                    <w:t>不予准入墙体材料行业烧结页岩实心砖和单排孔混凝土空心砌块等落后产品</w:t>
                  </w:r>
                </w:p>
              </w:tc>
              <w:tc>
                <w:tcPr>
                  <w:tcW w:w="1316" w:type="pct"/>
                  <w:tcBorders>
                    <w:right w:val="single" w:color="auto" w:sz="4" w:space="0"/>
                  </w:tcBorders>
                  <w:vAlign w:val="center"/>
                </w:tcPr>
                <w:p w14:paraId="521E4DBD">
                  <w:pPr>
                    <w:widowControl/>
                    <w:adjustRightInd w:val="0"/>
                    <w:snapToGrid w:val="0"/>
                    <w:jc w:val="center"/>
                    <w:rPr>
                      <w:color w:val="auto"/>
                      <w:kern w:val="0"/>
                      <w:szCs w:val="21"/>
                      <w:highlight w:val="none"/>
                    </w:rPr>
                  </w:pPr>
                  <w:r>
                    <w:rPr>
                      <w:color w:val="auto"/>
                      <w:kern w:val="0"/>
                      <w:szCs w:val="21"/>
                      <w:highlight w:val="none"/>
                    </w:rPr>
                    <w:t>不属于此类项目</w:t>
                  </w:r>
                </w:p>
              </w:tc>
            </w:tr>
            <w:tr w14:paraId="4EC77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restart"/>
                  <w:tcBorders>
                    <w:left w:val="single" w:color="auto" w:sz="4" w:space="0"/>
                  </w:tcBorders>
                  <w:vAlign w:val="center"/>
                </w:tcPr>
                <w:p w14:paraId="169E6604">
                  <w:pPr>
                    <w:widowControl/>
                    <w:adjustRightInd w:val="0"/>
                    <w:snapToGrid w:val="0"/>
                    <w:jc w:val="center"/>
                    <w:rPr>
                      <w:color w:val="auto"/>
                      <w:kern w:val="0"/>
                      <w:szCs w:val="21"/>
                      <w:highlight w:val="none"/>
                    </w:rPr>
                  </w:pPr>
                  <w:r>
                    <w:rPr>
                      <w:color w:val="auto"/>
                      <w:kern w:val="0"/>
                      <w:szCs w:val="21"/>
                      <w:highlight w:val="none"/>
                    </w:rPr>
                    <w:t>限制准入</w:t>
                  </w:r>
                </w:p>
              </w:tc>
              <w:tc>
                <w:tcPr>
                  <w:tcW w:w="808" w:type="pct"/>
                  <w:vMerge w:val="restart"/>
                  <w:vAlign w:val="center"/>
                </w:tcPr>
                <w:p w14:paraId="4D8B1991">
                  <w:pPr>
                    <w:widowControl/>
                    <w:adjustRightInd w:val="0"/>
                    <w:snapToGrid w:val="0"/>
                    <w:jc w:val="center"/>
                    <w:rPr>
                      <w:color w:val="auto"/>
                      <w:kern w:val="0"/>
                      <w:szCs w:val="21"/>
                      <w:highlight w:val="none"/>
                    </w:rPr>
                  </w:pPr>
                  <w:r>
                    <w:rPr>
                      <w:color w:val="auto"/>
                      <w:kern w:val="0"/>
                      <w:szCs w:val="21"/>
                      <w:highlight w:val="none"/>
                    </w:rPr>
                    <w:t>总体</w:t>
                  </w:r>
                </w:p>
              </w:tc>
              <w:tc>
                <w:tcPr>
                  <w:tcW w:w="2407" w:type="pct"/>
                  <w:vAlign w:val="center"/>
                </w:tcPr>
                <w:p w14:paraId="4638C2BA">
                  <w:pPr>
                    <w:widowControl/>
                    <w:adjustRightInd w:val="0"/>
                    <w:snapToGrid w:val="0"/>
                    <w:jc w:val="center"/>
                    <w:rPr>
                      <w:color w:val="auto"/>
                      <w:kern w:val="0"/>
                      <w:szCs w:val="21"/>
                      <w:highlight w:val="none"/>
                    </w:rPr>
                  </w:pPr>
                  <w:r>
                    <w:rPr>
                      <w:color w:val="auto"/>
                      <w:kern w:val="0"/>
                      <w:szCs w:val="21"/>
                      <w:highlight w:val="none"/>
                    </w:rPr>
                    <w:t>严格控制过剩产能和“两高一资”项目，严格限制造纸、印染、煤电、传统化工、传统燃油汽车、涉及重金属以及有毒有害和持久性有机污染物排放的项目；新建或扩建上述项目，必须符合国家及重庆市产业政策和布局，依法办理环境保护、安全生产、资源（能源）节约等有关手续。</w:t>
                  </w:r>
                </w:p>
              </w:tc>
              <w:tc>
                <w:tcPr>
                  <w:tcW w:w="1316" w:type="pct"/>
                  <w:tcBorders>
                    <w:right w:val="single" w:color="auto" w:sz="4" w:space="0"/>
                  </w:tcBorders>
                  <w:vAlign w:val="center"/>
                </w:tcPr>
                <w:p w14:paraId="5754FAD0">
                  <w:pPr>
                    <w:widowControl/>
                    <w:adjustRightInd w:val="0"/>
                    <w:snapToGrid w:val="0"/>
                    <w:jc w:val="center"/>
                    <w:rPr>
                      <w:color w:val="auto"/>
                      <w:kern w:val="0"/>
                      <w:szCs w:val="21"/>
                      <w:highlight w:val="none"/>
                    </w:rPr>
                  </w:pPr>
                  <w:r>
                    <w:rPr>
                      <w:rFonts w:hint="eastAsia"/>
                      <w:color w:val="auto"/>
                      <w:kern w:val="0"/>
                      <w:szCs w:val="21"/>
                      <w:highlight w:val="none"/>
                    </w:rPr>
                    <w:t>项目</w:t>
                  </w:r>
                  <w:r>
                    <w:rPr>
                      <w:color w:val="auto"/>
                      <w:kern w:val="0"/>
                      <w:szCs w:val="21"/>
                      <w:highlight w:val="none"/>
                    </w:rPr>
                    <w:t>不属于过剩产能和“两高一资”项目，不属于燃煤、重油等高污染物工业项目</w:t>
                  </w:r>
                </w:p>
              </w:tc>
            </w:tr>
            <w:tr w14:paraId="6E4FE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4D546926">
                  <w:pPr>
                    <w:widowControl/>
                    <w:adjustRightInd w:val="0"/>
                    <w:snapToGrid w:val="0"/>
                    <w:jc w:val="center"/>
                    <w:rPr>
                      <w:color w:val="auto"/>
                      <w:kern w:val="0"/>
                      <w:szCs w:val="21"/>
                      <w:highlight w:val="none"/>
                    </w:rPr>
                  </w:pPr>
                </w:p>
              </w:tc>
              <w:tc>
                <w:tcPr>
                  <w:tcW w:w="808" w:type="pct"/>
                  <w:vMerge w:val="continue"/>
                  <w:vAlign w:val="center"/>
                </w:tcPr>
                <w:p w14:paraId="199991B6">
                  <w:pPr>
                    <w:widowControl/>
                    <w:adjustRightInd w:val="0"/>
                    <w:snapToGrid w:val="0"/>
                    <w:jc w:val="center"/>
                    <w:rPr>
                      <w:color w:val="auto"/>
                      <w:kern w:val="0"/>
                      <w:szCs w:val="21"/>
                      <w:highlight w:val="none"/>
                    </w:rPr>
                  </w:pPr>
                </w:p>
              </w:tc>
              <w:tc>
                <w:tcPr>
                  <w:tcW w:w="2407" w:type="pct"/>
                  <w:vAlign w:val="center"/>
                </w:tcPr>
                <w:p w14:paraId="6CE685E1">
                  <w:pPr>
                    <w:widowControl/>
                    <w:adjustRightInd w:val="0"/>
                    <w:snapToGrid w:val="0"/>
                    <w:jc w:val="center"/>
                    <w:rPr>
                      <w:color w:val="auto"/>
                      <w:kern w:val="0"/>
                      <w:szCs w:val="21"/>
                      <w:highlight w:val="none"/>
                    </w:rPr>
                  </w:pPr>
                  <w:r>
                    <w:rPr>
                      <w:color w:val="auto"/>
                      <w:kern w:val="0"/>
                      <w:szCs w:val="21"/>
                      <w:highlight w:val="none"/>
                    </w:rPr>
                    <w:t>严格限制新建、扩建可能对主城区大气产生影响的燃煤、重油等高</w:t>
                  </w:r>
                  <w:r>
                    <w:rPr>
                      <w:rFonts w:hint="eastAsia"/>
                      <w:color w:val="auto"/>
                      <w:kern w:val="0"/>
                      <w:szCs w:val="21"/>
                      <w:highlight w:val="none"/>
                    </w:rPr>
                    <w:t>污染</w:t>
                  </w:r>
                  <w:r>
                    <w:rPr>
                      <w:color w:val="auto"/>
                      <w:kern w:val="0"/>
                      <w:szCs w:val="21"/>
                      <w:highlight w:val="none"/>
                    </w:rPr>
                    <w:t>工业项目。</w:t>
                  </w:r>
                </w:p>
              </w:tc>
              <w:tc>
                <w:tcPr>
                  <w:tcW w:w="1316" w:type="pct"/>
                  <w:tcBorders>
                    <w:right w:val="single" w:color="auto" w:sz="4" w:space="0"/>
                  </w:tcBorders>
                  <w:vAlign w:val="center"/>
                </w:tcPr>
                <w:p w14:paraId="58169259">
                  <w:pPr>
                    <w:widowControl/>
                    <w:adjustRightInd w:val="0"/>
                    <w:snapToGrid w:val="0"/>
                    <w:jc w:val="center"/>
                    <w:rPr>
                      <w:color w:val="auto"/>
                      <w:kern w:val="0"/>
                      <w:szCs w:val="21"/>
                      <w:highlight w:val="none"/>
                    </w:rPr>
                  </w:pPr>
                  <w:r>
                    <w:rPr>
                      <w:rFonts w:hint="eastAsia"/>
                      <w:color w:val="auto"/>
                      <w:kern w:val="0"/>
                      <w:szCs w:val="21"/>
                      <w:highlight w:val="none"/>
                    </w:rPr>
                    <w:t>本项目</w:t>
                  </w:r>
                  <w:r>
                    <w:rPr>
                      <w:color w:val="auto"/>
                      <w:kern w:val="0"/>
                      <w:szCs w:val="21"/>
                      <w:highlight w:val="none"/>
                    </w:rPr>
                    <w:t>不属于高污染物工业项目</w:t>
                  </w:r>
                </w:p>
              </w:tc>
            </w:tr>
            <w:tr w14:paraId="1491D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0A6A6B6D">
                  <w:pPr>
                    <w:widowControl/>
                    <w:adjustRightInd w:val="0"/>
                    <w:snapToGrid w:val="0"/>
                    <w:jc w:val="center"/>
                    <w:rPr>
                      <w:color w:val="auto"/>
                      <w:kern w:val="0"/>
                      <w:szCs w:val="21"/>
                      <w:highlight w:val="none"/>
                    </w:rPr>
                  </w:pPr>
                </w:p>
              </w:tc>
              <w:tc>
                <w:tcPr>
                  <w:tcW w:w="808" w:type="pct"/>
                  <w:vMerge w:val="continue"/>
                  <w:vAlign w:val="center"/>
                </w:tcPr>
                <w:p w14:paraId="58D5A0AE">
                  <w:pPr>
                    <w:widowControl/>
                    <w:adjustRightInd w:val="0"/>
                    <w:snapToGrid w:val="0"/>
                    <w:jc w:val="center"/>
                    <w:rPr>
                      <w:color w:val="auto"/>
                      <w:kern w:val="0"/>
                      <w:szCs w:val="21"/>
                      <w:highlight w:val="none"/>
                    </w:rPr>
                  </w:pPr>
                </w:p>
              </w:tc>
              <w:tc>
                <w:tcPr>
                  <w:tcW w:w="2407" w:type="pct"/>
                  <w:vAlign w:val="center"/>
                </w:tcPr>
                <w:p w14:paraId="2780505D">
                  <w:pPr>
                    <w:widowControl/>
                    <w:adjustRightInd w:val="0"/>
                    <w:snapToGrid w:val="0"/>
                    <w:jc w:val="center"/>
                    <w:rPr>
                      <w:color w:val="auto"/>
                      <w:kern w:val="0"/>
                      <w:szCs w:val="21"/>
                      <w:highlight w:val="none"/>
                    </w:rPr>
                  </w:pPr>
                  <w:r>
                    <w:rPr>
                      <w:color w:val="auto"/>
                      <w:kern w:val="0"/>
                      <w:szCs w:val="21"/>
                      <w:highlight w:val="none"/>
                    </w:rPr>
                    <w:t>严格限制高排耗水的工业项目，可能对饮用水源带来安全隐患的项目。</w:t>
                  </w:r>
                </w:p>
              </w:tc>
              <w:tc>
                <w:tcPr>
                  <w:tcW w:w="1316" w:type="pct"/>
                  <w:tcBorders>
                    <w:right w:val="single" w:color="auto" w:sz="4" w:space="0"/>
                  </w:tcBorders>
                  <w:vAlign w:val="center"/>
                </w:tcPr>
                <w:p w14:paraId="2C6A4D8F">
                  <w:pPr>
                    <w:widowControl/>
                    <w:adjustRightInd w:val="0"/>
                    <w:snapToGrid w:val="0"/>
                    <w:jc w:val="center"/>
                    <w:rPr>
                      <w:color w:val="auto"/>
                      <w:kern w:val="0"/>
                      <w:szCs w:val="21"/>
                      <w:highlight w:val="none"/>
                    </w:rPr>
                  </w:pPr>
                  <w:r>
                    <w:rPr>
                      <w:rFonts w:hint="eastAsia"/>
                      <w:color w:val="auto"/>
                      <w:kern w:val="0"/>
                      <w:szCs w:val="21"/>
                      <w:highlight w:val="none"/>
                    </w:rPr>
                    <w:t>本项目</w:t>
                  </w:r>
                  <w:r>
                    <w:rPr>
                      <w:color w:val="auto"/>
                      <w:kern w:val="0"/>
                      <w:szCs w:val="21"/>
                      <w:highlight w:val="none"/>
                    </w:rPr>
                    <w:t>不属于高排耗水项目</w:t>
                  </w:r>
                  <w:r>
                    <w:rPr>
                      <w:rFonts w:hint="eastAsia"/>
                      <w:color w:val="auto"/>
                      <w:kern w:val="0"/>
                      <w:szCs w:val="21"/>
                      <w:highlight w:val="none"/>
                    </w:rPr>
                    <w:t>，不涉及饮用水源。</w:t>
                  </w:r>
                </w:p>
              </w:tc>
            </w:tr>
            <w:tr w14:paraId="49170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306019BA">
                  <w:pPr>
                    <w:widowControl/>
                    <w:adjustRightInd w:val="0"/>
                    <w:snapToGrid w:val="0"/>
                    <w:jc w:val="center"/>
                    <w:rPr>
                      <w:color w:val="auto"/>
                      <w:kern w:val="0"/>
                      <w:szCs w:val="21"/>
                      <w:highlight w:val="none"/>
                    </w:rPr>
                  </w:pPr>
                </w:p>
              </w:tc>
              <w:tc>
                <w:tcPr>
                  <w:tcW w:w="808" w:type="pct"/>
                  <w:vMerge w:val="continue"/>
                  <w:vAlign w:val="center"/>
                </w:tcPr>
                <w:p w14:paraId="761C10B2">
                  <w:pPr>
                    <w:widowControl/>
                    <w:adjustRightInd w:val="0"/>
                    <w:snapToGrid w:val="0"/>
                    <w:jc w:val="center"/>
                    <w:rPr>
                      <w:color w:val="auto"/>
                      <w:kern w:val="0"/>
                      <w:szCs w:val="21"/>
                      <w:highlight w:val="none"/>
                    </w:rPr>
                  </w:pPr>
                </w:p>
              </w:tc>
              <w:tc>
                <w:tcPr>
                  <w:tcW w:w="2407" w:type="pct"/>
                  <w:vAlign w:val="center"/>
                </w:tcPr>
                <w:p w14:paraId="33C03E40">
                  <w:pPr>
                    <w:widowControl/>
                    <w:adjustRightInd w:val="0"/>
                    <w:snapToGrid w:val="0"/>
                    <w:jc w:val="center"/>
                    <w:rPr>
                      <w:color w:val="auto"/>
                      <w:kern w:val="0"/>
                      <w:szCs w:val="21"/>
                      <w:highlight w:val="none"/>
                    </w:rPr>
                  </w:pPr>
                  <w:r>
                    <w:rPr>
                      <w:color w:val="auto"/>
                      <w:kern w:val="0"/>
                      <w:szCs w:val="21"/>
                      <w:highlight w:val="none"/>
                    </w:rPr>
                    <w:t>严格控制新建屠宰、制革、化工、冶炼、热电（天然气除外）、化学合成药品、化肥、农药项目以及使用煤和重油为燃料的工业项目。</w:t>
                  </w:r>
                </w:p>
              </w:tc>
              <w:tc>
                <w:tcPr>
                  <w:tcW w:w="1316" w:type="pct"/>
                  <w:tcBorders>
                    <w:right w:val="single" w:color="auto" w:sz="4" w:space="0"/>
                  </w:tcBorders>
                  <w:vAlign w:val="center"/>
                </w:tcPr>
                <w:p w14:paraId="15A050A8">
                  <w:pPr>
                    <w:widowControl/>
                    <w:adjustRightInd w:val="0"/>
                    <w:snapToGrid w:val="0"/>
                    <w:jc w:val="center"/>
                    <w:rPr>
                      <w:color w:val="auto"/>
                      <w:kern w:val="0"/>
                      <w:szCs w:val="21"/>
                      <w:highlight w:val="none"/>
                    </w:rPr>
                  </w:pPr>
                  <w:r>
                    <w:rPr>
                      <w:color w:val="auto"/>
                      <w:kern w:val="0"/>
                      <w:szCs w:val="21"/>
                      <w:highlight w:val="none"/>
                    </w:rPr>
                    <w:t>不属于此类项目</w:t>
                  </w:r>
                </w:p>
              </w:tc>
            </w:tr>
            <w:tr w14:paraId="72150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6BB00CDB">
                  <w:pPr>
                    <w:widowControl/>
                    <w:adjustRightInd w:val="0"/>
                    <w:snapToGrid w:val="0"/>
                    <w:jc w:val="center"/>
                    <w:rPr>
                      <w:color w:val="auto"/>
                      <w:kern w:val="0"/>
                      <w:szCs w:val="21"/>
                      <w:highlight w:val="none"/>
                    </w:rPr>
                  </w:pPr>
                </w:p>
              </w:tc>
              <w:tc>
                <w:tcPr>
                  <w:tcW w:w="808" w:type="pct"/>
                  <w:vAlign w:val="center"/>
                </w:tcPr>
                <w:p w14:paraId="2DD020A9">
                  <w:pPr>
                    <w:widowControl/>
                    <w:adjustRightInd w:val="0"/>
                    <w:snapToGrid w:val="0"/>
                    <w:jc w:val="center"/>
                    <w:rPr>
                      <w:color w:val="auto"/>
                      <w:kern w:val="0"/>
                      <w:szCs w:val="21"/>
                      <w:highlight w:val="none"/>
                    </w:rPr>
                  </w:pPr>
                  <w:r>
                    <w:rPr>
                      <w:color w:val="auto"/>
                      <w:kern w:val="0"/>
                      <w:szCs w:val="21"/>
                      <w:highlight w:val="none"/>
                    </w:rPr>
                    <w:t>农副产品加工</w:t>
                  </w:r>
                </w:p>
              </w:tc>
              <w:tc>
                <w:tcPr>
                  <w:tcW w:w="2407" w:type="pct"/>
                  <w:vAlign w:val="center"/>
                </w:tcPr>
                <w:p w14:paraId="11A6D33A">
                  <w:pPr>
                    <w:widowControl/>
                    <w:adjustRightInd w:val="0"/>
                    <w:snapToGrid w:val="0"/>
                    <w:jc w:val="center"/>
                    <w:rPr>
                      <w:color w:val="auto"/>
                      <w:kern w:val="0"/>
                      <w:szCs w:val="21"/>
                      <w:highlight w:val="none"/>
                    </w:rPr>
                  </w:pPr>
                  <w:r>
                    <w:rPr>
                      <w:color w:val="auto"/>
                      <w:kern w:val="0"/>
                      <w:szCs w:val="21"/>
                      <w:highlight w:val="none"/>
                    </w:rPr>
                    <w:t>农副食品加工业—1．大豆压榨及浸出项目；2．单线日处理油菜籽、棉籽、花生等油料100吨及以下的加工项目；3．年加工玉米30万吨以下、绝干收率在98%以下玉米淀粉湿法生产线；4．年屠宰量达不到标准的屠宰建设项目（除重庆市龙肖涞肉食品有限公司外新引进的屠宰项目）；5．3000吨/年及以下的西式肉制品加工项目（允许改造升级，接受异地置换）。</w:t>
                  </w:r>
                </w:p>
                <w:p w14:paraId="1CA50F5F">
                  <w:pPr>
                    <w:widowControl/>
                    <w:adjustRightInd w:val="0"/>
                    <w:snapToGrid w:val="0"/>
                    <w:jc w:val="center"/>
                    <w:rPr>
                      <w:color w:val="auto"/>
                      <w:kern w:val="0"/>
                      <w:szCs w:val="21"/>
                      <w:highlight w:val="none"/>
                    </w:rPr>
                  </w:pPr>
                  <w:r>
                    <w:rPr>
                      <w:color w:val="auto"/>
                      <w:kern w:val="0"/>
                      <w:szCs w:val="21"/>
                      <w:highlight w:val="none"/>
                    </w:rPr>
                    <w:t>食品制造业—1．5万吨/年及以下且采用等电离交工艺的味精生产线；2．糖精等化学合成甜味剂生产线；3．2000吨/年及以下的酵母加工项目（允许改造升级，接受异地置换）。</w:t>
                  </w:r>
                </w:p>
              </w:tc>
              <w:tc>
                <w:tcPr>
                  <w:tcW w:w="1316" w:type="pct"/>
                  <w:tcBorders>
                    <w:right w:val="single" w:color="auto" w:sz="4" w:space="0"/>
                  </w:tcBorders>
                  <w:vAlign w:val="center"/>
                </w:tcPr>
                <w:p w14:paraId="17BF7C17">
                  <w:pPr>
                    <w:widowControl/>
                    <w:adjustRightInd w:val="0"/>
                    <w:snapToGrid w:val="0"/>
                    <w:jc w:val="center"/>
                    <w:rPr>
                      <w:color w:val="auto"/>
                      <w:kern w:val="0"/>
                      <w:szCs w:val="21"/>
                      <w:highlight w:val="none"/>
                    </w:rPr>
                  </w:pPr>
                  <w:r>
                    <w:rPr>
                      <w:rFonts w:hint="eastAsia"/>
                      <w:color w:val="auto"/>
                      <w:kern w:val="0"/>
                      <w:szCs w:val="21"/>
                      <w:highlight w:val="none"/>
                    </w:rPr>
                    <w:t>本项目为年产90吨葛根粉项目，</w:t>
                  </w:r>
                  <w:r>
                    <w:rPr>
                      <w:color w:val="auto"/>
                      <w:kern w:val="0"/>
                      <w:szCs w:val="21"/>
                      <w:highlight w:val="none"/>
                    </w:rPr>
                    <w:t>不属于此类项目</w:t>
                  </w:r>
                </w:p>
              </w:tc>
            </w:tr>
            <w:tr w14:paraId="16B68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7A784A3B">
                  <w:pPr>
                    <w:widowControl/>
                    <w:adjustRightInd w:val="0"/>
                    <w:snapToGrid w:val="0"/>
                    <w:jc w:val="center"/>
                    <w:rPr>
                      <w:color w:val="auto"/>
                      <w:kern w:val="0"/>
                      <w:szCs w:val="21"/>
                      <w:highlight w:val="none"/>
                    </w:rPr>
                  </w:pPr>
                </w:p>
              </w:tc>
              <w:tc>
                <w:tcPr>
                  <w:tcW w:w="808" w:type="pct"/>
                  <w:vMerge w:val="restart"/>
                  <w:vAlign w:val="center"/>
                </w:tcPr>
                <w:p w14:paraId="171DEF10">
                  <w:pPr>
                    <w:widowControl/>
                    <w:adjustRightInd w:val="0"/>
                    <w:snapToGrid w:val="0"/>
                    <w:jc w:val="center"/>
                    <w:rPr>
                      <w:color w:val="auto"/>
                      <w:kern w:val="0"/>
                      <w:szCs w:val="21"/>
                      <w:highlight w:val="none"/>
                    </w:rPr>
                  </w:pPr>
                  <w:r>
                    <w:rPr>
                      <w:color w:val="auto"/>
                      <w:kern w:val="0"/>
                      <w:szCs w:val="21"/>
                      <w:highlight w:val="none"/>
                    </w:rPr>
                    <w:t>机械加工</w:t>
                  </w:r>
                </w:p>
              </w:tc>
              <w:tc>
                <w:tcPr>
                  <w:tcW w:w="2407" w:type="pct"/>
                  <w:vAlign w:val="center"/>
                </w:tcPr>
                <w:p w14:paraId="668ADD28">
                  <w:pPr>
                    <w:widowControl/>
                    <w:adjustRightInd w:val="0"/>
                    <w:snapToGrid w:val="0"/>
                    <w:jc w:val="center"/>
                    <w:rPr>
                      <w:color w:val="auto"/>
                      <w:kern w:val="0"/>
                      <w:szCs w:val="21"/>
                      <w:highlight w:val="none"/>
                    </w:rPr>
                  </w:pPr>
                  <w:r>
                    <w:rPr>
                      <w:color w:val="auto"/>
                      <w:kern w:val="0"/>
                      <w:szCs w:val="21"/>
                      <w:highlight w:val="none"/>
                    </w:rPr>
                    <w:t>汽车制造业—1．4 档及以下机械式车用自动变速箱（AT）；2．排放标准国三及以下的机动车用发动机（允许改造升级，接受异地置换）。</w:t>
                  </w:r>
                </w:p>
              </w:tc>
              <w:tc>
                <w:tcPr>
                  <w:tcW w:w="1316" w:type="pct"/>
                  <w:tcBorders>
                    <w:right w:val="single" w:color="auto" w:sz="4" w:space="0"/>
                  </w:tcBorders>
                  <w:vAlign w:val="center"/>
                </w:tcPr>
                <w:p w14:paraId="531F091E">
                  <w:pPr>
                    <w:widowControl/>
                    <w:adjustRightInd w:val="0"/>
                    <w:snapToGrid w:val="0"/>
                    <w:jc w:val="center"/>
                    <w:rPr>
                      <w:color w:val="auto"/>
                      <w:kern w:val="0"/>
                      <w:szCs w:val="21"/>
                      <w:highlight w:val="none"/>
                    </w:rPr>
                  </w:pPr>
                  <w:r>
                    <w:rPr>
                      <w:rFonts w:hint="eastAsia"/>
                      <w:color w:val="auto"/>
                      <w:kern w:val="0"/>
                      <w:szCs w:val="21"/>
                      <w:highlight w:val="none"/>
                    </w:rPr>
                    <w:t>本项目为农副产品加工，</w:t>
                  </w:r>
                  <w:r>
                    <w:rPr>
                      <w:color w:val="auto"/>
                      <w:kern w:val="0"/>
                      <w:szCs w:val="21"/>
                      <w:highlight w:val="none"/>
                    </w:rPr>
                    <w:t>不属于此类项目</w:t>
                  </w:r>
                </w:p>
              </w:tc>
            </w:tr>
            <w:tr w14:paraId="2FF3E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624BDD41">
                  <w:pPr>
                    <w:widowControl/>
                    <w:adjustRightInd w:val="0"/>
                    <w:snapToGrid w:val="0"/>
                    <w:jc w:val="center"/>
                    <w:rPr>
                      <w:color w:val="auto"/>
                      <w:kern w:val="0"/>
                      <w:szCs w:val="21"/>
                      <w:highlight w:val="none"/>
                    </w:rPr>
                  </w:pPr>
                </w:p>
              </w:tc>
              <w:tc>
                <w:tcPr>
                  <w:tcW w:w="808" w:type="pct"/>
                  <w:vMerge w:val="continue"/>
                  <w:vAlign w:val="center"/>
                </w:tcPr>
                <w:p w14:paraId="20CFCF8C">
                  <w:pPr>
                    <w:widowControl/>
                    <w:adjustRightInd w:val="0"/>
                    <w:snapToGrid w:val="0"/>
                    <w:jc w:val="center"/>
                    <w:rPr>
                      <w:color w:val="auto"/>
                      <w:kern w:val="0"/>
                      <w:szCs w:val="21"/>
                      <w:highlight w:val="none"/>
                    </w:rPr>
                  </w:pPr>
                </w:p>
              </w:tc>
              <w:tc>
                <w:tcPr>
                  <w:tcW w:w="2407" w:type="pct"/>
                  <w:vAlign w:val="center"/>
                </w:tcPr>
                <w:p w14:paraId="7C68EE3C">
                  <w:pPr>
                    <w:widowControl/>
                    <w:adjustRightInd w:val="0"/>
                    <w:snapToGrid w:val="0"/>
                    <w:jc w:val="center"/>
                    <w:rPr>
                      <w:color w:val="auto"/>
                      <w:kern w:val="0"/>
                      <w:szCs w:val="21"/>
                      <w:highlight w:val="none"/>
                    </w:rPr>
                  </w:pPr>
                  <w:r>
                    <w:rPr>
                      <w:color w:val="auto"/>
                      <w:kern w:val="0"/>
                      <w:szCs w:val="21"/>
                      <w:highlight w:val="none"/>
                    </w:rPr>
                    <w:t>通用设备制造业—国家《产业结构调整指导目录（2011 年本）（修正）》限制类“十一、机械”第 12、16―19、21―23、28、29、31―33、36、37、40―43、47、48 项等通用设备制造（允许改造升级，接受异地置换）。</w:t>
                  </w:r>
                </w:p>
                <w:p w14:paraId="7B1177D0">
                  <w:pPr>
                    <w:widowControl/>
                    <w:adjustRightInd w:val="0"/>
                    <w:snapToGrid w:val="0"/>
                    <w:jc w:val="center"/>
                    <w:rPr>
                      <w:color w:val="auto"/>
                      <w:kern w:val="0"/>
                      <w:szCs w:val="21"/>
                      <w:highlight w:val="none"/>
                    </w:rPr>
                  </w:pPr>
                  <w:r>
                    <w:rPr>
                      <w:color w:val="auto"/>
                      <w:kern w:val="0"/>
                      <w:szCs w:val="21"/>
                      <w:highlight w:val="none"/>
                    </w:rPr>
                    <w:t>专业设备制造业——国家《产业结构调整指导目录（2011 年本）（修正）》限制类“十一、机械”第 1―10、13、46、51―55 项及“十五、消防”第 1―8 项等专用设备制造（允许改造升级，接受异地置换）。</w:t>
                  </w:r>
                </w:p>
              </w:tc>
              <w:tc>
                <w:tcPr>
                  <w:tcW w:w="1316" w:type="pct"/>
                  <w:tcBorders>
                    <w:right w:val="single" w:color="auto" w:sz="4" w:space="0"/>
                  </w:tcBorders>
                  <w:vAlign w:val="center"/>
                </w:tcPr>
                <w:p w14:paraId="45219021">
                  <w:pPr>
                    <w:widowControl/>
                    <w:adjustRightInd w:val="0"/>
                    <w:snapToGrid w:val="0"/>
                    <w:jc w:val="center"/>
                    <w:rPr>
                      <w:color w:val="auto"/>
                      <w:kern w:val="0"/>
                      <w:szCs w:val="21"/>
                      <w:highlight w:val="none"/>
                    </w:rPr>
                  </w:pPr>
                  <w:r>
                    <w:rPr>
                      <w:rFonts w:hint="eastAsia"/>
                      <w:color w:val="auto"/>
                      <w:kern w:val="0"/>
                      <w:szCs w:val="21"/>
                      <w:highlight w:val="none"/>
                    </w:rPr>
                    <w:t>本项目为农副产品加工，</w:t>
                  </w:r>
                  <w:r>
                    <w:rPr>
                      <w:color w:val="auto"/>
                      <w:kern w:val="0"/>
                      <w:szCs w:val="21"/>
                      <w:highlight w:val="none"/>
                    </w:rPr>
                    <w:t>不属于此类项目</w:t>
                  </w:r>
                </w:p>
              </w:tc>
            </w:tr>
            <w:tr w14:paraId="28988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05670173">
                  <w:pPr>
                    <w:widowControl/>
                    <w:adjustRightInd w:val="0"/>
                    <w:snapToGrid w:val="0"/>
                    <w:jc w:val="center"/>
                    <w:rPr>
                      <w:color w:val="auto"/>
                      <w:kern w:val="0"/>
                      <w:szCs w:val="21"/>
                      <w:highlight w:val="none"/>
                    </w:rPr>
                  </w:pPr>
                </w:p>
              </w:tc>
              <w:tc>
                <w:tcPr>
                  <w:tcW w:w="808" w:type="pct"/>
                  <w:vMerge w:val="restart"/>
                  <w:vAlign w:val="center"/>
                </w:tcPr>
                <w:p w14:paraId="71D1E124">
                  <w:pPr>
                    <w:widowControl/>
                    <w:adjustRightInd w:val="0"/>
                    <w:snapToGrid w:val="0"/>
                    <w:jc w:val="center"/>
                    <w:rPr>
                      <w:color w:val="auto"/>
                      <w:kern w:val="0"/>
                      <w:szCs w:val="21"/>
                      <w:highlight w:val="none"/>
                    </w:rPr>
                  </w:pPr>
                  <w:r>
                    <w:rPr>
                      <w:color w:val="auto"/>
                      <w:kern w:val="0"/>
                      <w:szCs w:val="21"/>
                      <w:highlight w:val="none"/>
                    </w:rPr>
                    <w:t>新型建材</w:t>
                  </w:r>
                </w:p>
              </w:tc>
              <w:tc>
                <w:tcPr>
                  <w:tcW w:w="2407" w:type="pct"/>
                  <w:vAlign w:val="center"/>
                </w:tcPr>
                <w:p w14:paraId="559D1302">
                  <w:pPr>
                    <w:widowControl/>
                    <w:adjustRightInd w:val="0"/>
                    <w:snapToGrid w:val="0"/>
                    <w:jc w:val="center"/>
                    <w:rPr>
                      <w:color w:val="auto"/>
                      <w:kern w:val="0"/>
                      <w:szCs w:val="21"/>
                      <w:highlight w:val="none"/>
                    </w:rPr>
                  </w:pPr>
                  <w:r>
                    <w:rPr>
                      <w:color w:val="auto"/>
                      <w:kern w:val="0"/>
                      <w:szCs w:val="21"/>
                      <w:highlight w:val="none"/>
                    </w:rPr>
                    <w:t>国家《产业结构调整指导目录（2011 年本）（修正）》限制类“九、建材”第1―13项（允许改造升级，接受异地置换）。</w:t>
                  </w:r>
                </w:p>
              </w:tc>
              <w:tc>
                <w:tcPr>
                  <w:tcW w:w="1316" w:type="pct"/>
                  <w:tcBorders>
                    <w:right w:val="single" w:color="auto" w:sz="4" w:space="0"/>
                  </w:tcBorders>
                  <w:vAlign w:val="center"/>
                </w:tcPr>
                <w:p w14:paraId="42965F9A">
                  <w:pPr>
                    <w:widowControl/>
                    <w:adjustRightInd w:val="0"/>
                    <w:snapToGrid w:val="0"/>
                    <w:jc w:val="center"/>
                    <w:rPr>
                      <w:color w:val="auto"/>
                      <w:kern w:val="0"/>
                      <w:szCs w:val="21"/>
                      <w:highlight w:val="none"/>
                    </w:rPr>
                  </w:pPr>
                  <w:r>
                    <w:rPr>
                      <w:rFonts w:hint="eastAsia"/>
                      <w:color w:val="auto"/>
                      <w:kern w:val="0"/>
                      <w:szCs w:val="21"/>
                      <w:highlight w:val="none"/>
                    </w:rPr>
                    <w:t>本项目为农副产品加工，</w:t>
                  </w:r>
                  <w:r>
                    <w:rPr>
                      <w:color w:val="auto"/>
                      <w:kern w:val="0"/>
                      <w:szCs w:val="21"/>
                      <w:highlight w:val="none"/>
                    </w:rPr>
                    <w:t>不属于此类项目</w:t>
                  </w:r>
                </w:p>
              </w:tc>
            </w:tr>
            <w:tr w14:paraId="46A17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bottom w:val="single" w:color="auto" w:sz="4" w:space="0"/>
                  </w:tcBorders>
                  <w:vAlign w:val="center"/>
                </w:tcPr>
                <w:p w14:paraId="368F7235">
                  <w:pPr>
                    <w:widowControl/>
                    <w:adjustRightInd w:val="0"/>
                    <w:snapToGrid w:val="0"/>
                    <w:jc w:val="center"/>
                    <w:rPr>
                      <w:color w:val="auto"/>
                      <w:kern w:val="0"/>
                      <w:szCs w:val="21"/>
                      <w:highlight w:val="none"/>
                    </w:rPr>
                  </w:pPr>
                </w:p>
              </w:tc>
              <w:tc>
                <w:tcPr>
                  <w:tcW w:w="808" w:type="pct"/>
                  <w:vMerge w:val="continue"/>
                  <w:tcBorders>
                    <w:bottom w:val="single" w:color="auto" w:sz="4" w:space="0"/>
                  </w:tcBorders>
                  <w:vAlign w:val="center"/>
                </w:tcPr>
                <w:p w14:paraId="007A2711">
                  <w:pPr>
                    <w:widowControl/>
                    <w:adjustRightInd w:val="0"/>
                    <w:snapToGrid w:val="0"/>
                    <w:jc w:val="center"/>
                    <w:rPr>
                      <w:color w:val="auto"/>
                      <w:kern w:val="0"/>
                      <w:szCs w:val="21"/>
                      <w:highlight w:val="none"/>
                    </w:rPr>
                  </w:pPr>
                </w:p>
              </w:tc>
              <w:tc>
                <w:tcPr>
                  <w:tcW w:w="2407" w:type="pct"/>
                  <w:tcBorders>
                    <w:bottom w:val="single" w:color="auto" w:sz="4" w:space="0"/>
                  </w:tcBorders>
                  <w:vAlign w:val="center"/>
                </w:tcPr>
                <w:p w14:paraId="155732B6">
                  <w:pPr>
                    <w:widowControl/>
                    <w:adjustRightInd w:val="0"/>
                    <w:snapToGrid w:val="0"/>
                    <w:jc w:val="center"/>
                    <w:rPr>
                      <w:color w:val="auto"/>
                      <w:kern w:val="0"/>
                      <w:szCs w:val="21"/>
                      <w:highlight w:val="none"/>
                    </w:rPr>
                  </w:pPr>
                  <w:r>
                    <w:rPr>
                      <w:color w:val="auto"/>
                      <w:kern w:val="0"/>
                      <w:szCs w:val="21"/>
                      <w:highlight w:val="none"/>
                    </w:rPr>
                    <w:t>限制准入使用煤炭、粉煤灰、煤矸石的烧结砖瓦窑（允许改造升级，接受异地置换）</w:t>
                  </w:r>
                </w:p>
              </w:tc>
              <w:tc>
                <w:tcPr>
                  <w:tcW w:w="1316" w:type="pct"/>
                  <w:tcBorders>
                    <w:bottom w:val="single" w:color="auto" w:sz="4" w:space="0"/>
                    <w:right w:val="single" w:color="auto" w:sz="4" w:space="0"/>
                  </w:tcBorders>
                  <w:vAlign w:val="center"/>
                </w:tcPr>
                <w:p w14:paraId="6E7AEA7F">
                  <w:pPr>
                    <w:widowControl/>
                    <w:adjustRightInd w:val="0"/>
                    <w:snapToGrid w:val="0"/>
                    <w:jc w:val="center"/>
                    <w:rPr>
                      <w:color w:val="auto"/>
                      <w:kern w:val="0"/>
                      <w:szCs w:val="21"/>
                      <w:highlight w:val="none"/>
                    </w:rPr>
                  </w:pPr>
                  <w:r>
                    <w:rPr>
                      <w:rFonts w:hint="eastAsia"/>
                      <w:color w:val="auto"/>
                      <w:kern w:val="0"/>
                      <w:szCs w:val="21"/>
                      <w:highlight w:val="none"/>
                    </w:rPr>
                    <w:t>本项目为农副产品加工，</w:t>
                  </w:r>
                  <w:r>
                    <w:rPr>
                      <w:color w:val="auto"/>
                      <w:kern w:val="0"/>
                      <w:szCs w:val="21"/>
                      <w:highlight w:val="none"/>
                    </w:rPr>
                    <w:t>不属于此类项目</w:t>
                  </w:r>
                </w:p>
              </w:tc>
            </w:tr>
          </w:tbl>
          <w:p w14:paraId="130F00F8">
            <w:pPr>
              <w:widowControl/>
              <w:ind w:firstLine="482"/>
              <w:rPr>
                <w:rFonts w:hAnsi="宋体"/>
                <w:color w:val="auto"/>
                <w:sz w:val="24"/>
                <w:highlight w:val="none"/>
              </w:rPr>
            </w:pPr>
          </w:p>
          <w:p w14:paraId="125AD250">
            <w:pPr>
              <w:widowControl/>
              <w:spacing w:line="460" w:lineRule="exact"/>
              <w:ind w:firstLine="482"/>
              <w:rPr>
                <w:rFonts w:hAnsi="宋体"/>
                <w:color w:val="auto"/>
                <w:sz w:val="24"/>
                <w:highlight w:val="none"/>
              </w:rPr>
            </w:pPr>
            <w:r>
              <w:rPr>
                <w:rFonts w:hint="eastAsia" w:hAnsi="宋体"/>
                <w:color w:val="auto"/>
                <w:sz w:val="24"/>
                <w:highlight w:val="none"/>
              </w:rPr>
              <w:t>根据规划环评审查意见“合川环函〔2019〕139号”文件，本项目与其符合性分析详见表1.2-2。</w:t>
            </w:r>
          </w:p>
          <w:p w14:paraId="6033B88B">
            <w:pPr>
              <w:widowControl/>
              <w:spacing w:line="460" w:lineRule="exact"/>
              <w:ind w:firstLine="482"/>
              <w:jc w:val="center"/>
              <w:rPr>
                <w:rFonts w:hAnsi="宋体"/>
                <w:color w:val="auto"/>
                <w:sz w:val="24"/>
                <w:highlight w:val="none"/>
              </w:rPr>
            </w:pPr>
            <w:r>
              <w:rPr>
                <w:rFonts w:hint="eastAsia" w:hAnsi="宋体"/>
                <w:b/>
                <w:bCs/>
                <w:color w:val="auto"/>
                <w:sz w:val="24"/>
                <w:highlight w:val="none"/>
              </w:rPr>
              <w:t>表1.2-2  本项目与规划环评审查意见符合性分析一览表</w:t>
            </w:r>
          </w:p>
          <w:tbl>
            <w:tblPr>
              <w:tblStyle w:val="18"/>
              <w:tblW w:w="81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53"/>
              <w:gridCol w:w="3891"/>
              <w:gridCol w:w="2493"/>
              <w:gridCol w:w="575"/>
            </w:tblGrid>
            <w:tr w14:paraId="357B2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tcBorders>
                    <w:top w:val="single" w:color="auto" w:sz="4" w:space="0"/>
                    <w:left w:val="single" w:color="auto" w:sz="0" w:space="0"/>
                  </w:tcBorders>
                  <w:vAlign w:val="center"/>
                </w:tcPr>
                <w:p w14:paraId="443CDD17">
                  <w:pPr>
                    <w:widowControl/>
                    <w:adjustRightInd w:val="0"/>
                    <w:snapToGrid w:val="0"/>
                    <w:jc w:val="center"/>
                    <w:rPr>
                      <w:color w:val="auto"/>
                      <w:kern w:val="0"/>
                      <w:szCs w:val="21"/>
                      <w:highlight w:val="none"/>
                    </w:rPr>
                  </w:pPr>
                  <w:r>
                    <w:rPr>
                      <w:color w:val="auto"/>
                      <w:kern w:val="0"/>
                      <w:szCs w:val="21"/>
                      <w:highlight w:val="none"/>
                    </w:rPr>
                    <w:t>序号</w:t>
                  </w:r>
                </w:p>
              </w:tc>
              <w:tc>
                <w:tcPr>
                  <w:tcW w:w="463" w:type="pct"/>
                  <w:tcBorders>
                    <w:top w:val="single" w:color="auto" w:sz="4" w:space="0"/>
                  </w:tcBorders>
                  <w:vAlign w:val="center"/>
                </w:tcPr>
                <w:p w14:paraId="001957FC">
                  <w:pPr>
                    <w:widowControl/>
                    <w:adjustRightInd w:val="0"/>
                    <w:snapToGrid w:val="0"/>
                    <w:jc w:val="center"/>
                    <w:rPr>
                      <w:color w:val="auto"/>
                      <w:kern w:val="0"/>
                      <w:szCs w:val="21"/>
                      <w:highlight w:val="none"/>
                    </w:rPr>
                  </w:pPr>
                  <w:r>
                    <w:rPr>
                      <w:color w:val="auto"/>
                      <w:kern w:val="0"/>
                      <w:szCs w:val="21"/>
                      <w:highlight w:val="none"/>
                    </w:rPr>
                    <w:t>类别</w:t>
                  </w:r>
                </w:p>
              </w:tc>
              <w:tc>
                <w:tcPr>
                  <w:tcW w:w="2390" w:type="pct"/>
                  <w:tcBorders>
                    <w:top w:val="single" w:color="auto" w:sz="4" w:space="0"/>
                  </w:tcBorders>
                  <w:vAlign w:val="center"/>
                </w:tcPr>
                <w:p w14:paraId="54790EB0">
                  <w:pPr>
                    <w:widowControl/>
                    <w:adjustRightInd w:val="0"/>
                    <w:snapToGrid w:val="0"/>
                    <w:jc w:val="center"/>
                    <w:rPr>
                      <w:color w:val="auto"/>
                      <w:kern w:val="0"/>
                      <w:szCs w:val="21"/>
                      <w:highlight w:val="none"/>
                    </w:rPr>
                  </w:pPr>
                  <w:r>
                    <w:rPr>
                      <w:color w:val="auto"/>
                      <w:kern w:val="0"/>
                      <w:szCs w:val="21"/>
                      <w:highlight w:val="none"/>
                    </w:rPr>
                    <w:t>审查意见函（合川环函〔2019〕139号）</w:t>
                  </w:r>
                </w:p>
              </w:tc>
              <w:tc>
                <w:tcPr>
                  <w:tcW w:w="1531" w:type="pct"/>
                  <w:tcBorders>
                    <w:top w:val="single" w:color="auto" w:sz="4" w:space="0"/>
                  </w:tcBorders>
                  <w:vAlign w:val="center"/>
                </w:tcPr>
                <w:p w14:paraId="0F0A1DB9">
                  <w:pPr>
                    <w:widowControl/>
                    <w:adjustRightInd w:val="0"/>
                    <w:snapToGrid w:val="0"/>
                    <w:jc w:val="center"/>
                    <w:rPr>
                      <w:color w:val="auto"/>
                      <w:kern w:val="0"/>
                      <w:szCs w:val="21"/>
                      <w:highlight w:val="none"/>
                    </w:rPr>
                  </w:pPr>
                  <w:r>
                    <w:rPr>
                      <w:color w:val="auto"/>
                      <w:kern w:val="0"/>
                      <w:szCs w:val="21"/>
                      <w:highlight w:val="none"/>
                    </w:rPr>
                    <w:t>符合性</w:t>
                  </w:r>
                </w:p>
              </w:tc>
              <w:tc>
                <w:tcPr>
                  <w:tcW w:w="353" w:type="pct"/>
                  <w:tcBorders>
                    <w:top w:val="single" w:color="auto" w:sz="4" w:space="0"/>
                    <w:right w:val="single" w:color="auto" w:sz="4" w:space="0"/>
                  </w:tcBorders>
                  <w:vAlign w:val="center"/>
                </w:tcPr>
                <w:p w14:paraId="6FAC1C09">
                  <w:pPr>
                    <w:widowControl/>
                    <w:adjustRightInd w:val="0"/>
                    <w:snapToGrid w:val="0"/>
                    <w:jc w:val="center"/>
                    <w:rPr>
                      <w:color w:val="auto"/>
                      <w:kern w:val="0"/>
                      <w:szCs w:val="21"/>
                      <w:highlight w:val="none"/>
                    </w:rPr>
                  </w:pPr>
                  <w:r>
                    <w:rPr>
                      <w:color w:val="auto"/>
                      <w:kern w:val="0"/>
                      <w:szCs w:val="21"/>
                      <w:highlight w:val="none"/>
                    </w:rPr>
                    <w:t>符合性</w:t>
                  </w:r>
                </w:p>
              </w:tc>
            </w:tr>
            <w:tr w14:paraId="2D4DE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gridSpan w:val="2"/>
                  <w:tcBorders>
                    <w:left w:val="single" w:color="auto" w:sz="4" w:space="0"/>
                  </w:tcBorders>
                  <w:vAlign w:val="center"/>
                </w:tcPr>
                <w:p w14:paraId="18220ED7">
                  <w:pPr>
                    <w:widowControl/>
                    <w:adjustRightInd w:val="0"/>
                    <w:snapToGrid w:val="0"/>
                    <w:jc w:val="center"/>
                    <w:rPr>
                      <w:color w:val="auto"/>
                      <w:kern w:val="0"/>
                      <w:szCs w:val="21"/>
                      <w:highlight w:val="none"/>
                    </w:rPr>
                  </w:pPr>
                  <w:r>
                    <w:rPr>
                      <w:color w:val="auto"/>
                      <w:kern w:val="0"/>
                      <w:szCs w:val="21"/>
                      <w:highlight w:val="none"/>
                    </w:rPr>
                    <w:t>区域资源环境承载力及总量管控上限</w:t>
                  </w:r>
                </w:p>
              </w:tc>
              <w:tc>
                <w:tcPr>
                  <w:tcW w:w="2390" w:type="pct"/>
                  <w:vAlign w:val="center"/>
                </w:tcPr>
                <w:p w14:paraId="5C2665A7">
                  <w:pPr>
                    <w:widowControl/>
                    <w:adjustRightInd w:val="0"/>
                    <w:snapToGrid w:val="0"/>
                    <w:jc w:val="left"/>
                    <w:rPr>
                      <w:color w:val="auto"/>
                      <w:kern w:val="0"/>
                      <w:szCs w:val="21"/>
                      <w:highlight w:val="none"/>
                    </w:rPr>
                  </w:pPr>
                  <w:r>
                    <w:rPr>
                      <w:color w:val="auto"/>
                      <w:kern w:val="0"/>
                      <w:szCs w:val="21"/>
                      <w:highlight w:val="none"/>
                    </w:rPr>
                    <w:t>规划区土地资源、水资源、能源条件总体满足发展需要。规划区水环境质量现状总体较好，可支撑规划实施；合川区现状PM</w:t>
                  </w:r>
                  <w:r>
                    <w:rPr>
                      <w:color w:val="auto"/>
                      <w:kern w:val="0"/>
                      <w:szCs w:val="21"/>
                      <w:highlight w:val="none"/>
                      <w:vertAlign w:val="subscript"/>
                    </w:rPr>
                    <w:t>2.5</w:t>
                  </w:r>
                  <w:r>
                    <w:rPr>
                      <w:color w:val="auto"/>
                      <w:kern w:val="0"/>
                      <w:szCs w:val="21"/>
                      <w:highlight w:val="none"/>
                    </w:rPr>
                    <w:t>、O</w:t>
                  </w:r>
                  <w:r>
                    <w:rPr>
                      <w:color w:val="auto"/>
                      <w:kern w:val="0"/>
                      <w:szCs w:val="21"/>
                      <w:highlight w:val="none"/>
                      <w:vertAlign w:val="subscript"/>
                    </w:rPr>
                    <w:t>3</w:t>
                  </w:r>
                  <w:r>
                    <w:rPr>
                      <w:color w:val="auto"/>
                      <w:kern w:val="0"/>
                      <w:szCs w:val="21"/>
                      <w:highlight w:val="none"/>
                    </w:rPr>
                    <w:t>不达标，规划区新建、扩建涉及新增颗粒物排放的工业项目受到一定制约，须结合区域环境空气质量改善情况，进行科学测算和充分论证。实施污染物排放总量管控，规划发展中的颗粒物、二氧化硫、氮氧化物、挥发性有机污染物、化学需氧量、氨氮、总磷等主要污染物和特征污染物排放量不得超过《报告书》核定的总量管控限值</w:t>
                  </w:r>
                  <w:r>
                    <w:rPr>
                      <w:rFonts w:hint="eastAsia"/>
                      <w:color w:val="auto"/>
                      <w:kern w:val="0"/>
                      <w:szCs w:val="21"/>
                      <w:highlight w:val="none"/>
                    </w:rPr>
                    <w:t>。</w:t>
                  </w:r>
                </w:p>
              </w:tc>
              <w:tc>
                <w:tcPr>
                  <w:tcW w:w="1531" w:type="pct"/>
                  <w:vAlign w:val="center"/>
                </w:tcPr>
                <w:p w14:paraId="12430688">
                  <w:pPr>
                    <w:widowControl/>
                    <w:adjustRightInd w:val="0"/>
                    <w:snapToGrid w:val="0"/>
                    <w:jc w:val="center"/>
                    <w:rPr>
                      <w:color w:val="auto"/>
                      <w:kern w:val="0"/>
                      <w:szCs w:val="21"/>
                      <w:highlight w:val="none"/>
                    </w:rPr>
                  </w:pPr>
                  <w:r>
                    <w:rPr>
                      <w:color w:val="auto"/>
                      <w:kern w:val="0"/>
                      <w:szCs w:val="21"/>
                      <w:highlight w:val="none"/>
                    </w:rPr>
                    <w:t>本项目属于</w:t>
                  </w:r>
                  <w:r>
                    <w:rPr>
                      <w:rFonts w:hint="eastAsia" w:ascii="宋体" w:hAnsi="宋体" w:cs="宋体"/>
                      <w:bCs/>
                      <w:color w:val="auto"/>
                      <w:szCs w:val="21"/>
                      <w:highlight w:val="none"/>
                    </w:rPr>
                    <w:t>淀粉及淀粉制品制造</w:t>
                  </w:r>
                  <w:r>
                    <w:rPr>
                      <w:rFonts w:hint="eastAsia"/>
                      <w:color w:val="auto"/>
                      <w:kern w:val="0"/>
                      <w:szCs w:val="21"/>
                      <w:highlight w:val="none"/>
                    </w:rPr>
                    <w:t>项目</w:t>
                  </w:r>
                  <w:r>
                    <w:rPr>
                      <w:color w:val="auto"/>
                      <w:kern w:val="0"/>
                      <w:szCs w:val="21"/>
                      <w:highlight w:val="none"/>
                    </w:rPr>
                    <w:t>，</w:t>
                  </w:r>
                  <w:r>
                    <w:rPr>
                      <w:rFonts w:hint="eastAsia"/>
                      <w:bCs/>
                      <w:color w:val="auto"/>
                      <w:highlight w:val="none"/>
                    </w:rPr>
                    <w:t>生活污水依托厨鼎食品公司厂区已建化粪池处理后排入</w:t>
                  </w:r>
                  <w:r>
                    <w:rPr>
                      <w:rFonts w:hint="eastAsia"/>
                      <w:color w:val="auto"/>
                      <w:highlight w:val="none"/>
                    </w:rPr>
                    <w:t>龙市镇工业污水处理厂深度处理；生产废水经自建污水处理设施处理达到《淀粉工业水污染物排放限值》（GB25461-2010）表2中的间接排放标准后排入龙市镇工业污水处理厂处理达标后排放</w:t>
                  </w:r>
                  <w:r>
                    <w:rPr>
                      <w:rFonts w:hint="eastAsia"/>
                      <w:color w:val="auto"/>
                      <w:szCs w:val="21"/>
                      <w:highlight w:val="none"/>
                    </w:rPr>
                    <w:t>；项目包装工序产生微量颗粒物，包装车间密闭，经</w:t>
                  </w:r>
                  <w:r>
                    <w:rPr>
                      <w:rFonts w:hint="eastAsia" w:ascii="宋体" w:hAnsi="宋体" w:cs="宋体"/>
                      <w:color w:val="auto"/>
                      <w:szCs w:val="21"/>
                      <w:highlight w:val="none"/>
                    </w:rPr>
                    <w:t>自然沉降后定期清扫，</w:t>
                  </w:r>
                  <w:r>
                    <w:rPr>
                      <w:rFonts w:hint="eastAsia"/>
                      <w:color w:val="auto"/>
                      <w:szCs w:val="21"/>
                      <w:highlight w:val="none"/>
                    </w:rPr>
                    <w:t>可达标排放。故项目废水和废气能够</w:t>
                  </w:r>
                  <w:r>
                    <w:rPr>
                      <w:rFonts w:hint="eastAsia"/>
                      <w:color w:val="auto"/>
                      <w:kern w:val="0"/>
                      <w:szCs w:val="21"/>
                      <w:highlight w:val="none"/>
                    </w:rPr>
                    <w:t>达标排放，</w:t>
                  </w:r>
                  <w:r>
                    <w:rPr>
                      <w:color w:val="auto"/>
                      <w:kern w:val="0"/>
                      <w:szCs w:val="21"/>
                      <w:highlight w:val="none"/>
                    </w:rPr>
                    <w:t>满足规划环评核定的总量管控限值</w:t>
                  </w:r>
                  <w:r>
                    <w:rPr>
                      <w:rFonts w:hint="eastAsia"/>
                      <w:color w:val="auto"/>
                      <w:kern w:val="0"/>
                      <w:szCs w:val="21"/>
                      <w:highlight w:val="none"/>
                    </w:rPr>
                    <w:t>。</w:t>
                  </w:r>
                </w:p>
              </w:tc>
              <w:tc>
                <w:tcPr>
                  <w:tcW w:w="353" w:type="pct"/>
                  <w:tcBorders>
                    <w:right w:val="single" w:color="auto" w:sz="4" w:space="0"/>
                  </w:tcBorders>
                  <w:vAlign w:val="center"/>
                </w:tcPr>
                <w:p w14:paraId="79C787F8">
                  <w:pPr>
                    <w:widowControl/>
                    <w:adjustRightInd w:val="0"/>
                    <w:snapToGrid w:val="0"/>
                    <w:jc w:val="center"/>
                    <w:rPr>
                      <w:color w:val="auto"/>
                      <w:kern w:val="0"/>
                      <w:szCs w:val="21"/>
                      <w:highlight w:val="none"/>
                    </w:rPr>
                  </w:pPr>
                  <w:r>
                    <w:rPr>
                      <w:color w:val="auto"/>
                      <w:kern w:val="0"/>
                      <w:szCs w:val="21"/>
                      <w:highlight w:val="none"/>
                    </w:rPr>
                    <w:t>符合</w:t>
                  </w:r>
                </w:p>
              </w:tc>
            </w:tr>
            <w:tr w14:paraId="747E4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tcBorders>
                    <w:left w:val="single" w:color="auto" w:sz="4" w:space="0"/>
                  </w:tcBorders>
                  <w:vAlign w:val="center"/>
                </w:tcPr>
                <w:p w14:paraId="693F38AE">
                  <w:pPr>
                    <w:widowControl/>
                    <w:adjustRightInd w:val="0"/>
                    <w:snapToGrid w:val="0"/>
                    <w:jc w:val="center"/>
                    <w:rPr>
                      <w:color w:val="auto"/>
                      <w:kern w:val="0"/>
                      <w:szCs w:val="21"/>
                      <w:highlight w:val="none"/>
                    </w:rPr>
                  </w:pPr>
                  <w:r>
                    <w:rPr>
                      <w:color w:val="auto"/>
                      <w:kern w:val="0"/>
                      <w:szCs w:val="21"/>
                      <w:highlight w:val="none"/>
                    </w:rPr>
                    <w:t>1</w:t>
                  </w:r>
                </w:p>
              </w:tc>
              <w:tc>
                <w:tcPr>
                  <w:tcW w:w="463" w:type="pct"/>
                  <w:vAlign w:val="center"/>
                </w:tcPr>
                <w:p w14:paraId="3A2056AA">
                  <w:pPr>
                    <w:widowControl/>
                    <w:adjustRightInd w:val="0"/>
                    <w:snapToGrid w:val="0"/>
                    <w:jc w:val="center"/>
                    <w:rPr>
                      <w:color w:val="auto"/>
                      <w:kern w:val="0"/>
                      <w:szCs w:val="21"/>
                      <w:highlight w:val="none"/>
                    </w:rPr>
                  </w:pPr>
                  <w:r>
                    <w:rPr>
                      <w:color w:val="auto"/>
                      <w:kern w:val="0"/>
                      <w:szCs w:val="21"/>
                      <w:highlight w:val="none"/>
                    </w:rPr>
                    <w:t>强化空间管控，优化产业布局</w:t>
                  </w:r>
                </w:p>
              </w:tc>
              <w:tc>
                <w:tcPr>
                  <w:tcW w:w="2390" w:type="pct"/>
                  <w:vAlign w:val="center"/>
                </w:tcPr>
                <w:p w14:paraId="08468811">
                  <w:pPr>
                    <w:widowControl/>
                    <w:adjustRightInd w:val="0"/>
                    <w:snapToGrid w:val="0"/>
                    <w:jc w:val="left"/>
                    <w:rPr>
                      <w:color w:val="auto"/>
                      <w:kern w:val="0"/>
                      <w:szCs w:val="21"/>
                      <w:highlight w:val="none"/>
                    </w:rPr>
                  </w:pPr>
                  <w:r>
                    <w:rPr>
                      <w:color w:val="auto"/>
                      <w:kern w:val="0"/>
                      <w:szCs w:val="21"/>
                      <w:highlight w:val="none"/>
                    </w:rPr>
                    <w:t>建议靠近居住组团侧50</w:t>
                  </w:r>
                  <w:r>
                    <w:rPr>
                      <w:rFonts w:hint="eastAsia"/>
                      <w:color w:val="auto"/>
                      <w:kern w:val="0"/>
                      <w:szCs w:val="21"/>
                      <w:highlight w:val="none"/>
                    </w:rPr>
                    <w:t xml:space="preserve"> </w:t>
                  </w:r>
                  <w:r>
                    <w:rPr>
                      <w:color w:val="auto"/>
                      <w:kern w:val="0"/>
                      <w:szCs w:val="21"/>
                      <w:highlight w:val="none"/>
                    </w:rPr>
                    <w:t>m范围内的工业用地不得引进含喷涂工艺的工业项目。工业组团企业应通过选址或调整布局严格控制环境防护距离，环境防护距离包络线应在工业组团用地范围内，不得超出用地边界。具体项目环境防护距离由项目环评确定。为减轻工业污水处理厂对厨鼎食品的影响，将</w:t>
                  </w:r>
                  <w:r>
                    <w:rPr>
                      <w:rFonts w:hint="eastAsia"/>
                      <w:color w:val="auto"/>
                      <w:kern w:val="0"/>
                      <w:szCs w:val="21"/>
                      <w:highlight w:val="none"/>
                    </w:rPr>
                    <w:t>污水处理厂</w:t>
                  </w:r>
                  <w:r>
                    <w:rPr>
                      <w:color w:val="auto"/>
                      <w:kern w:val="0"/>
                      <w:szCs w:val="21"/>
                      <w:highlight w:val="none"/>
                    </w:rPr>
                    <w:t>内主要臭气污染建构筑物尽量布置在地块北侧，保证主要臭气污染建构筑物与厨鼎食品留有50</w:t>
                  </w:r>
                  <w:r>
                    <w:rPr>
                      <w:rFonts w:hint="eastAsia"/>
                      <w:color w:val="auto"/>
                      <w:kern w:val="0"/>
                      <w:szCs w:val="21"/>
                      <w:highlight w:val="none"/>
                    </w:rPr>
                    <w:t xml:space="preserve"> </w:t>
                  </w:r>
                  <w:r>
                    <w:rPr>
                      <w:color w:val="auto"/>
                      <w:kern w:val="0"/>
                      <w:szCs w:val="21"/>
                      <w:highlight w:val="none"/>
                    </w:rPr>
                    <w:t>m的安全距离，该距离内优先布置办公、生活辅助设施及绿化带</w:t>
                  </w:r>
                  <w:r>
                    <w:rPr>
                      <w:rFonts w:hint="eastAsia"/>
                      <w:color w:val="auto"/>
                      <w:kern w:val="0"/>
                      <w:szCs w:val="21"/>
                      <w:highlight w:val="none"/>
                    </w:rPr>
                    <w:t>。</w:t>
                  </w:r>
                </w:p>
              </w:tc>
              <w:tc>
                <w:tcPr>
                  <w:tcW w:w="1531" w:type="pct"/>
                  <w:vAlign w:val="center"/>
                </w:tcPr>
                <w:p w14:paraId="24824872">
                  <w:pPr>
                    <w:widowControl/>
                    <w:adjustRightInd w:val="0"/>
                    <w:snapToGrid w:val="0"/>
                    <w:jc w:val="center"/>
                    <w:rPr>
                      <w:color w:val="auto"/>
                      <w:kern w:val="0"/>
                      <w:szCs w:val="21"/>
                      <w:highlight w:val="none"/>
                    </w:rPr>
                  </w:pPr>
                  <w:r>
                    <w:rPr>
                      <w:color w:val="auto"/>
                      <w:kern w:val="0"/>
                      <w:szCs w:val="21"/>
                      <w:highlight w:val="none"/>
                    </w:rPr>
                    <w:t>本项目</w:t>
                  </w:r>
                  <w:r>
                    <w:rPr>
                      <w:rFonts w:hint="eastAsia"/>
                      <w:color w:val="auto"/>
                      <w:kern w:val="0"/>
                      <w:szCs w:val="21"/>
                      <w:highlight w:val="none"/>
                    </w:rPr>
                    <w:t>拟租赁重庆市厨鼎食品有限公司1#闲置厂房1F和2F新建项目</w:t>
                  </w:r>
                  <w:r>
                    <w:rPr>
                      <w:color w:val="auto"/>
                      <w:kern w:val="0"/>
                      <w:szCs w:val="21"/>
                      <w:highlight w:val="none"/>
                    </w:rPr>
                    <w:t>，</w:t>
                  </w:r>
                  <w:r>
                    <w:rPr>
                      <w:rFonts w:hint="eastAsia"/>
                      <w:color w:val="auto"/>
                      <w:kern w:val="0"/>
                      <w:szCs w:val="21"/>
                      <w:highlight w:val="none"/>
                    </w:rPr>
                    <w:t>属</w:t>
                  </w:r>
                  <w:r>
                    <w:rPr>
                      <w:rFonts w:hint="eastAsia" w:ascii="宋体" w:hAnsi="宋体" w:cs="宋体"/>
                      <w:bCs/>
                      <w:color w:val="auto"/>
                      <w:szCs w:val="21"/>
                      <w:highlight w:val="none"/>
                    </w:rPr>
                    <w:t>淀粉及淀粉制品制造</w:t>
                  </w:r>
                  <w:r>
                    <w:rPr>
                      <w:rFonts w:hint="eastAsia"/>
                      <w:color w:val="auto"/>
                      <w:kern w:val="0"/>
                      <w:szCs w:val="21"/>
                      <w:highlight w:val="none"/>
                    </w:rPr>
                    <w:t>项目，不含喷涂工艺，且</w:t>
                  </w:r>
                  <w:r>
                    <w:rPr>
                      <w:color w:val="auto"/>
                      <w:kern w:val="0"/>
                      <w:szCs w:val="21"/>
                      <w:highlight w:val="none"/>
                    </w:rPr>
                    <w:t>在</w:t>
                  </w:r>
                  <w:r>
                    <w:rPr>
                      <w:rFonts w:hint="eastAsia"/>
                      <w:color w:val="auto"/>
                      <w:kern w:val="0"/>
                      <w:szCs w:val="21"/>
                      <w:highlight w:val="none"/>
                    </w:rPr>
                    <w:t>龙市镇工业组团</w:t>
                  </w:r>
                  <w:r>
                    <w:rPr>
                      <w:color w:val="auto"/>
                      <w:kern w:val="0"/>
                      <w:szCs w:val="21"/>
                      <w:highlight w:val="none"/>
                    </w:rPr>
                    <w:t>用地范围内</w:t>
                  </w:r>
                  <w:r>
                    <w:rPr>
                      <w:rFonts w:hint="eastAsia"/>
                      <w:color w:val="auto"/>
                      <w:kern w:val="0"/>
                      <w:szCs w:val="21"/>
                      <w:highlight w:val="none"/>
                    </w:rPr>
                    <w:t>。据调查，龙市镇工业污水处理厂</w:t>
                  </w:r>
                  <w:r>
                    <w:rPr>
                      <w:rFonts w:hint="eastAsia"/>
                      <w:bCs/>
                      <w:color w:val="auto"/>
                      <w:sz w:val="21"/>
                      <w:szCs w:val="21"/>
                      <w:highlight w:val="none"/>
                      <w:lang w:val="en-US" w:eastAsia="zh-CN"/>
                    </w:rPr>
                    <w:t>除污泥消化池外其余污水构筑物与本项目厂界距离均大于50m。龙市镇工业污水处理厂污泥消化池设置为全密闭，</w:t>
                  </w:r>
                  <w:r>
                    <w:rPr>
                      <w:color w:val="auto"/>
                      <w:sz w:val="21"/>
                      <w:szCs w:val="21"/>
                      <w:highlight w:val="none"/>
                    </w:rPr>
                    <w:t>产生的臭气经收集管道收集后导入臭气净化系统进行脱臭，经除臭后由15</w:t>
                  </w:r>
                  <w:r>
                    <w:rPr>
                      <w:rFonts w:hint="eastAsia"/>
                      <w:color w:val="auto"/>
                      <w:sz w:val="21"/>
                      <w:szCs w:val="21"/>
                      <w:highlight w:val="none"/>
                      <w:lang w:val="en-US" w:eastAsia="zh-CN"/>
                    </w:rPr>
                    <w:t xml:space="preserve"> </w:t>
                  </w:r>
                  <w:r>
                    <w:rPr>
                      <w:color w:val="auto"/>
                      <w:sz w:val="21"/>
                      <w:szCs w:val="21"/>
                      <w:highlight w:val="none"/>
                    </w:rPr>
                    <w:t>m排气筒高空(</w:t>
                  </w:r>
                  <w:r>
                    <w:rPr>
                      <w:rFonts w:hint="eastAsia"/>
                      <w:color w:val="auto"/>
                      <w:sz w:val="21"/>
                      <w:szCs w:val="21"/>
                      <w:highlight w:val="none"/>
                    </w:rPr>
                    <w:t>1#</w:t>
                  </w:r>
                  <w:r>
                    <w:rPr>
                      <w:color w:val="auto"/>
                      <w:sz w:val="21"/>
                      <w:szCs w:val="21"/>
                      <w:highlight w:val="none"/>
                    </w:rPr>
                    <w:t>排气筒)排出</w:t>
                  </w:r>
                  <w:r>
                    <w:rPr>
                      <w:rFonts w:hint="eastAsia"/>
                      <w:color w:val="auto"/>
                      <w:sz w:val="21"/>
                      <w:szCs w:val="21"/>
                      <w:highlight w:val="none"/>
                      <w:lang w:eastAsia="zh-CN"/>
                    </w:rPr>
                    <w:t>，</w:t>
                  </w:r>
                  <w:r>
                    <w:rPr>
                      <w:rFonts w:hint="eastAsia"/>
                      <w:color w:val="auto"/>
                      <w:sz w:val="21"/>
                      <w:szCs w:val="21"/>
                      <w:highlight w:val="none"/>
                      <w:lang w:val="en-US" w:eastAsia="zh-CN"/>
                    </w:rPr>
                    <w:t>1#排放筒与本项目厂界最近距离为80m，</w:t>
                  </w:r>
                  <w:r>
                    <w:rPr>
                      <w:rFonts w:hint="eastAsia"/>
                      <w:color w:val="auto"/>
                      <w:kern w:val="0"/>
                      <w:szCs w:val="21"/>
                      <w:highlight w:val="none"/>
                    </w:rPr>
                    <w:t>满足50 m的安全距离。</w:t>
                  </w:r>
                </w:p>
              </w:tc>
              <w:tc>
                <w:tcPr>
                  <w:tcW w:w="353" w:type="pct"/>
                  <w:tcBorders>
                    <w:right w:val="single" w:color="auto" w:sz="4" w:space="0"/>
                  </w:tcBorders>
                  <w:vAlign w:val="center"/>
                </w:tcPr>
                <w:p w14:paraId="5669B0DD">
                  <w:pPr>
                    <w:widowControl/>
                    <w:adjustRightInd w:val="0"/>
                    <w:snapToGrid w:val="0"/>
                    <w:jc w:val="center"/>
                    <w:rPr>
                      <w:color w:val="auto"/>
                      <w:kern w:val="0"/>
                      <w:szCs w:val="21"/>
                      <w:highlight w:val="none"/>
                    </w:rPr>
                  </w:pPr>
                  <w:r>
                    <w:rPr>
                      <w:color w:val="auto"/>
                      <w:kern w:val="0"/>
                      <w:szCs w:val="21"/>
                      <w:highlight w:val="none"/>
                    </w:rPr>
                    <w:t>符合</w:t>
                  </w:r>
                </w:p>
              </w:tc>
            </w:tr>
            <w:tr w14:paraId="460A2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tcBorders>
                    <w:left w:val="single" w:color="auto" w:sz="4" w:space="0"/>
                  </w:tcBorders>
                  <w:vAlign w:val="center"/>
                </w:tcPr>
                <w:p w14:paraId="6DDC4721">
                  <w:pPr>
                    <w:widowControl/>
                    <w:adjustRightInd w:val="0"/>
                    <w:snapToGrid w:val="0"/>
                    <w:jc w:val="center"/>
                    <w:rPr>
                      <w:color w:val="auto"/>
                      <w:kern w:val="0"/>
                      <w:szCs w:val="21"/>
                      <w:highlight w:val="none"/>
                    </w:rPr>
                  </w:pPr>
                  <w:r>
                    <w:rPr>
                      <w:color w:val="auto"/>
                      <w:kern w:val="0"/>
                      <w:szCs w:val="21"/>
                      <w:highlight w:val="none"/>
                    </w:rPr>
                    <w:t>2</w:t>
                  </w:r>
                </w:p>
              </w:tc>
              <w:tc>
                <w:tcPr>
                  <w:tcW w:w="463" w:type="pct"/>
                  <w:vAlign w:val="center"/>
                </w:tcPr>
                <w:p w14:paraId="3ED3F755">
                  <w:pPr>
                    <w:widowControl/>
                    <w:adjustRightInd w:val="0"/>
                    <w:snapToGrid w:val="0"/>
                    <w:jc w:val="center"/>
                    <w:rPr>
                      <w:color w:val="auto"/>
                      <w:kern w:val="0"/>
                      <w:szCs w:val="21"/>
                      <w:highlight w:val="none"/>
                    </w:rPr>
                  </w:pPr>
                  <w:r>
                    <w:rPr>
                      <w:color w:val="auto"/>
                      <w:kern w:val="0"/>
                      <w:szCs w:val="21"/>
                      <w:highlight w:val="none"/>
                    </w:rPr>
                    <w:t>严格建设项目环境准入</w:t>
                  </w:r>
                </w:p>
              </w:tc>
              <w:tc>
                <w:tcPr>
                  <w:tcW w:w="2390" w:type="pct"/>
                  <w:vAlign w:val="center"/>
                </w:tcPr>
                <w:p w14:paraId="10B34E62">
                  <w:pPr>
                    <w:widowControl/>
                    <w:adjustRightInd w:val="0"/>
                    <w:snapToGrid w:val="0"/>
                    <w:jc w:val="left"/>
                    <w:rPr>
                      <w:color w:val="auto"/>
                      <w:kern w:val="0"/>
                      <w:szCs w:val="21"/>
                      <w:highlight w:val="none"/>
                    </w:rPr>
                  </w:pPr>
                  <w:r>
                    <w:rPr>
                      <w:color w:val="auto"/>
                      <w:kern w:val="0"/>
                      <w:szCs w:val="21"/>
                      <w:highlight w:val="none"/>
                    </w:rPr>
                    <w:t>规划区应按现行主导产业优化发展方向，按报告书“三线一单”管理要求，以资源利用上线、环境质量底线为约束，落实生态环境准入清单，引进项目应符合产业政策和清洁生产要求、生产工艺和设备先进、自动化程度高、具有可靠先进的污染治理技术。禁止建设存在重大环境安全隐患的工业项目；禁止新建、扩建化工项目；禁止新建、扩建、改建排放重金属、剧毒物质和持久性有机污染物的工业项目；禁止新建、扩建未按照国家有关规定取得相关产能置换指标的钢铁、水泥、电解铝、平板玻璃、船舶等产能严重过剩行业；禁止电镀工艺；禁止与规划区主导产业环境要求有冲突的项目</w:t>
                  </w:r>
                  <w:r>
                    <w:rPr>
                      <w:rFonts w:hint="eastAsia"/>
                      <w:color w:val="auto"/>
                      <w:kern w:val="0"/>
                      <w:szCs w:val="21"/>
                      <w:highlight w:val="none"/>
                    </w:rPr>
                    <w:t>。</w:t>
                  </w:r>
                </w:p>
              </w:tc>
              <w:tc>
                <w:tcPr>
                  <w:tcW w:w="1531" w:type="pct"/>
                  <w:vAlign w:val="center"/>
                </w:tcPr>
                <w:p w14:paraId="309008D9">
                  <w:pPr>
                    <w:widowControl/>
                    <w:adjustRightInd w:val="0"/>
                    <w:snapToGrid w:val="0"/>
                    <w:jc w:val="center"/>
                    <w:rPr>
                      <w:color w:val="auto"/>
                      <w:kern w:val="0"/>
                      <w:szCs w:val="21"/>
                      <w:highlight w:val="none"/>
                    </w:rPr>
                  </w:pPr>
                  <w:r>
                    <w:rPr>
                      <w:color w:val="auto"/>
                      <w:kern w:val="0"/>
                      <w:szCs w:val="21"/>
                      <w:highlight w:val="none"/>
                    </w:rPr>
                    <w:t>本项目</w:t>
                  </w:r>
                  <w:r>
                    <w:rPr>
                      <w:rFonts w:hint="eastAsia"/>
                      <w:color w:val="auto"/>
                      <w:kern w:val="0"/>
                      <w:szCs w:val="21"/>
                      <w:highlight w:val="none"/>
                    </w:rPr>
                    <w:t>符合龙市镇工业组团规划</w:t>
                  </w:r>
                  <w:r>
                    <w:rPr>
                      <w:color w:val="auto"/>
                      <w:kern w:val="0"/>
                      <w:szCs w:val="21"/>
                      <w:highlight w:val="none"/>
                    </w:rPr>
                    <w:t>，符合“三线一单”要求，不属于化工、电镀项目，不排放重金属、剧毒物质和持久性有机污染物</w:t>
                  </w:r>
                  <w:r>
                    <w:rPr>
                      <w:rFonts w:hint="eastAsia"/>
                      <w:color w:val="auto"/>
                      <w:kern w:val="0"/>
                      <w:szCs w:val="21"/>
                      <w:highlight w:val="none"/>
                    </w:rPr>
                    <w:t>。本项目为农副产品加工项目，属于龙市镇工业组团规划主导项目。</w:t>
                  </w:r>
                </w:p>
              </w:tc>
              <w:tc>
                <w:tcPr>
                  <w:tcW w:w="353" w:type="pct"/>
                  <w:tcBorders>
                    <w:right w:val="single" w:color="auto" w:sz="4" w:space="0"/>
                  </w:tcBorders>
                  <w:vAlign w:val="center"/>
                </w:tcPr>
                <w:p w14:paraId="4FC20980">
                  <w:pPr>
                    <w:widowControl/>
                    <w:adjustRightInd w:val="0"/>
                    <w:snapToGrid w:val="0"/>
                    <w:jc w:val="center"/>
                    <w:rPr>
                      <w:color w:val="auto"/>
                      <w:kern w:val="0"/>
                      <w:szCs w:val="21"/>
                      <w:highlight w:val="none"/>
                    </w:rPr>
                  </w:pPr>
                  <w:r>
                    <w:rPr>
                      <w:color w:val="auto"/>
                      <w:kern w:val="0"/>
                      <w:szCs w:val="21"/>
                      <w:highlight w:val="none"/>
                    </w:rPr>
                    <w:t>符合</w:t>
                  </w:r>
                </w:p>
              </w:tc>
            </w:tr>
            <w:tr w14:paraId="0744C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tcBorders>
                    <w:left w:val="single" w:color="auto" w:sz="4" w:space="0"/>
                  </w:tcBorders>
                  <w:vAlign w:val="center"/>
                </w:tcPr>
                <w:p w14:paraId="412475E4">
                  <w:pPr>
                    <w:widowControl/>
                    <w:adjustRightInd w:val="0"/>
                    <w:snapToGrid w:val="0"/>
                    <w:jc w:val="center"/>
                    <w:rPr>
                      <w:color w:val="auto"/>
                      <w:kern w:val="0"/>
                      <w:szCs w:val="21"/>
                      <w:highlight w:val="none"/>
                    </w:rPr>
                  </w:pPr>
                  <w:r>
                    <w:rPr>
                      <w:color w:val="auto"/>
                      <w:kern w:val="0"/>
                      <w:szCs w:val="21"/>
                      <w:highlight w:val="none"/>
                    </w:rPr>
                    <w:t>3</w:t>
                  </w:r>
                </w:p>
              </w:tc>
              <w:tc>
                <w:tcPr>
                  <w:tcW w:w="463" w:type="pct"/>
                  <w:vAlign w:val="center"/>
                </w:tcPr>
                <w:p w14:paraId="184B231D">
                  <w:pPr>
                    <w:widowControl/>
                    <w:adjustRightInd w:val="0"/>
                    <w:snapToGrid w:val="0"/>
                    <w:jc w:val="center"/>
                    <w:rPr>
                      <w:color w:val="auto"/>
                      <w:kern w:val="0"/>
                      <w:szCs w:val="21"/>
                      <w:highlight w:val="none"/>
                    </w:rPr>
                  </w:pPr>
                  <w:r>
                    <w:rPr>
                      <w:color w:val="auto"/>
                      <w:kern w:val="0"/>
                      <w:szCs w:val="21"/>
                      <w:highlight w:val="none"/>
                    </w:rPr>
                    <w:t>强化大气污染防治</w:t>
                  </w:r>
                </w:p>
              </w:tc>
              <w:tc>
                <w:tcPr>
                  <w:tcW w:w="2390" w:type="pct"/>
                  <w:vAlign w:val="center"/>
                </w:tcPr>
                <w:p w14:paraId="1C4F06C5">
                  <w:pPr>
                    <w:widowControl/>
                    <w:adjustRightInd w:val="0"/>
                    <w:snapToGrid w:val="0"/>
                    <w:jc w:val="left"/>
                    <w:rPr>
                      <w:color w:val="auto"/>
                      <w:kern w:val="0"/>
                      <w:szCs w:val="21"/>
                      <w:highlight w:val="none"/>
                    </w:rPr>
                  </w:pPr>
                  <w:r>
                    <w:rPr>
                      <w:color w:val="auto"/>
                      <w:kern w:val="0"/>
                      <w:szCs w:val="21"/>
                      <w:highlight w:val="none"/>
                    </w:rPr>
                    <w:t>严格落实大气污染防治措施。加强监督管理，保证企业废气处理设施正常运行，确保不扰民；排放挥发性有机物的企业其废气收集和处理满足《“十三五”挥发性有机物污染防治工作方案》等相关要求；规划区应通过优化用地布局和强化环境准入等方式减少大气污染物排放影响</w:t>
                  </w:r>
                  <w:r>
                    <w:rPr>
                      <w:rFonts w:hint="eastAsia"/>
                      <w:color w:val="auto"/>
                      <w:kern w:val="0"/>
                      <w:szCs w:val="21"/>
                      <w:highlight w:val="none"/>
                    </w:rPr>
                    <w:t>。</w:t>
                  </w:r>
                </w:p>
              </w:tc>
              <w:tc>
                <w:tcPr>
                  <w:tcW w:w="1531" w:type="pct"/>
                  <w:vAlign w:val="center"/>
                </w:tcPr>
                <w:p w14:paraId="57252EDB">
                  <w:pPr>
                    <w:widowControl/>
                    <w:adjustRightInd w:val="0"/>
                    <w:snapToGrid w:val="0"/>
                    <w:jc w:val="center"/>
                    <w:rPr>
                      <w:color w:val="auto"/>
                      <w:kern w:val="0"/>
                      <w:szCs w:val="21"/>
                      <w:highlight w:val="none"/>
                    </w:rPr>
                  </w:pPr>
                  <w:r>
                    <w:rPr>
                      <w:rFonts w:hint="eastAsia"/>
                      <w:color w:val="auto"/>
                      <w:kern w:val="0"/>
                      <w:szCs w:val="21"/>
                      <w:highlight w:val="none"/>
                    </w:rPr>
                    <w:t>本项目产生废气仅</w:t>
                  </w:r>
                  <w:r>
                    <w:rPr>
                      <w:rFonts w:hint="eastAsia" w:ascii="宋体" w:hAnsi="宋体" w:cs="宋体"/>
                      <w:bCs/>
                      <w:color w:val="auto"/>
                      <w:szCs w:val="21"/>
                      <w:highlight w:val="none"/>
                    </w:rPr>
                    <w:t>包装环节产生的微量粉尘。在</w:t>
                  </w:r>
                  <w:r>
                    <w:rPr>
                      <w:rFonts w:hint="eastAsia" w:ascii="宋体" w:hAnsi="宋体" w:cs="宋体"/>
                      <w:color w:val="auto"/>
                      <w:szCs w:val="21"/>
                      <w:highlight w:val="none"/>
                    </w:rPr>
                    <w:t>封闭车间内自然沉降后定期清扫。</w:t>
                  </w:r>
                </w:p>
              </w:tc>
              <w:tc>
                <w:tcPr>
                  <w:tcW w:w="353" w:type="pct"/>
                  <w:tcBorders>
                    <w:right w:val="single" w:color="auto" w:sz="4" w:space="0"/>
                  </w:tcBorders>
                  <w:vAlign w:val="center"/>
                </w:tcPr>
                <w:p w14:paraId="3D897547">
                  <w:pPr>
                    <w:widowControl/>
                    <w:adjustRightInd w:val="0"/>
                    <w:snapToGrid w:val="0"/>
                    <w:jc w:val="center"/>
                    <w:rPr>
                      <w:color w:val="auto"/>
                      <w:kern w:val="0"/>
                      <w:szCs w:val="21"/>
                      <w:highlight w:val="none"/>
                    </w:rPr>
                  </w:pPr>
                  <w:r>
                    <w:rPr>
                      <w:color w:val="auto"/>
                      <w:kern w:val="0"/>
                      <w:szCs w:val="21"/>
                      <w:highlight w:val="none"/>
                    </w:rPr>
                    <w:t>符合</w:t>
                  </w:r>
                </w:p>
              </w:tc>
            </w:tr>
            <w:tr w14:paraId="303B4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tcBorders>
                    <w:left w:val="single" w:color="auto" w:sz="4" w:space="0"/>
                  </w:tcBorders>
                  <w:vAlign w:val="center"/>
                </w:tcPr>
                <w:p w14:paraId="7F4920B5">
                  <w:pPr>
                    <w:widowControl/>
                    <w:adjustRightInd w:val="0"/>
                    <w:snapToGrid w:val="0"/>
                    <w:jc w:val="center"/>
                    <w:rPr>
                      <w:color w:val="auto"/>
                      <w:kern w:val="0"/>
                      <w:szCs w:val="21"/>
                      <w:highlight w:val="none"/>
                    </w:rPr>
                  </w:pPr>
                  <w:r>
                    <w:rPr>
                      <w:color w:val="auto"/>
                      <w:kern w:val="0"/>
                      <w:szCs w:val="21"/>
                      <w:highlight w:val="none"/>
                    </w:rPr>
                    <w:t>4</w:t>
                  </w:r>
                </w:p>
              </w:tc>
              <w:tc>
                <w:tcPr>
                  <w:tcW w:w="463" w:type="pct"/>
                  <w:vAlign w:val="center"/>
                </w:tcPr>
                <w:p w14:paraId="1559523A">
                  <w:pPr>
                    <w:widowControl/>
                    <w:adjustRightInd w:val="0"/>
                    <w:snapToGrid w:val="0"/>
                    <w:jc w:val="center"/>
                    <w:rPr>
                      <w:color w:val="auto"/>
                      <w:kern w:val="0"/>
                      <w:szCs w:val="21"/>
                      <w:highlight w:val="none"/>
                    </w:rPr>
                  </w:pPr>
                  <w:r>
                    <w:rPr>
                      <w:color w:val="auto"/>
                      <w:kern w:val="0"/>
                      <w:szCs w:val="21"/>
                      <w:highlight w:val="none"/>
                    </w:rPr>
                    <w:t>抓好水污染防治</w:t>
                  </w:r>
                </w:p>
              </w:tc>
              <w:tc>
                <w:tcPr>
                  <w:tcW w:w="2390" w:type="pct"/>
                  <w:vAlign w:val="center"/>
                </w:tcPr>
                <w:p w14:paraId="2564CFFE">
                  <w:pPr>
                    <w:widowControl/>
                    <w:adjustRightInd w:val="0"/>
                    <w:snapToGrid w:val="0"/>
                    <w:jc w:val="left"/>
                    <w:rPr>
                      <w:color w:val="auto"/>
                      <w:kern w:val="0"/>
                      <w:szCs w:val="21"/>
                      <w:highlight w:val="none"/>
                    </w:rPr>
                  </w:pPr>
                  <w:r>
                    <w:rPr>
                      <w:color w:val="auto"/>
                      <w:kern w:val="0"/>
                      <w:szCs w:val="21"/>
                      <w:highlight w:val="none"/>
                    </w:rPr>
                    <w:t>加强污水集中处理。加快龙市镇工业污水处理厂及其配套污水管网建设。加快龙市污水处理厂扩建工程建设，确保规划区废水能得到完全接纳经污水处理厂处理达标后排放。规划区居住组团污水处理厂废水排放达《城镇污水处理厂污染物排放标准》（GB18918 -2002）一级B标准后</w:t>
                  </w:r>
                  <w:r>
                    <w:rPr>
                      <w:rFonts w:hint="eastAsia"/>
                      <w:color w:val="auto"/>
                      <w:kern w:val="0"/>
                      <w:szCs w:val="21"/>
                      <w:highlight w:val="none"/>
                    </w:rPr>
                    <w:t>最终排入渠江</w:t>
                  </w:r>
                  <w:r>
                    <w:rPr>
                      <w:color w:val="auto"/>
                      <w:kern w:val="0"/>
                      <w:szCs w:val="21"/>
                      <w:highlight w:val="none"/>
                    </w:rPr>
                    <w:t>，工业组团污水处理厂废水排放达《城镇污水处理厂污染物排放标准》（GB18918 -2002）一级A标准后</w:t>
                  </w:r>
                  <w:r>
                    <w:rPr>
                      <w:rFonts w:hint="eastAsia"/>
                      <w:color w:val="auto"/>
                      <w:kern w:val="0"/>
                      <w:szCs w:val="21"/>
                      <w:highlight w:val="none"/>
                    </w:rPr>
                    <w:t>最终排入渠江</w:t>
                  </w:r>
                  <w:r>
                    <w:rPr>
                      <w:color w:val="auto"/>
                      <w:kern w:val="0"/>
                      <w:szCs w:val="21"/>
                      <w:highlight w:val="none"/>
                    </w:rPr>
                    <w:t>。工业污水处理厂建成投运前，新建有工业废水排放的企业不得投入运营。高度重视地下水污染防控。采取源头控制为主的原则，落实分区、分级防渗措施，防止规划实施对区域地下水环境的污染。定期开展规划区地下水跟踪监测评价工作，根据监测结论，完善相应的地下水污染防控措施</w:t>
                  </w:r>
                  <w:r>
                    <w:rPr>
                      <w:rFonts w:hint="eastAsia"/>
                      <w:color w:val="auto"/>
                      <w:kern w:val="0"/>
                      <w:szCs w:val="21"/>
                      <w:highlight w:val="none"/>
                    </w:rPr>
                    <w:t>。</w:t>
                  </w:r>
                </w:p>
              </w:tc>
              <w:tc>
                <w:tcPr>
                  <w:tcW w:w="1531" w:type="pct"/>
                  <w:vAlign w:val="center"/>
                </w:tcPr>
                <w:p w14:paraId="1899DC5B">
                  <w:pPr>
                    <w:adjustRightInd w:val="0"/>
                    <w:snapToGrid w:val="0"/>
                    <w:spacing w:line="300" w:lineRule="exact"/>
                    <w:jc w:val="center"/>
                    <w:rPr>
                      <w:color w:val="auto"/>
                      <w:highlight w:val="none"/>
                    </w:rPr>
                  </w:pPr>
                  <w:r>
                    <w:rPr>
                      <w:rFonts w:hint="eastAsia"/>
                      <w:color w:val="auto"/>
                      <w:highlight w:val="none"/>
                    </w:rPr>
                    <w:t>龙市镇工业污水处理厂已投入运营。</w:t>
                  </w:r>
                  <w:r>
                    <w:rPr>
                      <w:color w:val="auto"/>
                      <w:kern w:val="0"/>
                      <w:szCs w:val="21"/>
                      <w:highlight w:val="none"/>
                    </w:rPr>
                    <w:t>本</w:t>
                  </w:r>
                  <w:r>
                    <w:rPr>
                      <w:rFonts w:hint="eastAsia"/>
                      <w:color w:val="auto"/>
                      <w:kern w:val="0"/>
                      <w:szCs w:val="21"/>
                      <w:highlight w:val="none"/>
                    </w:rPr>
                    <w:t>项目</w:t>
                  </w:r>
                  <w:r>
                    <w:rPr>
                      <w:rFonts w:hint="eastAsia"/>
                      <w:bCs/>
                      <w:color w:val="auto"/>
                      <w:highlight w:val="none"/>
                    </w:rPr>
                    <w:t>生活污水依托厨鼎食品公司厂区已建化粪池处理后排入</w:t>
                  </w:r>
                  <w:r>
                    <w:rPr>
                      <w:rFonts w:hint="eastAsia"/>
                      <w:color w:val="auto"/>
                      <w:highlight w:val="none"/>
                    </w:rPr>
                    <w:t>龙市镇工业污水处理厂深度处理达《城镇污水处理厂污染物排放标准》（GB18918-2002）一级A标准后排放；生产废水经自建污水处理设施处理达《淀粉工业水污染物排放限值》（GB25461-2010）表2中的间接排放标准后排入龙市镇工业污水处理厂，</w:t>
                  </w:r>
                </w:p>
                <w:p w14:paraId="06115F3A">
                  <w:pPr>
                    <w:widowControl/>
                    <w:adjustRightInd w:val="0"/>
                    <w:snapToGrid w:val="0"/>
                    <w:jc w:val="center"/>
                    <w:rPr>
                      <w:color w:val="auto"/>
                      <w:kern w:val="0"/>
                      <w:szCs w:val="21"/>
                      <w:highlight w:val="none"/>
                    </w:rPr>
                  </w:pPr>
                  <w:r>
                    <w:rPr>
                      <w:rFonts w:hint="eastAsia"/>
                      <w:color w:val="auto"/>
                      <w:highlight w:val="none"/>
                    </w:rPr>
                    <w:t>深度处理达《城镇污水处理厂污染物排放标准》（GB18918-2002）一级A标准后</w:t>
                  </w:r>
                  <w:r>
                    <w:rPr>
                      <w:rFonts w:hint="eastAsia"/>
                      <w:color w:val="auto"/>
                      <w:kern w:val="0"/>
                      <w:szCs w:val="21"/>
                      <w:highlight w:val="none"/>
                    </w:rPr>
                    <w:t>排放</w:t>
                  </w:r>
                </w:p>
              </w:tc>
              <w:tc>
                <w:tcPr>
                  <w:tcW w:w="353" w:type="pct"/>
                  <w:tcBorders>
                    <w:right w:val="single" w:color="auto" w:sz="4" w:space="0"/>
                  </w:tcBorders>
                  <w:vAlign w:val="center"/>
                </w:tcPr>
                <w:p w14:paraId="2F1FA671">
                  <w:pPr>
                    <w:widowControl/>
                    <w:adjustRightInd w:val="0"/>
                    <w:snapToGrid w:val="0"/>
                    <w:jc w:val="center"/>
                    <w:rPr>
                      <w:color w:val="auto"/>
                      <w:kern w:val="0"/>
                      <w:szCs w:val="21"/>
                      <w:highlight w:val="none"/>
                    </w:rPr>
                  </w:pPr>
                  <w:r>
                    <w:rPr>
                      <w:color w:val="auto"/>
                      <w:kern w:val="0"/>
                      <w:szCs w:val="21"/>
                      <w:highlight w:val="none"/>
                    </w:rPr>
                    <w:t>符合</w:t>
                  </w:r>
                </w:p>
              </w:tc>
            </w:tr>
            <w:tr w14:paraId="5CFAB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tcBorders>
                    <w:left w:val="single" w:color="auto" w:sz="4" w:space="0"/>
                  </w:tcBorders>
                  <w:vAlign w:val="center"/>
                </w:tcPr>
                <w:p w14:paraId="1383D3E1">
                  <w:pPr>
                    <w:widowControl/>
                    <w:adjustRightInd w:val="0"/>
                    <w:snapToGrid w:val="0"/>
                    <w:jc w:val="center"/>
                    <w:rPr>
                      <w:color w:val="auto"/>
                      <w:kern w:val="0"/>
                      <w:szCs w:val="21"/>
                      <w:highlight w:val="none"/>
                    </w:rPr>
                  </w:pPr>
                  <w:r>
                    <w:rPr>
                      <w:color w:val="auto"/>
                      <w:kern w:val="0"/>
                      <w:szCs w:val="21"/>
                      <w:highlight w:val="none"/>
                    </w:rPr>
                    <w:t>5</w:t>
                  </w:r>
                </w:p>
              </w:tc>
              <w:tc>
                <w:tcPr>
                  <w:tcW w:w="463" w:type="pct"/>
                  <w:vAlign w:val="center"/>
                </w:tcPr>
                <w:p w14:paraId="68360242">
                  <w:pPr>
                    <w:widowControl/>
                    <w:adjustRightInd w:val="0"/>
                    <w:snapToGrid w:val="0"/>
                    <w:jc w:val="center"/>
                    <w:rPr>
                      <w:color w:val="auto"/>
                      <w:kern w:val="0"/>
                      <w:szCs w:val="21"/>
                      <w:highlight w:val="none"/>
                    </w:rPr>
                  </w:pPr>
                  <w:r>
                    <w:rPr>
                      <w:color w:val="auto"/>
                      <w:kern w:val="0"/>
                      <w:szCs w:val="21"/>
                      <w:highlight w:val="none"/>
                    </w:rPr>
                    <w:t>做好土壤和固体废物污染防治</w:t>
                  </w:r>
                </w:p>
              </w:tc>
              <w:tc>
                <w:tcPr>
                  <w:tcW w:w="2390" w:type="pct"/>
                  <w:vAlign w:val="center"/>
                </w:tcPr>
                <w:p w14:paraId="4F04BC14">
                  <w:pPr>
                    <w:widowControl/>
                    <w:adjustRightInd w:val="0"/>
                    <w:snapToGrid w:val="0"/>
                    <w:jc w:val="left"/>
                    <w:rPr>
                      <w:color w:val="auto"/>
                      <w:kern w:val="0"/>
                      <w:szCs w:val="21"/>
                      <w:highlight w:val="none"/>
                    </w:rPr>
                  </w:pPr>
                  <w:r>
                    <w:rPr>
                      <w:color w:val="auto"/>
                      <w:kern w:val="0"/>
                      <w:szCs w:val="21"/>
                      <w:highlight w:val="none"/>
                    </w:rPr>
                    <w:t>一般工业固体废物以综合利用为主。危险废物应当委托具有相应危险废物经营资质的单位进行处置，并严格按照危险废物管理有关规定进行收集和贮存。对可能造成土壤环境影响的企业要严格按照“土十条”要求落实污染防治措施，避免对土壤和地下水造成污染。规划区工业企业关闭或搬迁，土地再开发利用前，应按照国家和我市有关规定开展场地环境风险调查评估，并视评估结果，实施污染场地治理修复工作</w:t>
                  </w:r>
                  <w:r>
                    <w:rPr>
                      <w:rFonts w:hint="eastAsia"/>
                      <w:color w:val="auto"/>
                      <w:kern w:val="0"/>
                      <w:szCs w:val="21"/>
                      <w:highlight w:val="none"/>
                    </w:rPr>
                    <w:t>。</w:t>
                  </w:r>
                </w:p>
              </w:tc>
              <w:tc>
                <w:tcPr>
                  <w:tcW w:w="1531" w:type="pct"/>
                  <w:vAlign w:val="center"/>
                </w:tcPr>
                <w:p w14:paraId="2BD61949">
                  <w:pPr>
                    <w:widowControl/>
                    <w:adjustRightInd w:val="0"/>
                    <w:snapToGrid w:val="0"/>
                    <w:jc w:val="left"/>
                    <w:rPr>
                      <w:color w:val="auto"/>
                      <w:kern w:val="0"/>
                      <w:szCs w:val="21"/>
                      <w:highlight w:val="none"/>
                    </w:rPr>
                  </w:pPr>
                  <w:r>
                    <w:rPr>
                      <w:rFonts w:hint="eastAsia"/>
                      <w:color w:val="auto"/>
                      <w:kern w:val="0"/>
                      <w:szCs w:val="21"/>
                      <w:highlight w:val="none"/>
                    </w:rPr>
                    <w:t>本项目产生的固体废物为一般工业固体废物，不涉及危险废物，不会对土壤环境和地下水造成影响。且租赁厂房为闲置厂房，无原有环境污染影响，故不用实施场地治理修复工作。</w:t>
                  </w:r>
                </w:p>
              </w:tc>
              <w:tc>
                <w:tcPr>
                  <w:tcW w:w="353" w:type="pct"/>
                  <w:tcBorders>
                    <w:right w:val="single" w:color="auto" w:sz="4" w:space="0"/>
                  </w:tcBorders>
                  <w:vAlign w:val="center"/>
                </w:tcPr>
                <w:p w14:paraId="696A2626">
                  <w:pPr>
                    <w:widowControl/>
                    <w:adjustRightInd w:val="0"/>
                    <w:snapToGrid w:val="0"/>
                    <w:jc w:val="center"/>
                    <w:rPr>
                      <w:color w:val="auto"/>
                      <w:kern w:val="0"/>
                      <w:szCs w:val="21"/>
                      <w:highlight w:val="none"/>
                    </w:rPr>
                  </w:pPr>
                  <w:r>
                    <w:rPr>
                      <w:color w:val="auto"/>
                      <w:kern w:val="0"/>
                      <w:szCs w:val="21"/>
                      <w:highlight w:val="none"/>
                    </w:rPr>
                    <w:t>符合</w:t>
                  </w:r>
                </w:p>
              </w:tc>
            </w:tr>
            <w:tr w14:paraId="271AB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tcBorders>
                    <w:left w:val="single" w:color="auto" w:sz="4" w:space="0"/>
                  </w:tcBorders>
                  <w:vAlign w:val="center"/>
                </w:tcPr>
                <w:p w14:paraId="26424AEF">
                  <w:pPr>
                    <w:widowControl/>
                    <w:adjustRightInd w:val="0"/>
                    <w:snapToGrid w:val="0"/>
                    <w:jc w:val="center"/>
                    <w:rPr>
                      <w:color w:val="auto"/>
                      <w:kern w:val="0"/>
                      <w:szCs w:val="21"/>
                      <w:highlight w:val="none"/>
                    </w:rPr>
                  </w:pPr>
                  <w:r>
                    <w:rPr>
                      <w:color w:val="auto"/>
                      <w:kern w:val="0"/>
                      <w:szCs w:val="21"/>
                      <w:highlight w:val="none"/>
                    </w:rPr>
                    <w:t>6</w:t>
                  </w:r>
                </w:p>
              </w:tc>
              <w:tc>
                <w:tcPr>
                  <w:tcW w:w="463" w:type="pct"/>
                  <w:vAlign w:val="center"/>
                </w:tcPr>
                <w:p w14:paraId="06952E8F">
                  <w:pPr>
                    <w:widowControl/>
                    <w:adjustRightInd w:val="0"/>
                    <w:snapToGrid w:val="0"/>
                    <w:jc w:val="center"/>
                    <w:rPr>
                      <w:color w:val="auto"/>
                      <w:kern w:val="0"/>
                      <w:szCs w:val="21"/>
                      <w:highlight w:val="none"/>
                    </w:rPr>
                  </w:pPr>
                  <w:r>
                    <w:rPr>
                      <w:color w:val="auto"/>
                      <w:kern w:val="0"/>
                      <w:szCs w:val="21"/>
                      <w:highlight w:val="none"/>
                    </w:rPr>
                    <w:t>提高企业清洁生产水平</w:t>
                  </w:r>
                </w:p>
              </w:tc>
              <w:tc>
                <w:tcPr>
                  <w:tcW w:w="2390" w:type="pct"/>
                  <w:vAlign w:val="center"/>
                </w:tcPr>
                <w:p w14:paraId="192014D3">
                  <w:pPr>
                    <w:widowControl/>
                    <w:adjustRightInd w:val="0"/>
                    <w:snapToGrid w:val="0"/>
                    <w:jc w:val="left"/>
                    <w:rPr>
                      <w:color w:val="auto"/>
                      <w:kern w:val="0"/>
                      <w:szCs w:val="21"/>
                      <w:highlight w:val="none"/>
                    </w:rPr>
                  </w:pPr>
                  <w:r>
                    <w:rPr>
                      <w:color w:val="auto"/>
                      <w:kern w:val="0"/>
                      <w:szCs w:val="21"/>
                      <w:highlight w:val="none"/>
                    </w:rPr>
                    <w:t>倡导循环经济，提高清洁生产水平，从源头控制和减少污染物的产生量和排放量。按照清洁生产标准要求，不断提升工业企业的清洁生产水平，新建、改扩建项目应达到清洁生产国内先进水平</w:t>
                  </w:r>
                  <w:r>
                    <w:rPr>
                      <w:rFonts w:hint="eastAsia"/>
                      <w:color w:val="auto"/>
                      <w:kern w:val="0"/>
                      <w:szCs w:val="21"/>
                      <w:highlight w:val="none"/>
                    </w:rPr>
                    <w:t>。</w:t>
                  </w:r>
                </w:p>
              </w:tc>
              <w:tc>
                <w:tcPr>
                  <w:tcW w:w="1531" w:type="pct"/>
                  <w:vAlign w:val="center"/>
                </w:tcPr>
                <w:p w14:paraId="1207D898">
                  <w:pPr>
                    <w:widowControl/>
                    <w:adjustRightInd w:val="0"/>
                    <w:snapToGrid w:val="0"/>
                    <w:jc w:val="left"/>
                    <w:rPr>
                      <w:color w:val="auto"/>
                      <w:kern w:val="0"/>
                      <w:szCs w:val="21"/>
                      <w:highlight w:val="none"/>
                    </w:rPr>
                  </w:pPr>
                  <w:r>
                    <w:rPr>
                      <w:color w:val="auto"/>
                      <w:kern w:val="0"/>
                      <w:szCs w:val="21"/>
                      <w:highlight w:val="none"/>
                    </w:rPr>
                    <w:t>本项目使用电作为能源</w:t>
                  </w:r>
                  <w:r>
                    <w:rPr>
                      <w:rFonts w:hint="eastAsia"/>
                      <w:color w:val="auto"/>
                      <w:kern w:val="0"/>
                      <w:szCs w:val="21"/>
                      <w:highlight w:val="none"/>
                    </w:rPr>
                    <w:t>，属于</w:t>
                  </w:r>
                  <w:r>
                    <w:rPr>
                      <w:color w:val="auto"/>
                      <w:kern w:val="0"/>
                      <w:szCs w:val="21"/>
                      <w:highlight w:val="none"/>
                    </w:rPr>
                    <w:t>清洁</w:t>
                  </w:r>
                  <w:r>
                    <w:rPr>
                      <w:rFonts w:hint="eastAsia"/>
                      <w:color w:val="auto"/>
                      <w:kern w:val="0"/>
                      <w:szCs w:val="21"/>
                      <w:highlight w:val="none"/>
                    </w:rPr>
                    <w:t>能源。清洁生产水平</w:t>
                  </w:r>
                  <w:r>
                    <w:rPr>
                      <w:color w:val="auto"/>
                      <w:kern w:val="0"/>
                      <w:szCs w:val="21"/>
                      <w:highlight w:val="none"/>
                    </w:rPr>
                    <w:t>满足国内先进水平</w:t>
                  </w:r>
                </w:p>
              </w:tc>
              <w:tc>
                <w:tcPr>
                  <w:tcW w:w="353" w:type="pct"/>
                  <w:tcBorders>
                    <w:right w:val="single" w:color="auto" w:sz="4" w:space="0"/>
                  </w:tcBorders>
                  <w:vAlign w:val="center"/>
                </w:tcPr>
                <w:p w14:paraId="4B1C01BC">
                  <w:pPr>
                    <w:widowControl/>
                    <w:adjustRightInd w:val="0"/>
                    <w:snapToGrid w:val="0"/>
                    <w:jc w:val="center"/>
                    <w:rPr>
                      <w:color w:val="auto"/>
                      <w:kern w:val="0"/>
                      <w:szCs w:val="21"/>
                      <w:highlight w:val="none"/>
                    </w:rPr>
                  </w:pPr>
                  <w:r>
                    <w:rPr>
                      <w:color w:val="auto"/>
                      <w:kern w:val="0"/>
                      <w:szCs w:val="21"/>
                      <w:highlight w:val="none"/>
                    </w:rPr>
                    <w:t>符合</w:t>
                  </w:r>
                </w:p>
              </w:tc>
            </w:tr>
            <w:tr w14:paraId="61228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tcBorders>
                    <w:left w:val="single" w:color="auto" w:sz="4" w:space="0"/>
                    <w:bottom w:val="single" w:color="auto" w:sz="4" w:space="0"/>
                  </w:tcBorders>
                  <w:vAlign w:val="center"/>
                </w:tcPr>
                <w:p w14:paraId="33D18C56">
                  <w:pPr>
                    <w:widowControl/>
                    <w:adjustRightInd w:val="0"/>
                    <w:snapToGrid w:val="0"/>
                    <w:jc w:val="center"/>
                    <w:rPr>
                      <w:color w:val="auto"/>
                      <w:kern w:val="0"/>
                      <w:szCs w:val="21"/>
                      <w:highlight w:val="none"/>
                    </w:rPr>
                  </w:pPr>
                  <w:r>
                    <w:rPr>
                      <w:color w:val="auto"/>
                      <w:kern w:val="0"/>
                      <w:szCs w:val="21"/>
                      <w:highlight w:val="none"/>
                    </w:rPr>
                    <w:t>7</w:t>
                  </w:r>
                </w:p>
              </w:tc>
              <w:tc>
                <w:tcPr>
                  <w:tcW w:w="463" w:type="pct"/>
                  <w:tcBorders>
                    <w:bottom w:val="single" w:color="auto" w:sz="4" w:space="0"/>
                  </w:tcBorders>
                  <w:vAlign w:val="center"/>
                </w:tcPr>
                <w:p w14:paraId="7CDDE9D4">
                  <w:pPr>
                    <w:widowControl/>
                    <w:adjustRightInd w:val="0"/>
                    <w:snapToGrid w:val="0"/>
                    <w:jc w:val="center"/>
                    <w:rPr>
                      <w:color w:val="auto"/>
                      <w:kern w:val="0"/>
                      <w:szCs w:val="21"/>
                      <w:highlight w:val="none"/>
                    </w:rPr>
                  </w:pPr>
                  <w:r>
                    <w:rPr>
                      <w:color w:val="auto"/>
                      <w:kern w:val="0"/>
                      <w:szCs w:val="21"/>
                      <w:highlight w:val="none"/>
                    </w:rPr>
                    <w:t>强化环境风险管控</w:t>
                  </w:r>
                </w:p>
              </w:tc>
              <w:tc>
                <w:tcPr>
                  <w:tcW w:w="2390" w:type="pct"/>
                  <w:tcBorders>
                    <w:bottom w:val="single" w:color="auto" w:sz="4" w:space="0"/>
                  </w:tcBorders>
                  <w:vAlign w:val="center"/>
                </w:tcPr>
                <w:p w14:paraId="74C620E8">
                  <w:pPr>
                    <w:widowControl/>
                    <w:adjustRightInd w:val="0"/>
                    <w:snapToGrid w:val="0"/>
                    <w:jc w:val="left"/>
                    <w:rPr>
                      <w:color w:val="auto"/>
                      <w:kern w:val="0"/>
                      <w:szCs w:val="21"/>
                      <w:highlight w:val="none"/>
                    </w:rPr>
                  </w:pPr>
                  <w:r>
                    <w:rPr>
                      <w:color w:val="auto"/>
                      <w:kern w:val="0"/>
                      <w:szCs w:val="21"/>
                      <w:highlight w:val="none"/>
                    </w:rPr>
                    <w:t>相关企业尤其是涉及危化品的企业应严格落实各项环境风险防范措施，防范突发性环境风险事故发生。不断完善现行园区级风险防控体系和环境风险应急预案，加强对企业环境风险源的监督管理</w:t>
                  </w:r>
                  <w:r>
                    <w:rPr>
                      <w:rFonts w:hint="eastAsia"/>
                      <w:color w:val="auto"/>
                      <w:kern w:val="0"/>
                      <w:szCs w:val="21"/>
                      <w:highlight w:val="none"/>
                    </w:rPr>
                    <w:t>。</w:t>
                  </w:r>
                </w:p>
              </w:tc>
              <w:tc>
                <w:tcPr>
                  <w:tcW w:w="1531" w:type="pct"/>
                  <w:tcBorders>
                    <w:bottom w:val="single" w:color="auto" w:sz="4" w:space="0"/>
                  </w:tcBorders>
                  <w:vAlign w:val="center"/>
                </w:tcPr>
                <w:p w14:paraId="0040236B">
                  <w:pPr>
                    <w:widowControl/>
                    <w:adjustRightInd w:val="0"/>
                    <w:snapToGrid w:val="0"/>
                    <w:jc w:val="left"/>
                    <w:rPr>
                      <w:color w:val="auto"/>
                      <w:kern w:val="0"/>
                      <w:szCs w:val="21"/>
                      <w:highlight w:val="none"/>
                    </w:rPr>
                  </w:pPr>
                  <w:r>
                    <w:rPr>
                      <w:color w:val="auto"/>
                      <w:kern w:val="0"/>
                      <w:szCs w:val="21"/>
                      <w:highlight w:val="none"/>
                    </w:rPr>
                    <w:t>本项目</w:t>
                  </w:r>
                  <w:r>
                    <w:rPr>
                      <w:rFonts w:hint="eastAsia"/>
                      <w:color w:val="auto"/>
                      <w:kern w:val="0"/>
                      <w:szCs w:val="21"/>
                      <w:highlight w:val="none"/>
                    </w:rPr>
                    <w:t>不涉及危化品生产和使用。</w:t>
                  </w:r>
                </w:p>
              </w:tc>
              <w:tc>
                <w:tcPr>
                  <w:tcW w:w="353" w:type="pct"/>
                  <w:tcBorders>
                    <w:bottom w:val="single" w:color="auto" w:sz="4" w:space="0"/>
                    <w:right w:val="single" w:color="auto" w:sz="4" w:space="0"/>
                  </w:tcBorders>
                  <w:vAlign w:val="center"/>
                </w:tcPr>
                <w:p w14:paraId="38F5FA75">
                  <w:pPr>
                    <w:widowControl/>
                    <w:adjustRightInd w:val="0"/>
                    <w:snapToGrid w:val="0"/>
                    <w:jc w:val="center"/>
                    <w:rPr>
                      <w:color w:val="auto"/>
                      <w:kern w:val="0"/>
                      <w:szCs w:val="21"/>
                      <w:highlight w:val="none"/>
                    </w:rPr>
                  </w:pPr>
                  <w:r>
                    <w:rPr>
                      <w:color w:val="auto"/>
                      <w:kern w:val="0"/>
                      <w:szCs w:val="21"/>
                      <w:highlight w:val="none"/>
                    </w:rPr>
                    <w:t>符合</w:t>
                  </w:r>
                </w:p>
              </w:tc>
            </w:tr>
          </w:tbl>
          <w:p w14:paraId="0987FDFF">
            <w:pPr>
              <w:autoSpaceDE w:val="0"/>
              <w:autoSpaceDN w:val="0"/>
              <w:adjustRightInd w:val="0"/>
              <w:snapToGrid w:val="0"/>
              <w:spacing w:line="460" w:lineRule="exact"/>
              <w:ind w:firstLine="480" w:firstLineChars="200"/>
              <w:rPr>
                <w:color w:val="auto"/>
                <w:kern w:val="0"/>
                <w:sz w:val="24"/>
                <w:highlight w:val="none"/>
              </w:rPr>
            </w:pPr>
            <w:r>
              <w:rPr>
                <w:color w:val="auto"/>
                <w:kern w:val="0"/>
                <w:sz w:val="24"/>
                <w:highlight w:val="none"/>
              </w:rPr>
              <w:t>根据分析，本项目符合</w:t>
            </w:r>
            <w:r>
              <w:rPr>
                <w:rFonts w:hint="eastAsia"/>
                <w:color w:val="auto"/>
                <w:sz w:val="24"/>
                <w:highlight w:val="none"/>
              </w:rPr>
              <w:t>《重庆市合川区龙市镇控制性详细规划环境影响报告书》及其审查意见（合川环函〔2019〕139号）</w:t>
            </w:r>
            <w:r>
              <w:rPr>
                <w:color w:val="auto"/>
                <w:kern w:val="0"/>
                <w:sz w:val="24"/>
                <w:highlight w:val="none"/>
              </w:rPr>
              <w:t>相关要求。</w:t>
            </w:r>
          </w:p>
          <w:p w14:paraId="17550F2A">
            <w:pPr>
              <w:autoSpaceDE w:val="0"/>
              <w:autoSpaceDN w:val="0"/>
              <w:adjustRightInd w:val="0"/>
              <w:snapToGrid w:val="0"/>
              <w:spacing w:line="460" w:lineRule="exact"/>
              <w:ind w:firstLine="480" w:firstLineChars="200"/>
              <w:rPr>
                <w:color w:val="auto"/>
                <w:kern w:val="0"/>
                <w:sz w:val="24"/>
                <w:highlight w:val="none"/>
              </w:rPr>
            </w:pPr>
          </w:p>
        </w:tc>
      </w:tr>
      <w:tr w14:paraId="2B9A6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dxa"/>
            <w:vAlign w:val="center"/>
          </w:tcPr>
          <w:p w14:paraId="75003F9E">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8354" w:type="dxa"/>
            <w:gridSpan w:val="4"/>
            <w:vAlign w:val="center"/>
          </w:tcPr>
          <w:p w14:paraId="2C9A7175">
            <w:pPr>
              <w:autoSpaceDE w:val="0"/>
              <w:autoSpaceDN w:val="0"/>
              <w:adjustRightInd w:val="0"/>
              <w:snapToGrid w:val="0"/>
              <w:spacing w:line="460" w:lineRule="exact"/>
              <w:rPr>
                <w:b/>
                <w:color w:val="auto"/>
                <w:sz w:val="24"/>
                <w:highlight w:val="none"/>
              </w:rPr>
            </w:pPr>
            <w:r>
              <w:rPr>
                <w:b/>
                <w:color w:val="auto"/>
                <w:sz w:val="24"/>
                <w:highlight w:val="none"/>
              </w:rPr>
              <w:t>1.3 与《产业结构调整指导目录（20</w:t>
            </w:r>
            <w:r>
              <w:rPr>
                <w:rFonts w:hint="eastAsia"/>
                <w:b/>
                <w:color w:val="auto"/>
                <w:sz w:val="24"/>
                <w:highlight w:val="none"/>
              </w:rPr>
              <w:t>24</w:t>
            </w:r>
            <w:r>
              <w:rPr>
                <w:b/>
                <w:color w:val="auto"/>
                <w:sz w:val="24"/>
                <w:highlight w:val="none"/>
              </w:rPr>
              <w:t>年本）》符合性分析</w:t>
            </w:r>
          </w:p>
          <w:p w14:paraId="01678603">
            <w:pPr>
              <w:autoSpaceDE w:val="0"/>
              <w:autoSpaceDN w:val="0"/>
              <w:adjustRightInd w:val="0"/>
              <w:snapToGrid w:val="0"/>
              <w:spacing w:line="460" w:lineRule="exact"/>
              <w:ind w:firstLine="480" w:firstLineChars="200"/>
              <w:rPr>
                <w:color w:val="auto"/>
                <w:sz w:val="24"/>
                <w:highlight w:val="none"/>
              </w:rPr>
            </w:pPr>
            <w:r>
              <w:rPr>
                <w:color w:val="auto"/>
                <w:sz w:val="24"/>
                <w:highlight w:val="none"/>
              </w:rPr>
              <w:t>本项目属于</w:t>
            </w:r>
            <w:r>
              <w:rPr>
                <w:rFonts w:hint="eastAsia" w:ascii="宋体" w:hAnsi="宋体" w:cs="宋体"/>
                <w:bCs/>
                <w:color w:val="auto"/>
                <w:sz w:val="24"/>
                <w:highlight w:val="none"/>
              </w:rPr>
              <w:t>淀粉及淀粉制品制造</w:t>
            </w:r>
            <w:r>
              <w:rPr>
                <w:color w:val="auto"/>
                <w:sz w:val="24"/>
                <w:highlight w:val="none"/>
              </w:rPr>
              <w:t>，不属于《产业结构调整指导目录（20</w:t>
            </w:r>
            <w:r>
              <w:rPr>
                <w:rFonts w:hint="eastAsia"/>
                <w:color w:val="auto"/>
                <w:sz w:val="24"/>
                <w:highlight w:val="none"/>
              </w:rPr>
              <w:t>24</w:t>
            </w:r>
            <w:r>
              <w:rPr>
                <w:color w:val="auto"/>
                <w:sz w:val="24"/>
                <w:highlight w:val="none"/>
              </w:rPr>
              <w:t>年本）》规定的鼓励类、限制类和</w:t>
            </w:r>
            <w:r>
              <w:rPr>
                <w:rFonts w:hint="eastAsia"/>
                <w:color w:val="auto"/>
                <w:sz w:val="24"/>
                <w:highlight w:val="none"/>
              </w:rPr>
              <w:t>淘汰</w:t>
            </w:r>
            <w:r>
              <w:rPr>
                <w:color w:val="auto"/>
                <w:sz w:val="24"/>
                <w:highlight w:val="none"/>
              </w:rPr>
              <w:t>类，为允许类项目，因此项目符合国家现行产业政策。</w:t>
            </w:r>
          </w:p>
          <w:p w14:paraId="6C9E51A6">
            <w:pPr>
              <w:widowControl/>
              <w:spacing w:line="460" w:lineRule="exact"/>
              <w:jc w:val="left"/>
              <w:rPr>
                <w:b/>
                <w:bCs/>
                <w:color w:val="auto"/>
                <w:sz w:val="24"/>
                <w:highlight w:val="none"/>
              </w:rPr>
            </w:pPr>
            <w:r>
              <w:rPr>
                <w:b/>
                <w:bCs/>
                <w:color w:val="auto"/>
                <w:sz w:val="24"/>
                <w:highlight w:val="none"/>
              </w:rPr>
              <w:t>1.4与《</w:t>
            </w:r>
            <w:r>
              <w:rPr>
                <w:b/>
                <w:bCs/>
                <w:color w:val="auto"/>
                <w:kern w:val="0"/>
                <w:sz w:val="24"/>
                <w:highlight w:val="none"/>
                <w:lang w:bidi="ar"/>
              </w:rPr>
              <w:t xml:space="preserve">重庆市发展和改革委员会关于印发重庆市产业投资准入工作手册的通知 </w:t>
            </w:r>
            <w:r>
              <w:rPr>
                <w:b/>
                <w:bCs/>
                <w:color w:val="auto"/>
                <w:sz w:val="24"/>
                <w:highlight w:val="none"/>
              </w:rPr>
              <w:t>》符合性分析</w:t>
            </w:r>
          </w:p>
          <w:p w14:paraId="5A6C4103">
            <w:pPr>
              <w:widowControl/>
              <w:spacing w:line="460" w:lineRule="exact"/>
              <w:ind w:firstLine="480" w:firstLineChars="200"/>
              <w:jc w:val="left"/>
              <w:rPr>
                <w:color w:val="auto"/>
                <w:kern w:val="0"/>
                <w:sz w:val="24"/>
                <w:highlight w:val="none"/>
              </w:rPr>
            </w:pPr>
            <w:r>
              <w:rPr>
                <w:color w:val="auto"/>
                <w:sz w:val="24"/>
                <w:highlight w:val="none"/>
              </w:rPr>
              <w:t>根据《重庆市发展和改革委员会关于印发重庆市产业投资准入工作手册的通知》（渝发改投〔20</w:t>
            </w:r>
            <w:r>
              <w:rPr>
                <w:rFonts w:hint="eastAsia"/>
                <w:color w:val="auto"/>
                <w:sz w:val="24"/>
                <w:highlight w:val="none"/>
              </w:rPr>
              <w:t>22</w:t>
            </w:r>
            <w:r>
              <w:rPr>
                <w:color w:val="auto"/>
                <w:sz w:val="24"/>
                <w:highlight w:val="none"/>
              </w:rPr>
              <w:t>〕541号），本项目所在的合川区属于主城</w:t>
            </w:r>
            <w:r>
              <w:rPr>
                <w:rFonts w:hint="eastAsia"/>
                <w:color w:val="auto"/>
                <w:sz w:val="24"/>
                <w:highlight w:val="none"/>
              </w:rPr>
              <w:t>新区</w:t>
            </w:r>
            <w:r>
              <w:rPr>
                <w:color w:val="auto"/>
                <w:sz w:val="24"/>
                <w:highlight w:val="none"/>
              </w:rPr>
              <w:t>，</w:t>
            </w:r>
            <w:r>
              <w:rPr>
                <w:color w:val="auto"/>
                <w:kern w:val="0"/>
                <w:sz w:val="24"/>
                <w:highlight w:val="none"/>
                <w:lang w:bidi="ar"/>
              </w:rPr>
              <w:t>产业投资准入政策包括不予准入、限制准入两类。不予准入类主要指国家及我市相关规定明令禁止的项目。限制准入类主要指国家及我市相关规定明确予以限</w:t>
            </w:r>
          </w:p>
        </w:tc>
      </w:tr>
      <w:tr w14:paraId="515F0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9" w:hRule="atLeast"/>
          <w:jc w:val="center"/>
        </w:trPr>
        <w:tc>
          <w:tcPr>
            <w:tcW w:w="516" w:type="dxa"/>
            <w:vAlign w:val="center"/>
          </w:tcPr>
          <w:p w14:paraId="505299F3">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8354" w:type="dxa"/>
            <w:gridSpan w:val="4"/>
            <w:vAlign w:val="center"/>
          </w:tcPr>
          <w:p w14:paraId="7E7C6B56">
            <w:pPr>
              <w:widowControl/>
              <w:spacing w:line="460" w:lineRule="exact"/>
              <w:jc w:val="left"/>
              <w:rPr>
                <w:color w:val="auto"/>
                <w:kern w:val="0"/>
                <w:sz w:val="24"/>
                <w:highlight w:val="none"/>
                <w:lang w:bidi="ar"/>
              </w:rPr>
            </w:pPr>
            <w:r>
              <w:rPr>
                <w:color w:val="auto"/>
                <w:kern w:val="0"/>
                <w:sz w:val="24"/>
                <w:highlight w:val="none"/>
                <w:lang w:bidi="ar"/>
              </w:rPr>
              <w:t>制的行业或项目，主要分为行业限制、区域限制。</w:t>
            </w:r>
            <w:r>
              <w:rPr>
                <w:color w:val="auto"/>
                <w:sz w:val="24"/>
                <w:highlight w:val="none"/>
              </w:rPr>
              <w:t>与重庆市产业投资准入政策汇总表分析对照见表1.</w:t>
            </w:r>
            <w:r>
              <w:rPr>
                <w:rFonts w:hint="eastAsia"/>
                <w:color w:val="auto"/>
                <w:sz w:val="24"/>
                <w:highlight w:val="none"/>
              </w:rPr>
              <w:t>4-1。</w:t>
            </w:r>
          </w:p>
          <w:p w14:paraId="1D11AF33">
            <w:pPr>
              <w:widowControl/>
              <w:spacing w:line="460" w:lineRule="exact"/>
              <w:jc w:val="center"/>
              <w:rPr>
                <w:b/>
                <w:bCs/>
                <w:color w:val="auto"/>
                <w:sz w:val="24"/>
                <w:highlight w:val="none"/>
              </w:rPr>
            </w:pPr>
            <w:r>
              <w:rPr>
                <w:b/>
                <w:bCs/>
                <w:color w:val="auto"/>
                <w:kern w:val="0"/>
                <w:sz w:val="24"/>
                <w:highlight w:val="none"/>
                <w:lang w:bidi="ar"/>
              </w:rPr>
              <w:t>表1</w:t>
            </w:r>
            <w:r>
              <w:rPr>
                <w:rFonts w:hint="eastAsia"/>
                <w:b/>
                <w:bCs/>
                <w:color w:val="auto"/>
                <w:kern w:val="0"/>
                <w:sz w:val="24"/>
                <w:highlight w:val="none"/>
                <w:lang w:bidi="ar"/>
              </w:rPr>
              <w:t>.4-1</w:t>
            </w:r>
            <w:r>
              <w:rPr>
                <w:b/>
                <w:bCs/>
                <w:color w:val="auto"/>
                <w:kern w:val="0"/>
                <w:sz w:val="24"/>
                <w:highlight w:val="none"/>
                <w:lang w:bidi="ar"/>
              </w:rPr>
              <w:t xml:space="preserve">  </w:t>
            </w:r>
            <w:r>
              <w:rPr>
                <w:b/>
                <w:bCs/>
                <w:color w:val="auto"/>
                <w:sz w:val="24"/>
                <w:highlight w:val="none"/>
              </w:rPr>
              <w:t>与重庆市产业投资准入政策汇总表分析对照表</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3662"/>
              <w:gridCol w:w="2610"/>
              <w:gridCol w:w="1223"/>
            </w:tblGrid>
            <w:tr w14:paraId="072E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0" w:type="pct"/>
                  <w:gridSpan w:val="2"/>
                  <w:vAlign w:val="center"/>
                </w:tcPr>
                <w:p w14:paraId="7329037E">
                  <w:pPr>
                    <w:widowControl/>
                    <w:jc w:val="center"/>
                    <w:rPr>
                      <w:color w:val="auto"/>
                      <w:kern w:val="0"/>
                      <w:szCs w:val="21"/>
                      <w:highlight w:val="none"/>
                    </w:rPr>
                  </w:pPr>
                  <w:r>
                    <w:rPr>
                      <w:color w:val="auto"/>
                      <w:kern w:val="0"/>
                      <w:szCs w:val="21"/>
                      <w:highlight w:val="none"/>
                    </w:rPr>
                    <w:t>准入条件要求</w:t>
                  </w:r>
                </w:p>
              </w:tc>
              <w:tc>
                <w:tcPr>
                  <w:tcW w:w="1606" w:type="pct"/>
                  <w:vAlign w:val="center"/>
                </w:tcPr>
                <w:p w14:paraId="3BE3D6D3">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项目情况</w:t>
                  </w:r>
                </w:p>
              </w:tc>
              <w:tc>
                <w:tcPr>
                  <w:tcW w:w="753" w:type="pct"/>
                  <w:vAlign w:val="center"/>
                </w:tcPr>
                <w:p w14:paraId="68CCB07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符合性</w:t>
                  </w:r>
                </w:p>
              </w:tc>
            </w:tr>
            <w:tr w14:paraId="38BF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86D2739">
                  <w:pPr>
                    <w:widowControl/>
                    <w:jc w:val="center"/>
                    <w:rPr>
                      <w:color w:val="auto"/>
                      <w:kern w:val="0"/>
                      <w:szCs w:val="21"/>
                      <w:highlight w:val="none"/>
                    </w:rPr>
                  </w:pPr>
                  <w:r>
                    <w:rPr>
                      <w:color w:val="auto"/>
                      <w:kern w:val="0"/>
                      <w:szCs w:val="21"/>
                      <w:highlight w:val="none"/>
                    </w:rPr>
                    <w:t>一、</w:t>
                  </w:r>
                </w:p>
              </w:tc>
              <w:tc>
                <w:tcPr>
                  <w:tcW w:w="4612" w:type="pct"/>
                  <w:gridSpan w:val="3"/>
                  <w:vAlign w:val="center"/>
                </w:tcPr>
                <w:p w14:paraId="2004547C">
                  <w:pPr>
                    <w:widowControl/>
                    <w:jc w:val="center"/>
                    <w:rPr>
                      <w:color w:val="auto"/>
                      <w:kern w:val="0"/>
                      <w:szCs w:val="21"/>
                      <w:highlight w:val="none"/>
                    </w:rPr>
                  </w:pPr>
                  <w:r>
                    <w:rPr>
                      <w:color w:val="auto"/>
                      <w:kern w:val="0"/>
                      <w:szCs w:val="21"/>
                      <w:highlight w:val="none"/>
                      <w:lang w:bidi="ar"/>
                    </w:rPr>
                    <w:t>全市范围内不予准入的产业</w:t>
                  </w:r>
                </w:p>
              </w:tc>
            </w:tr>
            <w:tr w14:paraId="50A3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0165DA9">
                  <w:pPr>
                    <w:widowControl/>
                    <w:jc w:val="center"/>
                    <w:rPr>
                      <w:color w:val="auto"/>
                      <w:kern w:val="0"/>
                      <w:szCs w:val="21"/>
                      <w:highlight w:val="none"/>
                    </w:rPr>
                  </w:pPr>
                  <w:r>
                    <w:rPr>
                      <w:color w:val="auto"/>
                      <w:kern w:val="0"/>
                      <w:szCs w:val="21"/>
                      <w:highlight w:val="none"/>
                    </w:rPr>
                    <w:t>1</w:t>
                  </w:r>
                </w:p>
              </w:tc>
              <w:tc>
                <w:tcPr>
                  <w:tcW w:w="2252" w:type="pct"/>
                  <w:vAlign w:val="center"/>
                </w:tcPr>
                <w:p w14:paraId="7DDFB065">
                  <w:pPr>
                    <w:widowControl/>
                    <w:jc w:val="center"/>
                    <w:rPr>
                      <w:color w:val="auto"/>
                      <w:kern w:val="0"/>
                      <w:szCs w:val="21"/>
                      <w:highlight w:val="none"/>
                    </w:rPr>
                  </w:pPr>
                  <w:r>
                    <w:rPr>
                      <w:color w:val="auto"/>
                      <w:kern w:val="0"/>
                      <w:szCs w:val="21"/>
                      <w:highlight w:val="none"/>
                      <w:lang w:bidi="ar"/>
                    </w:rPr>
                    <w:t>国家产业结构调整指导目录中的淘汰类项目。</w:t>
                  </w:r>
                </w:p>
              </w:tc>
              <w:tc>
                <w:tcPr>
                  <w:tcW w:w="1606" w:type="pct"/>
                  <w:vAlign w:val="center"/>
                </w:tcPr>
                <w:p w14:paraId="5B1F408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本项目为允许类项目，不属于淘汰类项目</w:t>
                  </w:r>
                </w:p>
              </w:tc>
              <w:tc>
                <w:tcPr>
                  <w:tcW w:w="753" w:type="pct"/>
                  <w:vAlign w:val="center"/>
                </w:tcPr>
                <w:p w14:paraId="69562E2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5270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14CDF3CB">
                  <w:pPr>
                    <w:widowControl/>
                    <w:jc w:val="center"/>
                    <w:rPr>
                      <w:color w:val="auto"/>
                      <w:kern w:val="0"/>
                      <w:szCs w:val="21"/>
                      <w:highlight w:val="none"/>
                    </w:rPr>
                  </w:pPr>
                  <w:r>
                    <w:rPr>
                      <w:color w:val="auto"/>
                      <w:kern w:val="0"/>
                      <w:szCs w:val="21"/>
                      <w:highlight w:val="none"/>
                    </w:rPr>
                    <w:t>2</w:t>
                  </w:r>
                </w:p>
              </w:tc>
              <w:tc>
                <w:tcPr>
                  <w:tcW w:w="2252" w:type="pct"/>
                  <w:vAlign w:val="center"/>
                </w:tcPr>
                <w:p w14:paraId="408AD7A4">
                  <w:pPr>
                    <w:widowControl/>
                    <w:jc w:val="center"/>
                    <w:rPr>
                      <w:color w:val="auto"/>
                      <w:kern w:val="0"/>
                      <w:szCs w:val="21"/>
                      <w:highlight w:val="none"/>
                    </w:rPr>
                  </w:pPr>
                  <w:r>
                    <w:rPr>
                      <w:color w:val="auto"/>
                      <w:kern w:val="0"/>
                      <w:szCs w:val="21"/>
                      <w:highlight w:val="none"/>
                      <w:lang w:bidi="ar"/>
                    </w:rPr>
                    <w:t>天然林商业性采伐。</w:t>
                  </w:r>
                </w:p>
              </w:tc>
              <w:tc>
                <w:tcPr>
                  <w:tcW w:w="1606" w:type="pct"/>
                  <w:vAlign w:val="center"/>
                </w:tcPr>
                <w:p w14:paraId="6C229A6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本项目不属于此类项目</w:t>
                  </w:r>
                </w:p>
              </w:tc>
              <w:tc>
                <w:tcPr>
                  <w:tcW w:w="753" w:type="pct"/>
                  <w:vAlign w:val="center"/>
                </w:tcPr>
                <w:p w14:paraId="3CECECD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0C17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4DA2D0E3">
                  <w:pPr>
                    <w:widowControl/>
                    <w:jc w:val="center"/>
                    <w:rPr>
                      <w:color w:val="auto"/>
                      <w:kern w:val="0"/>
                      <w:szCs w:val="21"/>
                      <w:highlight w:val="none"/>
                    </w:rPr>
                  </w:pPr>
                  <w:r>
                    <w:rPr>
                      <w:color w:val="auto"/>
                      <w:kern w:val="0"/>
                      <w:szCs w:val="21"/>
                      <w:highlight w:val="none"/>
                    </w:rPr>
                    <w:t>3</w:t>
                  </w:r>
                </w:p>
              </w:tc>
              <w:tc>
                <w:tcPr>
                  <w:tcW w:w="2252" w:type="pct"/>
                  <w:vAlign w:val="center"/>
                </w:tcPr>
                <w:p w14:paraId="49E4823D">
                  <w:pPr>
                    <w:widowControl/>
                    <w:jc w:val="center"/>
                    <w:rPr>
                      <w:color w:val="auto"/>
                      <w:kern w:val="0"/>
                      <w:szCs w:val="21"/>
                      <w:highlight w:val="none"/>
                    </w:rPr>
                  </w:pPr>
                  <w:r>
                    <w:rPr>
                      <w:color w:val="auto"/>
                      <w:kern w:val="0"/>
                      <w:szCs w:val="21"/>
                      <w:highlight w:val="none"/>
                      <w:lang w:bidi="ar"/>
                    </w:rPr>
                    <w:t>法律法规和相关政策明令不予准入的其他项目。</w:t>
                  </w:r>
                </w:p>
              </w:tc>
              <w:tc>
                <w:tcPr>
                  <w:tcW w:w="1606" w:type="pct"/>
                  <w:vAlign w:val="center"/>
                </w:tcPr>
                <w:p w14:paraId="40F57C8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本项目不属于</w:t>
                  </w:r>
                  <w:r>
                    <w:rPr>
                      <w:color w:val="auto"/>
                      <w:kern w:val="0"/>
                      <w:szCs w:val="21"/>
                      <w:highlight w:val="none"/>
                      <w:lang w:bidi="ar"/>
                    </w:rPr>
                    <w:t>法律法规和相关政策明令不予准入的其他项目</w:t>
                  </w:r>
                </w:p>
              </w:tc>
              <w:tc>
                <w:tcPr>
                  <w:tcW w:w="753" w:type="pct"/>
                  <w:vAlign w:val="center"/>
                </w:tcPr>
                <w:p w14:paraId="4EA08BB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366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1A18C2FB">
                  <w:pPr>
                    <w:widowControl/>
                    <w:jc w:val="center"/>
                    <w:rPr>
                      <w:color w:val="auto"/>
                      <w:kern w:val="0"/>
                      <w:szCs w:val="21"/>
                      <w:highlight w:val="none"/>
                    </w:rPr>
                  </w:pPr>
                  <w:r>
                    <w:rPr>
                      <w:color w:val="auto"/>
                      <w:kern w:val="0"/>
                      <w:szCs w:val="21"/>
                      <w:highlight w:val="none"/>
                    </w:rPr>
                    <w:t>二</w:t>
                  </w:r>
                </w:p>
              </w:tc>
              <w:tc>
                <w:tcPr>
                  <w:tcW w:w="4612" w:type="pct"/>
                  <w:gridSpan w:val="3"/>
                  <w:vAlign w:val="center"/>
                </w:tcPr>
                <w:p w14:paraId="2F1066A1">
                  <w:pPr>
                    <w:widowControl/>
                    <w:jc w:val="center"/>
                    <w:rPr>
                      <w:color w:val="auto"/>
                      <w:kern w:val="0"/>
                      <w:szCs w:val="21"/>
                      <w:highlight w:val="none"/>
                    </w:rPr>
                  </w:pPr>
                  <w:r>
                    <w:rPr>
                      <w:color w:val="auto"/>
                      <w:kern w:val="0"/>
                      <w:szCs w:val="21"/>
                      <w:highlight w:val="none"/>
                      <w:lang w:bidi="ar"/>
                    </w:rPr>
                    <w:t>重点区域不予准入的产业</w:t>
                  </w:r>
                </w:p>
              </w:tc>
            </w:tr>
            <w:tr w14:paraId="32BE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516D1C35">
                  <w:pPr>
                    <w:widowControl/>
                    <w:jc w:val="center"/>
                    <w:rPr>
                      <w:color w:val="auto"/>
                      <w:kern w:val="0"/>
                      <w:szCs w:val="21"/>
                      <w:highlight w:val="none"/>
                    </w:rPr>
                  </w:pPr>
                  <w:r>
                    <w:rPr>
                      <w:color w:val="auto"/>
                      <w:kern w:val="0"/>
                      <w:szCs w:val="21"/>
                      <w:highlight w:val="none"/>
                    </w:rPr>
                    <w:t>1</w:t>
                  </w:r>
                </w:p>
              </w:tc>
              <w:tc>
                <w:tcPr>
                  <w:tcW w:w="2252" w:type="pct"/>
                  <w:vAlign w:val="center"/>
                </w:tcPr>
                <w:p w14:paraId="20B6880D">
                  <w:pPr>
                    <w:widowControl/>
                    <w:jc w:val="center"/>
                    <w:rPr>
                      <w:color w:val="auto"/>
                      <w:kern w:val="0"/>
                      <w:szCs w:val="21"/>
                      <w:highlight w:val="none"/>
                    </w:rPr>
                  </w:pPr>
                  <w:r>
                    <w:rPr>
                      <w:color w:val="auto"/>
                      <w:kern w:val="0"/>
                      <w:szCs w:val="21"/>
                      <w:highlight w:val="none"/>
                      <w:lang w:bidi="ar"/>
                    </w:rPr>
                    <w:t>外环绕城高速公路以内长江、嘉陵江水域采砂。</w:t>
                  </w:r>
                </w:p>
              </w:tc>
              <w:tc>
                <w:tcPr>
                  <w:tcW w:w="1606" w:type="pct"/>
                  <w:vAlign w:val="center"/>
                </w:tcPr>
                <w:p w14:paraId="4F55F6E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color w:val="auto"/>
                      <w:kern w:val="0"/>
                      <w:szCs w:val="21"/>
                      <w:highlight w:val="none"/>
                      <w:lang w:bidi="ar"/>
                    </w:rPr>
                    <w:t>外环绕城高速公路以内长江、嘉陵江水域</w:t>
                  </w:r>
                  <w:r>
                    <w:rPr>
                      <w:rFonts w:hint="eastAsia"/>
                      <w:color w:val="auto"/>
                      <w:kern w:val="0"/>
                      <w:szCs w:val="21"/>
                      <w:highlight w:val="none"/>
                      <w:lang w:bidi="ar"/>
                    </w:rPr>
                    <w:t>，</w:t>
                  </w:r>
                  <w:r>
                    <w:rPr>
                      <w:rFonts w:hint="eastAsia" w:ascii="宋体" w:hAnsi="宋体" w:cs="宋体"/>
                      <w:color w:val="auto"/>
                      <w:kern w:val="0"/>
                      <w:szCs w:val="21"/>
                      <w:highlight w:val="none"/>
                    </w:rPr>
                    <w:t>不属于采砂类项目</w:t>
                  </w:r>
                </w:p>
              </w:tc>
              <w:tc>
                <w:tcPr>
                  <w:tcW w:w="753" w:type="pct"/>
                  <w:vAlign w:val="center"/>
                </w:tcPr>
                <w:p w14:paraId="67CC6E7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393C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727FDC55">
                  <w:pPr>
                    <w:widowControl/>
                    <w:jc w:val="center"/>
                    <w:rPr>
                      <w:color w:val="auto"/>
                      <w:kern w:val="0"/>
                      <w:szCs w:val="21"/>
                      <w:highlight w:val="none"/>
                    </w:rPr>
                  </w:pPr>
                  <w:r>
                    <w:rPr>
                      <w:color w:val="auto"/>
                      <w:kern w:val="0"/>
                      <w:szCs w:val="21"/>
                      <w:highlight w:val="none"/>
                    </w:rPr>
                    <w:t>2</w:t>
                  </w:r>
                </w:p>
              </w:tc>
              <w:tc>
                <w:tcPr>
                  <w:tcW w:w="2252" w:type="pct"/>
                  <w:vAlign w:val="center"/>
                </w:tcPr>
                <w:p w14:paraId="4BD563C5">
                  <w:pPr>
                    <w:widowControl/>
                    <w:jc w:val="center"/>
                    <w:rPr>
                      <w:color w:val="auto"/>
                      <w:kern w:val="0"/>
                      <w:szCs w:val="21"/>
                      <w:highlight w:val="none"/>
                    </w:rPr>
                  </w:pPr>
                  <w:r>
                    <w:rPr>
                      <w:color w:val="auto"/>
                      <w:kern w:val="0"/>
                      <w:szCs w:val="21"/>
                      <w:highlight w:val="none"/>
                      <w:lang w:bidi="ar"/>
                    </w:rPr>
                    <w:t>二十五度以上陡坡地开垦种植农作物。</w:t>
                  </w:r>
                </w:p>
              </w:tc>
              <w:tc>
                <w:tcPr>
                  <w:tcW w:w="1606" w:type="pct"/>
                  <w:vAlign w:val="center"/>
                </w:tcPr>
                <w:p w14:paraId="3695DE3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color w:val="auto"/>
                      <w:kern w:val="0"/>
                      <w:szCs w:val="21"/>
                      <w:highlight w:val="none"/>
                      <w:lang w:bidi="ar"/>
                    </w:rPr>
                    <w:t>二十五度以上陡坡地</w:t>
                  </w:r>
                  <w:r>
                    <w:rPr>
                      <w:rFonts w:hint="eastAsia"/>
                      <w:color w:val="auto"/>
                      <w:kern w:val="0"/>
                      <w:szCs w:val="21"/>
                      <w:highlight w:val="none"/>
                      <w:lang w:bidi="ar"/>
                    </w:rPr>
                    <w:t>，</w:t>
                  </w:r>
                  <w:r>
                    <w:rPr>
                      <w:rFonts w:hint="eastAsia" w:ascii="宋体" w:hAnsi="宋体" w:cs="宋体"/>
                      <w:color w:val="auto"/>
                      <w:kern w:val="0"/>
                      <w:szCs w:val="21"/>
                      <w:highlight w:val="none"/>
                    </w:rPr>
                    <w:t>不属于种植农作物类项目</w:t>
                  </w:r>
                </w:p>
              </w:tc>
              <w:tc>
                <w:tcPr>
                  <w:tcW w:w="753" w:type="pct"/>
                  <w:vAlign w:val="center"/>
                </w:tcPr>
                <w:p w14:paraId="32E078F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33B7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7" w:type="pct"/>
                  <w:vAlign w:val="center"/>
                </w:tcPr>
                <w:p w14:paraId="0EFB85F3">
                  <w:pPr>
                    <w:widowControl/>
                    <w:jc w:val="center"/>
                    <w:rPr>
                      <w:color w:val="auto"/>
                      <w:kern w:val="0"/>
                      <w:szCs w:val="21"/>
                      <w:highlight w:val="none"/>
                    </w:rPr>
                  </w:pPr>
                  <w:r>
                    <w:rPr>
                      <w:color w:val="auto"/>
                      <w:kern w:val="0"/>
                      <w:szCs w:val="21"/>
                      <w:highlight w:val="none"/>
                    </w:rPr>
                    <w:t>3</w:t>
                  </w:r>
                </w:p>
              </w:tc>
              <w:tc>
                <w:tcPr>
                  <w:tcW w:w="2252" w:type="pct"/>
                  <w:vAlign w:val="center"/>
                </w:tcPr>
                <w:p w14:paraId="22DE7D69">
                  <w:pPr>
                    <w:widowControl/>
                    <w:jc w:val="center"/>
                    <w:rPr>
                      <w:color w:val="auto"/>
                      <w:kern w:val="0"/>
                      <w:szCs w:val="21"/>
                      <w:highlight w:val="none"/>
                    </w:rPr>
                  </w:pPr>
                  <w:r>
                    <w:rPr>
                      <w:color w:val="auto"/>
                      <w:kern w:val="0"/>
                      <w:szCs w:val="21"/>
                      <w:highlight w:val="none"/>
                      <w:lang w:bidi="ar"/>
                    </w:rPr>
                    <w:t>在自然保护区</w:t>
                  </w:r>
                  <w:r>
                    <w:rPr>
                      <w:rFonts w:hint="eastAsia"/>
                      <w:color w:val="auto"/>
                      <w:kern w:val="0"/>
                      <w:szCs w:val="21"/>
                      <w:highlight w:val="none"/>
                      <w:lang w:bidi="ar"/>
                    </w:rPr>
                    <w:t>核心</w:t>
                  </w:r>
                  <w:r>
                    <w:rPr>
                      <w:color w:val="auto"/>
                      <w:kern w:val="0"/>
                      <w:szCs w:val="21"/>
                      <w:highlight w:val="none"/>
                      <w:lang w:bidi="ar"/>
                    </w:rPr>
                    <w:t>区、缓冲区的岸线和河段范围内投资建设旅游和生产经营项目。</w:t>
                  </w:r>
                </w:p>
              </w:tc>
              <w:tc>
                <w:tcPr>
                  <w:tcW w:w="1606" w:type="pct"/>
                  <w:vAlign w:val="center"/>
                </w:tcPr>
                <w:p w14:paraId="0F6BD0C3">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color w:val="auto"/>
                      <w:kern w:val="0"/>
                      <w:szCs w:val="21"/>
                      <w:highlight w:val="none"/>
                      <w:lang w:bidi="ar"/>
                    </w:rPr>
                    <w:t>自然保护区</w:t>
                  </w:r>
                  <w:r>
                    <w:rPr>
                      <w:rFonts w:hint="eastAsia"/>
                      <w:color w:val="auto"/>
                      <w:kern w:val="0"/>
                      <w:szCs w:val="21"/>
                      <w:highlight w:val="none"/>
                      <w:lang w:bidi="ar"/>
                    </w:rPr>
                    <w:t>核心</w:t>
                  </w:r>
                  <w:r>
                    <w:rPr>
                      <w:color w:val="auto"/>
                      <w:kern w:val="0"/>
                      <w:szCs w:val="21"/>
                      <w:highlight w:val="none"/>
                      <w:lang w:bidi="ar"/>
                    </w:rPr>
                    <w:t>区、缓冲区的岸线和河段范围</w:t>
                  </w:r>
                  <w:r>
                    <w:rPr>
                      <w:rFonts w:hint="eastAsia"/>
                      <w:color w:val="auto"/>
                      <w:kern w:val="0"/>
                      <w:szCs w:val="21"/>
                      <w:highlight w:val="none"/>
                      <w:lang w:bidi="ar"/>
                    </w:rPr>
                    <w:t>，</w:t>
                  </w:r>
                  <w:r>
                    <w:rPr>
                      <w:rFonts w:hint="eastAsia" w:ascii="宋体" w:hAnsi="宋体" w:cs="宋体"/>
                      <w:color w:val="auto"/>
                      <w:kern w:val="0"/>
                      <w:szCs w:val="21"/>
                      <w:highlight w:val="none"/>
                    </w:rPr>
                    <w:t>不属于</w:t>
                  </w:r>
                  <w:r>
                    <w:rPr>
                      <w:color w:val="auto"/>
                      <w:kern w:val="0"/>
                      <w:szCs w:val="21"/>
                      <w:highlight w:val="none"/>
                      <w:lang w:bidi="ar"/>
                    </w:rPr>
                    <w:t>投资建设旅游和生产经营项目</w:t>
                  </w:r>
                </w:p>
              </w:tc>
              <w:tc>
                <w:tcPr>
                  <w:tcW w:w="753" w:type="pct"/>
                  <w:vAlign w:val="center"/>
                </w:tcPr>
                <w:p w14:paraId="57EBFAA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1EBC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C1E2D8E">
                  <w:pPr>
                    <w:widowControl/>
                    <w:jc w:val="center"/>
                    <w:rPr>
                      <w:color w:val="auto"/>
                      <w:kern w:val="0"/>
                      <w:szCs w:val="21"/>
                      <w:highlight w:val="none"/>
                    </w:rPr>
                  </w:pPr>
                  <w:r>
                    <w:rPr>
                      <w:color w:val="auto"/>
                      <w:kern w:val="0"/>
                      <w:szCs w:val="21"/>
                      <w:highlight w:val="none"/>
                    </w:rPr>
                    <w:t>4</w:t>
                  </w:r>
                </w:p>
              </w:tc>
              <w:tc>
                <w:tcPr>
                  <w:tcW w:w="2252" w:type="pct"/>
                  <w:vAlign w:val="center"/>
                </w:tcPr>
                <w:p w14:paraId="0A803ABA">
                  <w:pPr>
                    <w:widowControl/>
                    <w:jc w:val="center"/>
                    <w:rPr>
                      <w:color w:val="auto"/>
                      <w:kern w:val="0"/>
                      <w:szCs w:val="21"/>
                      <w:highlight w:val="none"/>
                    </w:rPr>
                  </w:pPr>
                  <w:r>
                    <w:rPr>
                      <w:color w:val="auto"/>
                      <w:kern w:val="0"/>
                      <w:szCs w:val="21"/>
                      <w:highlight w:val="none"/>
                      <w:lang w:bidi="ar"/>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606" w:type="pct"/>
                  <w:vAlign w:val="center"/>
                </w:tcPr>
                <w:p w14:paraId="51DEB30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本项目不涉及饮用水源一级保护区的岸线和河段。不涉及饮用水水源二级保护区的岸线和河段范围。</w:t>
                  </w:r>
                </w:p>
              </w:tc>
              <w:tc>
                <w:tcPr>
                  <w:tcW w:w="753" w:type="pct"/>
                  <w:vAlign w:val="center"/>
                </w:tcPr>
                <w:p w14:paraId="6FF281F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6339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587A5EEE">
                  <w:pPr>
                    <w:widowControl/>
                    <w:jc w:val="center"/>
                    <w:rPr>
                      <w:color w:val="auto"/>
                      <w:kern w:val="0"/>
                      <w:szCs w:val="21"/>
                      <w:highlight w:val="none"/>
                    </w:rPr>
                  </w:pPr>
                  <w:r>
                    <w:rPr>
                      <w:color w:val="auto"/>
                      <w:kern w:val="0"/>
                      <w:szCs w:val="21"/>
                      <w:highlight w:val="none"/>
                    </w:rPr>
                    <w:t>5</w:t>
                  </w:r>
                </w:p>
              </w:tc>
              <w:tc>
                <w:tcPr>
                  <w:tcW w:w="2252" w:type="pct"/>
                  <w:vAlign w:val="center"/>
                </w:tcPr>
                <w:p w14:paraId="25ED4289">
                  <w:pPr>
                    <w:widowControl/>
                    <w:jc w:val="center"/>
                    <w:rPr>
                      <w:color w:val="auto"/>
                      <w:kern w:val="0"/>
                      <w:szCs w:val="21"/>
                      <w:highlight w:val="none"/>
                      <w:lang w:bidi="ar"/>
                    </w:rPr>
                  </w:pPr>
                  <w:r>
                    <w:rPr>
                      <w:color w:val="auto"/>
                      <w:kern w:val="0"/>
                      <w:szCs w:val="21"/>
                      <w:highlight w:val="none"/>
                      <w:lang w:bidi="ar"/>
                    </w:rPr>
                    <w:t>长江干流岸线3公里范围内和重要支流岸线1公里范围内新建、改建、扩建尾矿库、冶炼渣库和磷石膏库（以提升安全、生态环境保护水平为目的的改建除外）。</w:t>
                  </w:r>
                </w:p>
              </w:tc>
              <w:tc>
                <w:tcPr>
                  <w:tcW w:w="1606" w:type="pct"/>
                  <w:vAlign w:val="center"/>
                </w:tcPr>
                <w:p w14:paraId="1E2D8D6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rFonts w:hint="eastAsia" w:ascii="宋体" w:hAnsi="宋体" w:cs="宋体"/>
                      <w:color w:val="auto"/>
                      <w:kern w:val="0"/>
                      <w:szCs w:val="21"/>
                      <w:highlight w:val="none"/>
                      <w:lang w:bidi="ar"/>
                    </w:rPr>
                    <w:t>长江干流岸线</w:t>
                  </w:r>
                  <w:r>
                    <w:rPr>
                      <w:color w:val="auto"/>
                      <w:kern w:val="0"/>
                      <w:szCs w:val="21"/>
                      <w:highlight w:val="none"/>
                      <w:lang w:bidi="ar"/>
                    </w:rPr>
                    <w:t>3</w:t>
                  </w:r>
                  <w:r>
                    <w:rPr>
                      <w:rFonts w:hint="eastAsia" w:ascii="宋体" w:hAnsi="宋体" w:cs="宋体"/>
                      <w:color w:val="auto"/>
                      <w:kern w:val="0"/>
                      <w:szCs w:val="21"/>
                      <w:highlight w:val="none"/>
                      <w:lang w:bidi="ar"/>
                    </w:rPr>
                    <w:t>公里范围内和重要支流岸线</w:t>
                  </w:r>
                  <w:r>
                    <w:rPr>
                      <w:color w:val="auto"/>
                      <w:kern w:val="0"/>
                      <w:szCs w:val="21"/>
                      <w:highlight w:val="none"/>
                      <w:lang w:bidi="ar"/>
                    </w:rPr>
                    <w:t>1</w:t>
                  </w:r>
                  <w:r>
                    <w:rPr>
                      <w:rFonts w:hint="eastAsia" w:ascii="宋体" w:hAnsi="宋体" w:cs="宋体"/>
                      <w:color w:val="auto"/>
                      <w:kern w:val="0"/>
                      <w:szCs w:val="21"/>
                      <w:highlight w:val="none"/>
                      <w:lang w:bidi="ar"/>
                    </w:rPr>
                    <w:t>公里范围，不属于</w:t>
                  </w:r>
                  <w:r>
                    <w:rPr>
                      <w:color w:val="auto"/>
                      <w:kern w:val="0"/>
                      <w:szCs w:val="21"/>
                      <w:highlight w:val="none"/>
                      <w:lang w:bidi="ar"/>
                    </w:rPr>
                    <w:t>新建、改建、扩建尾矿库、冶炼渣库和磷石膏库</w:t>
                  </w:r>
                  <w:r>
                    <w:rPr>
                      <w:rFonts w:hint="eastAsia"/>
                      <w:color w:val="auto"/>
                      <w:kern w:val="0"/>
                      <w:szCs w:val="21"/>
                      <w:highlight w:val="none"/>
                      <w:lang w:bidi="ar"/>
                    </w:rPr>
                    <w:t>项目</w:t>
                  </w:r>
                </w:p>
              </w:tc>
              <w:tc>
                <w:tcPr>
                  <w:tcW w:w="753" w:type="pct"/>
                  <w:vAlign w:val="center"/>
                </w:tcPr>
                <w:p w14:paraId="5902D5E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0389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74B7BAFC">
                  <w:pPr>
                    <w:widowControl/>
                    <w:jc w:val="center"/>
                    <w:rPr>
                      <w:color w:val="auto"/>
                      <w:kern w:val="0"/>
                      <w:szCs w:val="21"/>
                      <w:highlight w:val="none"/>
                    </w:rPr>
                  </w:pPr>
                  <w:r>
                    <w:rPr>
                      <w:color w:val="auto"/>
                      <w:kern w:val="0"/>
                      <w:szCs w:val="21"/>
                      <w:highlight w:val="none"/>
                    </w:rPr>
                    <w:t>6</w:t>
                  </w:r>
                </w:p>
              </w:tc>
              <w:tc>
                <w:tcPr>
                  <w:tcW w:w="2252" w:type="pct"/>
                  <w:vAlign w:val="center"/>
                </w:tcPr>
                <w:p w14:paraId="6D7B3B4F">
                  <w:pPr>
                    <w:widowControl/>
                    <w:jc w:val="center"/>
                    <w:rPr>
                      <w:color w:val="auto"/>
                      <w:kern w:val="0"/>
                      <w:szCs w:val="21"/>
                      <w:highlight w:val="none"/>
                      <w:lang w:bidi="ar"/>
                    </w:rPr>
                  </w:pPr>
                  <w:r>
                    <w:rPr>
                      <w:color w:val="auto"/>
                      <w:kern w:val="0"/>
                      <w:szCs w:val="21"/>
                      <w:highlight w:val="none"/>
                      <w:lang w:bidi="ar"/>
                    </w:rPr>
                    <w:t>在风景名胜区核心景区的岸线和河段范围内投资建设与风景名胜资源保护无关的项目。</w:t>
                  </w:r>
                </w:p>
              </w:tc>
              <w:tc>
                <w:tcPr>
                  <w:tcW w:w="1606" w:type="pct"/>
                  <w:vAlign w:val="center"/>
                </w:tcPr>
                <w:p w14:paraId="3046A61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rFonts w:hint="eastAsia" w:ascii="宋体" w:hAnsi="宋体" w:cs="宋体"/>
                      <w:color w:val="auto"/>
                      <w:kern w:val="0"/>
                      <w:szCs w:val="21"/>
                      <w:highlight w:val="none"/>
                      <w:lang w:bidi="ar"/>
                    </w:rPr>
                    <w:t>风景名胜区核心景区的岸线和河段。</w:t>
                  </w:r>
                </w:p>
              </w:tc>
              <w:tc>
                <w:tcPr>
                  <w:tcW w:w="753" w:type="pct"/>
                  <w:vAlign w:val="center"/>
                </w:tcPr>
                <w:p w14:paraId="62CEC8A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7A58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4F2F3F5C">
                  <w:pPr>
                    <w:widowControl/>
                    <w:jc w:val="center"/>
                    <w:rPr>
                      <w:color w:val="auto"/>
                      <w:kern w:val="0"/>
                      <w:szCs w:val="21"/>
                      <w:highlight w:val="none"/>
                    </w:rPr>
                  </w:pPr>
                  <w:r>
                    <w:rPr>
                      <w:color w:val="auto"/>
                      <w:kern w:val="0"/>
                      <w:szCs w:val="21"/>
                      <w:highlight w:val="none"/>
                    </w:rPr>
                    <w:t>7</w:t>
                  </w:r>
                </w:p>
              </w:tc>
              <w:tc>
                <w:tcPr>
                  <w:tcW w:w="2252" w:type="pct"/>
                  <w:vAlign w:val="center"/>
                </w:tcPr>
                <w:p w14:paraId="6DFB0072">
                  <w:pPr>
                    <w:widowControl/>
                    <w:jc w:val="center"/>
                    <w:rPr>
                      <w:color w:val="auto"/>
                      <w:kern w:val="0"/>
                      <w:szCs w:val="21"/>
                      <w:highlight w:val="none"/>
                      <w:lang w:bidi="ar"/>
                    </w:rPr>
                  </w:pPr>
                  <w:r>
                    <w:rPr>
                      <w:color w:val="auto"/>
                      <w:kern w:val="0"/>
                      <w:szCs w:val="21"/>
                      <w:highlight w:val="none"/>
                      <w:lang w:bidi="ar"/>
                    </w:rPr>
                    <w:t>在国家湿地公园的岸线和河段范围内挖沙、采矿，以及任何不符合主体功能定位的投资建设项目。</w:t>
                  </w:r>
                </w:p>
              </w:tc>
              <w:tc>
                <w:tcPr>
                  <w:tcW w:w="1606" w:type="pct"/>
                  <w:vAlign w:val="center"/>
                </w:tcPr>
                <w:p w14:paraId="5AB505C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rFonts w:hint="eastAsia" w:ascii="宋体" w:hAnsi="宋体" w:cs="宋体"/>
                      <w:color w:val="auto"/>
                      <w:kern w:val="0"/>
                      <w:szCs w:val="21"/>
                      <w:highlight w:val="none"/>
                      <w:lang w:bidi="ar"/>
                    </w:rPr>
                    <w:t>国家湿地公园的岸线和河段范围。</w:t>
                  </w:r>
                </w:p>
              </w:tc>
              <w:tc>
                <w:tcPr>
                  <w:tcW w:w="753" w:type="pct"/>
                  <w:vAlign w:val="center"/>
                </w:tcPr>
                <w:p w14:paraId="107EE7C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75C1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0C9BE6C2">
                  <w:pPr>
                    <w:widowControl/>
                    <w:jc w:val="center"/>
                    <w:rPr>
                      <w:color w:val="auto"/>
                      <w:kern w:val="0"/>
                      <w:szCs w:val="21"/>
                      <w:highlight w:val="none"/>
                    </w:rPr>
                  </w:pPr>
                  <w:r>
                    <w:rPr>
                      <w:color w:val="auto"/>
                      <w:kern w:val="0"/>
                      <w:szCs w:val="21"/>
                      <w:highlight w:val="none"/>
                    </w:rPr>
                    <w:t>8</w:t>
                  </w:r>
                </w:p>
              </w:tc>
              <w:tc>
                <w:tcPr>
                  <w:tcW w:w="2252" w:type="pct"/>
                  <w:vAlign w:val="center"/>
                </w:tcPr>
                <w:p w14:paraId="0AFD3862">
                  <w:pPr>
                    <w:widowControl/>
                    <w:jc w:val="center"/>
                    <w:rPr>
                      <w:color w:val="auto"/>
                      <w:kern w:val="0"/>
                      <w:szCs w:val="21"/>
                      <w:highlight w:val="none"/>
                      <w:lang w:bidi="ar"/>
                    </w:rPr>
                  </w:pPr>
                  <w:r>
                    <w:rPr>
                      <w:color w:val="auto"/>
                      <w:kern w:val="0"/>
                      <w:szCs w:val="21"/>
                      <w:highlight w:val="none"/>
                      <w:lang w:bidi="ar"/>
                    </w:rPr>
                    <w:t>在《长江岸线保护和开发利用总体规划》划定的岸线保护区和保留区内投资建设除事关公共安全及公众利益的防洪护岸、河道治理、供水、生态环境保护、航道整治、国家重要基础设施以外的项目。</w:t>
                  </w:r>
                </w:p>
              </w:tc>
              <w:tc>
                <w:tcPr>
                  <w:tcW w:w="1606" w:type="pct"/>
                  <w:vAlign w:val="center"/>
                </w:tcPr>
                <w:p w14:paraId="24680E3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rFonts w:hint="eastAsia" w:ascii="宋体" w:hAnsi="宋体" w:cs="宋体"/>
                      <w:color w:val="auto"/>
                      <w:kern w:val="0"/>
                      <w:szCs w:val="21"/>
                      <w:highlight w:val="none"/>
                      <w:lang w:bidi="ar"/>
                    </w:rPr>
                    <w:t>《长江岸线保护和开发利用总体规划》划定的岸线保护区和保留区。</w:t>
                  </w:r>
                </w:p>
              </w:tc>
              <w:tc>
                <w:tcPr>
                  <w:tcW w:w="753" w:type="pct"/>
                  <w:vAlign w:val="center"/>
                </w:tcPr>
                <w:p w14:paraId="408C38D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383D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87" w:type="pct"/>
                  <w:vAlign w:val="center"/>
                </w:tcPr>
                <w:p w14:paraId="2A9E7A68">
                  <w:pPr>
                    <w:widowControl/>
                    <w:jc w:val="center"/>
                    <w:rPr>
                      <w:color w:val="auto"/>
                      <w:kern w:val="0"/>
                      <w:szCs w:val="21"/>
                      <w:highlight w:val="none"/>
                    </w:rPr>
                  </w:pPr>
                  <w:r>
                    <w:rPr>
                      <w:color w:val="auto"/>
                      <w:kern w:val="0"/>
                      <w:szCs w:val="21"/>
                      <w:highlight w:val="none"/>
                    </w:rPr>
                    <w:t>9</w:t>
                  </w:r>
                </w:p>
              </w:tc>
              <w:tc>
                <w:tcPr>
                  <w:tcW w:w="2252" w:type="pct"/>
                  <w:vAlign w:val="center"/>
                </w:tcPr>
                <w:p w14:paraId="08E0BF62">
                  <w:pPr>
                    <w:widowControl/>
                    <w:jc w:val="center"/>
                    <w:rPr>
                      <w:color w:val="auto"/>
                      <w:kern w:val="0"/>
                      <w:szCs w:val="21"/>
                      <w:highlight w:val="none"/>
                      <w:lang w:bidi="ar"/>
                    </w:rPr>
                  </w:pPr>
                  <w:r>
                    <w:rPr>
                      <w:color w:val="auto"/>
                      <w:kern w:val="0"/>
                      <w:szCs w:val="21"/>
                      <w:highlight w:val="none"/>
                      <w:lang w:bidi="ar"/>
                    </w:rPr>
                    <w:t>在《全国重要江河湖泊水功能区划》划定的河段及湖泊保护区、保留区内投资建设不利于水资源及自然生态保护的项目。</w:t>
                  </w:r>
                </w:p>
              </w:tc>
              <w:tc>
                <w:tcPr>
                  <w:tcW w:w="1606" w:type="pct"/>
                  <w:vAlign w:val="center"/>
                </w:tcPr>
                <w:p w14:paraId="5C58FBA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rFonts w:hint="eastAsia" w:ascii="宋体" w:hAnsi="宋体" w:cs="宋体"/>
                      <w:color w:val="auto"/>
                      <w:kern w:val="0"/>
                      <w:szCs w:val="21"/>
                      <w:highlight w:val="none"/>
                      <w:lang w:bidi="ar"/>
                    </w:rPr>
                    <w:t>《全国重要江河湖泊水功能区划》划定的河段及湖泊保护区、保留区。</w:t>
                  </w:r>
                </w:p>
              </w:tc>
              <w:tc>
                <w:tcPr>
                  <w:tcW w:w="753" w:type="pct"/>
                  <w:vAlign w:val="center"/>
                </w:tcPr>
                <w:p w14:paraId="46DCA34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4C6F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2987C311">
                  <w:pPr>
                    <w:widowControl/>
                    <w:jc w:val="center"/>
                    <w:rPr>
                      <w:color w:val="auto"/>
                      <w:kern w:val="0"/>
                      <w:szCs w:val="21"/>
                      <w:highlight w:val="none"/>
                    </w:rPr>
                  </w:pPr>
                  <w:r>
                    <w:rPr>
                      <w:color w:val="auto"/>
                      <w:kern w:val="0"/>
                      <w:szCs w:val="21"/>
                      <w:highlight w:val="none"/>
                    </w:rPr>
                    <w:t>三</w:t>
                  </w:r>
                </w:p>
              </w:tc>
              <w:tc>
                <w:tcPr>
                  <w:tcW w:w="4612" w:type="pct"/>
                  <w:gridSpan w:val="3"/>
                  <w:vAlign w:val="center"/>
                </w:tcPr>
                <w:p w14:paraId="42DAA860">
                  <w:pPr>
                    <w:widowControl/>
                    <w:jc w:val="center"/>
                    <w:rPr>
                      <w:color w:val="auto"/>
                      <w:kern w:val="0"/>
                      <w:szCs w:val="21"/>
                      <w:highlight w:val="none"/>
                    </w:rPr>
                  </w:pPr>
                  <w:r>
                    <w:rPr>
                      <w:color w:val="auto"/>
                      <w:kern w:val="0"/>
                      <w:szCs w:val="21"/>
                      <w:highlight w:val="none"/>
                      <w:lang w:bidi="ar"/>
                    </w:rPr>
                    <w:t>全市范围内限制准入的产业</w:t>
                  </w:r>
                </w:p>
              </w:tc>
            </w:tr>
            <w:tr w14:paraId="234B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46A64A2C">
                  <w:pPr>
                    <w:widowControl/>
                    <w:jc w:val="center"/>
                    <w:rPr>
                      <w:color w:val="auto"/>
                      <w:kern w:val="0"/>
                      <w:szCs w:val="21"/>
                      <w:highlight w:val="none"/>
                    </w:rPr>
                  </w:pPr>
                  <w:r>
                    <w:rPr>
                      <w:color w:val="auto"/>
                      <w:kern w:val="0"/>
                      <w:szCs w:val="21"/>
                      <w:highlight w:val="none"/>
                    </w:rPr>
                    <w:t>1</w:t>
                  </w:r>
                </w:p>
              </w:tc>
              <w:tc>
                <w:tcPr>
                  <w:tcW w:w="2252" w:type="pct"/>
                  <w:vAlign w:val="center"/>
                </w:tcPr>
                <w:p w14:paraId="0A29EA63">
                  <w:pPr>
                    <w:widowControl/>
                    <w:jc w:val="center"/>
                    <w:rPr>
                      <w:color w:val="auto"/>
                      <w:kern w:val="0"/>
                      <w:szCs w:val="21"/>
                      <w:highlight w:val="none"/>
                      <w:lang w:bidi="ar"/>
                    </w:rPr>
                  </w:pPr>
                  <w:r>
                    <w:rPr>
                      <w:color w:val="auto"/>
                      <w:kern w:val="0"/>
                      <w:szCs w:val="21"/>
                      <w:highlight w:val="none"/>
                      <w:lang w:bidi="ar"/>
                    </w:rPr>
                    <w:t>新建、扩建不符合国家产能置换要求的严重过剩产能行业的项目。新建、扩建不符合要求的高耗能高排放项目。</w:t>
                  </w:r>
                </w:p>
              </w:tc>
              <w:tc>
                <w:tcPr>
                  <w:tcW w:w="1606" w:type="pct"/>
                  <w:vAlign w:val="center"/>
                </w:tcPr>
                <w:p w14:paraId="524903C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本项目不属于</w:t>
                  </w:r>
                  <w:r>
                    <w:rPr>
                      <w:color w:val="auto"/>
                      <w:kern w:val="0"/>
                      <w:szCs w:val="21"/>
                      <w:highlight w:val="none"/>
                      <w:lang w:bidi="ar"/>
                    </w:rPr>
                    <w:t>严重过剩产能行业的项目</w:t>
                  </w:r>
                  <w:r>
                    <w:rPr>
                      <w:rFonts w:hint="eastAsia"/>
                      <w:color w:val="auto"/>
                      <w:kern w:val="0"/>
                      <w:szCs w:val="21"/>
                      <w:highlight w:val="none"/>
                      <w:lang w:bidi="ar"/>
                    </w:rPr>
                    <w:t>及高耗能高排放项目。</w:t>
                  </w:r>
                </w:p>
              </w:tc>
              <w:tc>
                <w:tcPr>
                  <w:tcW w:w="753" w:type="pct"/>
                  <w:vAlign w:val="center"/>
                </w:tcPr>
                <w:p w14:paraId="1877D54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1C0D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272F7B02">
                  <w:pPr>
                    <w:widowControl/>
                    <w:jc w:val="center"/>
                    <w:rPr>
                      <w:color w:val="auto"/>
                      <w:kern w:val="0"/>
                      <w:szCs w:val="21"/>
                      <w:highlight w:val="none"/>
                    </w:rPr>
                  </w:pPr>
                  <w:r>
                    <w:rPr>
                      <w:color w:val="auto"/>
                      <w:kern w:val="0"/>
                      <w:szCs w:val="21"/>
                      <w:highlight w:val="none"/>
                    </w:rPr>
                    <w:t>2</w:t>
                  </w:r>
                </w:p>
              </w:tc>
              <w:tc>
                <w:tcPr>
                  <w:tcW w:w="2252" w:type="pct"/>
                  <w:vAlign w:val="center"/>
                </w:tcPr>
                <w:p w14:paraId="705C505F">
                  <w:pPr>
                    <w:widowControl/>
                    <w:jc w:val="center"/>
                    <w:rPr>
                      <w:color w:val="auto"/>
                      <w:kern w:val="0"/>
                      <w:szCs w:val="21"/>
                      <w:highlight w:val="none"/>
                      <w:lang w:bidi="ar"/>
                    </w:rPr>
                  </w:pPr>
                  <w:r>
                    <w:rPr>
                      <w:color w:val="auto"/>
                      <w:kern w:val="0"/>
                      <w:szCs w:val="21"/>
                      <w:highlight w:val="none"/>
                      <w:lang w:bidi="ar"/>
                    </w:rPr>
                    <w:t>新建、扩建不符合国家石化、现代煤化工等产业布局规划的项目。</w:t>
                  </w:r>
                </w:p>
              </w:tc>
              <w:tc>
                <w:tcPr>
                  <w:tcW w:w="1606" w:type="pct"/>
                  <w:vAlign w:val="center"/>
                </w:tcPr>
                <w:p w14:paraId="261F790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本项目不属于</w:t>
                  </w:r>
                  <w:r>
                    <w:rPr>
                      <w:color w:val="auto"/>
                      <w:kern w:val="0"/>
                      <w:szCs w:val="21"/>
                      <w:highlight w:val="none"/>
                      <w:lang w:bidi="ar"/>
                    </w:rPr>
                    <w:t>不符合国家石化、现代煤化工等产业布局规划的项目。</w:t>
                  </w:r>
                </w:p>
              </w:tc>
              <w:tc>
                <w:tcPr>
                  <w:tcW w:w="753" w:type="pct"/>
                  <w:vAlign w:val="center"/>
                </w:tcPr>
                <w:p w14:paraId="2EAC74A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3C35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62A2AB1E">
                  <w:pPr>
                    <w:widowControl/>
                    <w:jc w:val="center"/>
                    <w:rPr>
                      <w:color w:val="auto"/>
                      <w:kern w:val="0"/>
                      <w:szCs w:val="21"/>
                      <w:highlight w:val="none"/>
                    </w:rPr>
                  </w:pPr>
                  <w:r>
                    <w:rPr>
                      <w:color w:val="auto"/>
                      <w:kern w:val="0"/>
                      <w:szCs w:val="21"/>
                      <w:highlight w:val="none"/>
                    </w:rPr>
                    <w:t>3</w:t>
                  </w:r>
                </w:p>
              </w:tc>
              <w:tc>
                <w:tcPr>
                  <w:tcW w:w="2252" w:type="pct"/>
                  <w:vAlign w:val="center"/>
                </w:tcPr>
                <w:p w14:paraId="3F0E0F2E">
                  <w:pPr>
                    <w:widowControl/>
                    <w:jc w:val="center"/>
                    <w:rPr>
                      <w:color w:val="auto"/>
                      <w:kern w:val="0"/>
                      <w:szCs w:val="21"/>
                      <w:highlight w:val="none"/>
                      <w:lang w:bidi="ar"/>
                    </w:rPr>
                  </w:pPr>
                  <w:r>
                    <w:rPr>
                      <w:color w:val="auto"/>
                      <w:kern w:val="0"/>
                      <w:szCs w:val="21"/>
                      <w:highlight w:val="none"/>
                      <w:lang w:bidi="ar"/>
                    </w:rPr>
                    <w:t>在合规园区外新建、扩建钢铁、石化、化工、焦化、建材、有色、制浆 造纸等高污染项目。</w:t>
                  </w:r>
                </w:p>
              </w:tc>
              <w:tc>
                <w:tcPr>
                  <w:tcW w:w="1606" w:type="pct"/>
                  <w:vAlign w:val="center"/>
                </w:tcPr>
                <w:p w14:paraId="1BDF18D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本项目位于龙市镇工业组团内，不属于</w:t>
                  </w:r>
                  <w:r>
                    <w:rPr>
                      <w:color w:val="auto"/>
                      <w:kern w:val="0"/>
                      <w:szCs w:val="21"/>
                      <w:highlight w:val="none"/>
                      <w:lang w:bidi="ar"/>
                    </w:rPr>
                    <w:t>钢铁、石化、化工、焦化、建材、有色、制浆 造纸等高污染项目。</w:t>
                  </w:r>
                </w:p>
              </w:tc>
              <w:tc>
                <w:tcPr>
                  <w:tcW w:w="753" w:type="pct"/>
                  <w:vAlign w:val="center"/>
                </w:tcPr>
                <w:p w14:paraId="737E994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7515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1C5AD53">
                  <w:pPr>
                    <w:widowControl/>
                    <w:jc w:val="center"/>
                    <w:rPr>
                      <w:color w:val="auto"/>
                      <w:kern w:val="0"/>
                      <w:szCs w:val="21"/>
                      <w:highlight w:val="none"/>
                    </w:rPr>
                  </w:pPr>
                  <w:r>
                    <w:rPr>
                      <w:color w:val="auto"/>
                      <w:kern w:val="0"/>
                      <w:szCs w:val="21"/>
                      <w:highlight w:val="none"/>
                    </w:rPr>
                    <w:t>4</w:t>
                  </w:r>
                </w:p>
              </w:tc>
              <w:tc>
                <w:tcPr>
                  <w:tcW w:w="2252" w:type="pct"/>
                  <w:vAlign w:val="center"/>
                </w:tcPr>
                <w:p w14:paraId="328E1BC7">
                  <w:pPr>
                    <w:widowControl/>
                    <w:jc w:val="center"/>
                    <w:rPr>
                      <w:color w:val="auto"/>
                      <w:kern w:val="0"/>
                      <w:szCs w:val="21"/>
                      <w:highlight w:val="none"/>
                      <w:lang w:bidi="ar"/>
                    </w:rPr>
                  </w:pPr>
                  <w:r>
                    <w:rPr>
                      <w:color w:val="auto"/>
                      <w:kern w:val="0"/>
                      <w:szCs w:val="21"/>
                      <w:highlight w:val="none"/>
                      <w:lang w:bidi="ar"/>
                    </w:rPr>
                    <w:t>《汽车产业投资管理规定》（国家发展和改革委员会令第 22 号）明确禁止建设的汽车投资项目。</w:t>
                  </w:r>
                </w:p>
              </w:tc>
              <w:tc>
                <w:tcPr>
                  <w:tcW w:w="1606" w:type="pct"/>
                  <w:vAlign w:val="center"/>
                </w:tcPr>
                <w:p w14:paraId="42C00FF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本项目不属于</w:t>
                  </w:r>
                  <w:r>
                    <w:rPr>
                      <w:color w:val="auto"/>
                      <w:kern w:val="0"/>
                      <w:szCs w:val="21"/>
                      <w:highlight w:val="none"/>
                      <w:lang w:bidi="ar"/>
                    </w:rPr>
                    <w:t>汽车投资项目</w:t>
                  </w:r>
                  <w:r>
                    <w:rPr>
                      <w:rFonts w:hint="eastAsia"/>
                      <w:color w:val="auto"/>
                      <w:kern w:val="0"/>
                      <w:szCs w:val="21"/>
                      <w:highlight w:val="none"/>
                      <w:lang w:bidi="ar"/>
                    </w:rPr>
                    <w:t>。</w:t>
                  </w:r>
                </w:p>
              </w:tc>
              <w:tc>
                <w:tcPr>
                  <w:tcW w:w="753" w:type="pct"/>
                  <w:vAlign w:val="center"/>
                </w:tcPr>
                <w:p w14:paraId="15AEC1B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3EBE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7BE9E2F9">
                  <w:pPr>
                    <w:widowControl/>
                    <w:jc w:val="center"/>
                    <w:rPr>
                      <w:color w:val="auto"/>
                      <w:kern w:val="0"/>
                      <w:szCs w:val="21"/>
                      <w:highlight w:val="none"/>
                    </w:rPr>
                  </w:pPr>
                  <w:r>
                    <w:rPr>
                      <w:color w:val="auto"/>
                      <w:kern w:val="0"/>
                      <w:szCs w:val="21"/>
                      <w:highlight w:val="none"/>
                    </w:rPr>
                    <w:t>四</w:t>
                  </w:r>
                </w:p>
              </w:tc>
              <w:tc>
                <w:tcPr>
                  <w:tcW w:w="4612" w:type="pct"/>
                  <w:gridSpan w:val="3"/>
                  <w:vAlign w:val="center"/>
                </w:tcPr>
                <w:p w14:paraId="735E5ED5">
                  <w:pPr>
                    <w:widowControl/>
                    <w:jc w:val="center"/>
                    <w:rPr>
                      <w:color w:val="auto"/>
                      <w:kern w:val="0"/>
                      <w:szCs w:val="21"/>
                      <w:highlight w:val="none"/>
                    </w:rPr>
                  </w:pPr>
                  <w:r>
                    <w:rPr>
                      <w:color w:val="auto"/>
                      <w:kern w:val="0"/>
                      <w:szCs w:val="21"/>
                      <w:highlight w:val="none"/>
                      <w:lang w:bidi="ar"/>
                    </w:rPr>
                    <w:t>重点区域范围内限制准入的产业</w:t>
                  </w:r>
                </w:p>
              </w:tc>
            </w:tr>
            <w:tr w14:paraId="4554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68278774">
                  <w:pPr>
                    <w:widowControl/>
                    <w:jc w:val="center"/>
                    <w:rPr>
                      <w:color w:val="auto"/>
                      <w:kern w:val="0"/>
                      <w:szCs w:val="21"/>
                      <w:highlight w:val="none"/>
                    </w:rPr>
                  </w:pPr>
                  <w:r>
                    <w:rPr>
                      <w:color w:val="auto"/>
                      <w:kern w:val="0"/>
                      <w:szCs w:val="21"/>
                      <w:highlight w:val="none"/>
                    </w:rPr>
                    <w:t>1</w:t>
                  </w:r>
                </w:p>
              </w:tc>
              <w:tc>
                <w:tcPr>
                  <w:tcW w:w="2252" w:type="pct"/>
                  <w:vAlign w:val="center"/>
                </w:tcPr>
                <w:p w14:paraId="43B71EE2">
                  <w:pPr>
                    <w:widowControl/>
                    <w:jc w:val="center"/>
                    <w:rPr>
                      <w:color w:val="auto"/>
                      <w:kern w:val="0"/>
                      <w:szCs w:val="21"/>
                      <w:highlight w:val="none"/>
                      <w:lang w:bidi="ar"/>
                    </w:rPr>
                  </w:pPr>
                  <w:r>
                    <w:rPr>
                      <w:color w:val="auto"/>
                      <w:kern w:val="0"/>
                      <w:szCs w:val="21"/>
                      <w:highlight w:val="none"/>
                      <w:lang w:bidi="ar"/>
                    </w:rPr>
                    <w:t>重点区域范围内限制准入的产业</w:t>
                  </w:r>
                </w:p>
              </w:tc>
              <w:tc>
                <w:tcPr>
                  <w:tcW w:w="1606" w:type="pct"/>
                  <w:vAlign w:val="center"/>
                </w:tcPr>
                <w:p w14:paraId="6FDA2A6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本项目不属于</w:t>
                  </w:r>
                  <w:r>
                    <w:rPr>
                      <w:color w:val="auto"/>
                      <w:kern w:val="0"/>
                      <w:szCs w:val="21"/>
                      <w:highlight w:val="none"/>
                      <w:lang w:bidi="ar"/>
                    </w:rPr>
                    <w:t>重点区域范围内限制准入的产业</w:t>
                  </w:r>
                  <w:r>
                    <w:rPr>
                      <w:rFonts w:hint="eastAsia"/>
                      <w:color w:val="auto"/>
                      <w:kern w:val="0"/>
                      <w:szCs w:val="21"/>
                      <w:highlight w:val="none"/>
                      <w:lang w:bidi="ar"/>
                    </w:rPr>
                    <w:t>。</w:t>
                  </w:r>
                </w:p>
              </w:tc>
              <w:tc>
                <w:tcPr>
                  <w:tcW w:w="753" w:type="pct"/>
                  <w:vAlign w:val="center"/>
                </w:tcPr>
                <w:p w14:paraId="2F98EAD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28C7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4A21D7AD">
                  <w:pPr>
                    <w:widowControl/>
                    <w:jc w:val="center"/>
                    <w:rPr>
                      <w:color w:val="auto"/>
                      <w:kern w:val="0"/>
                      <w:szCs w:val="21"/>
                      <w:highlight w:val="none"/>
                    </w:rPr>
                  </w:pPr>
                  <w:r>
                    <w:rPr>
                      <w:color w:val="auto"/>
                      <w:kern w:val="0"/>
                      <w:szCs w:val="21"/>
                      <w:highlight w:val="none"/>
                    </w:rPr>
                    <w:t>2</w:t>
                  </w:r>
                </w:p>
              </w:tc>
              <w:tc>
                <w:tcPr>
                  <w:tcW w:w="2252" w:type="pct"/>
                  <w:vAlign w:val="center"/>
                </w:tcPr>
                <w:p w14:paraId="3E4C6DFA">
                  <w:pPr>
                    <w:widowControl/>
                    <w:jc w:val="center"/>
                    <w:rPr>
                      <w:color w:val="auto"/>
                      <w:kern w:val="0"/>
                      <w:szCs w:val="21"/>
                      <w:highlight w:val="none"/>
                      <w:lang w:bidi="ar"/>
                    </w:rPr>
                  </w:pPr>
                  <w:r>
                    <w:rPr>
                      <w:color w:val="auto"/>
                      <w:kern w:val="0"/>
                      <w:szCs w:val="21"/>
                      <w:highlight w:val="none"/>
                      <w:lang w:bidi="ar"/>
                    </w:rPr>
                    <w:t>在水产种质资源保护区的岸线和河段范围内新建围湖造田等投资建设项目。</w:t>
                  </w:r>
                </w:p>
              </w:tc>
              <w:tc>
                <w:tcPr>
                  <w:tcW w:w="1606" w:type="pct"/>
                  <w:vAlign w:val="center"/>
                </w:tcPr>
                <w:p w14:paraId="5DE0D2D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color w:val="auto"/>
                      <w:kern w:val="0"/>
                      <w:szCs w:val="21"/>
                      <w:highlight w:val="none"/>
                      <w:lang w:bidi="ar"/>
                    </w:rPr>
                    <w:t>水产种质资源保护区的岸线和河段</w:t>
                  </w:r>
                  <w:r>
                    <w:rPr>
                      <w:rFonts w:hint="eastAsia"/>
                      <w:color w:val="auto"/>
                      <w:kern w:val="0"/>
                      <w:szCs w:val="21"/>
                      <w:highlight w:val="none"/>
                      <w:lang w:bidi="ar"/>
                    </w:rPr>
                    <w:t>，不属于</w:t>
                  </w:r>
                  <w:r>
                    <w:rPr>
                      <w:color w:val="auto"/>
                      <w:kern w:val="0"/>
                      <w:szCs w:val="21"/>
                      <w:highlight w:val="none"/>
                      <w:lang w:bidi="ar"/>
                    </w:rPr>
                    <w:t>围湖造田等投资建设项目</w:t>
                  </w:r>
                  <w:r>
                    <w:rPr>
                      <w:rFonts w:hint="eastAsia"/>
                      <w:color w:val="auto"/>
                      <w:kern w:val="0"/>
                      <w:szCs w:val="21"/>
                      <w:highlight w:val="none"/>
                      <w:lang w:bidi="ar"/>
                    </w:rPr>
                    <w:t>。</w:t>
                  </w:r>
                </w:p>
              </w:tc>
              <w:tc>
                <w:tcPr>
                  <w:tcW w:w="753" w:type="pct"/>
                  <w:vAlign w:val="center"/>
                </w:tcPr>
                <w:p w14:paraId="2DD7DA4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bl>
          <w:p w14:paraId="7C37E47F">
            <w:pPr>
              <w:widowControl/>
              <w:jc w:val="left"/>
              <w:rPr>
                <w:b/>
                <w:bCs/>
                <w:color w:val="auto"/>
                <w:kern w:val="0"/>
                <w:sz w:val="24"/>
                <w:highlight w:val="none"/>
              </w:rPr>
            </w:pPr>
          </w:p>
          <w:p w14:paraId="3371D979">
            <w:pPr>
              <w:widowControl/>
              <w:spacing w:line="460" w:lineRule="exact"/>
              <w:jc w:val="left"/>
              <w:rPr>
                <w:rFonts w:ascii="宋体" w:hAnsi="宋体" w:cs="宋体"/>
                <w:b/>
                <w:bCs/>
                <w:color w:val="auto"/>
                <w:kern w:val="0"/>
                <w:sz w:val="24"/>
                <w:highlight w:val="none"/>
              </w:rPr>
            </w:pPr>
            <w:r>
              <w:rPr>
                <w:b/>
                <w:bCs/>
                <w:color w:val="auto"/>
                <w:kern w:val="0"/>
                <w:sz w:val="24"/>
                <w:highlight w:val="none"/>
              </w:rPr>
              <w:t>1.5</w:t>
            </w:r>
            <w:r>
              <w:rPr>
                <w:rFonts w:hint="eastAsia" w:ascii="宋体" w:hAnsi="宋体" w:cs="宋体"/>
                <w:b/>
                <w:bCs/>
                <w:color w:val="auto"/>
                <w:kern w:val="0"/>
                <w:sz w:val="24"/>
                <w:highlight w:val="none"/>
              </w:rPr>
              <w:t>与《</w:t>
            </w:r>
            <w:r>
              <w:rPr>
                <w:rFonts w:hint="eastAsia" w:ascii="宋体" w:hAnsi="宋体" w:cs="宋体"/>
                <w:b/>
                <w:bCs/>
                <w:color w:val="auto"/>
                <w:kern w:val="0"/>
                <w:sz w:val="24"/>
                <w:highlight w:val="none"/>
                <w:lang w:bidi="ar"/>
              </w:rPr>
              <w:t>四川省、重庆市长江经济带发展负面清单实施细则（试行，2022年版）</w:t>
            </w:r>
            <w:r>
              <w:rPr>
                <w:rFonts w:hint="eastAsia" w:ascii="宋体" w:hAnsi="宋体" w:cs="宋体"/>
                <w:b/>
                <w:bCs/>
                <w:color w:val="auto"/>
                <w:kern w:val="0"/>
                <w:sz w:val="24"/>
                <w:highlight w:val="none"/>
              </w:rPr>
              <w:t>》符合性分析</w:t>
            </w:r>
          </w:p>
          <w:p w14:paraId="196B334A">
            <w:pPr>
              <w:widowControl/>
              <w:spacing w:line="4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与《</w:t>
            </w:r>
            <w:r>
              <w:rPr>
                <w:rFonts w:hint="eastAsia" w:ascii="宋体" w:hAnsi="宋体" w:cs="宋体"/>
                <w:color w:val="auto"/>
                <w:kern w:val="0"/>
                <w:sz w:val="24"/>
                <w:highlight w:val="none"/>
                <w:lang w:bidi="ar"/>
              </w:rPr>
              <w:t>四川省、重庆市长江经济带发展负面清单实施细则（试行，</w:t>
            </w:r>
            <w:r>
              <w:rPr>
                <w:color w:val="auto"/>
                <w:kern w:val="0"/>
                <w:sz w:val="24"/>
                <w:highlight w:val="none"/>
                <w:lang w:bidi="ar"/>
              </w:rPr>
              <w:t>2022</w:t>
            </w:r>
            <w:r>
              <w:rPr>
                <w:rFonts w:hint="eastAsia" w:ascii="宋体" w:hAnsi="宋体" w:cs="宋体"/>
                <w:color w:val="auto"/>
                <w:kern w:val="0"/>
                <w:sz w:val="24"/>
                <w:highlight w:val="none"/>
                <w:lang w:bidi="ar"/>
              </w:rPr>
              <w:t>年版）</w:t>
            </w:r>
            <w:r>
              <w:rPr>
                <w:rFonts w:hint="eastAsia" w:ascii="宋体" w:hAnsi="宋体" w:cs="宋体"/>
                <w:color w:val="auto"/>
                <w:kern w:val="0"/>
                <w:sz w:val="24"/>
                <w:highlight w:val="none"/>
              </w:rPr>
              <w:t>》（川长江办</w:t>
            </w:r>
            <w:r>
              <w:rPr>
                <w:color w:val="auto"/>
                <w:sz w:val="24"/>
                <w:highlight w:val="none"/>
              </w:rPr>
              <w:t>〔20</w:t>
            </w:r>
            <w:r>
              <w:rPr>
                <w:rFonts w:hint="eastAsia"/>
                <w:color w:val="auto"/>
                <w:sz w:val="24"/>
                <w:highlight w:val="none"/>
              </w:rPr>
              <w:t>22</w:t>
            </w:r>
            <w:r>
              <w:rPr>
                <w:color w:val="auto"/>
                <w:sz w:val="24"/>
                <w:highlight w:val="none"/>
              </w:rPr>
              <w:t>〕</w:t>
            </w:r>
            <w:r>
              <w:rPr>
                <w:rFonts w:hint="eastAsia"/>
                <w:color w:val="auto"/>
                <w:sz w:val="24"/>
                <w:highlight w:val="none"/>
              </w:rPr>
              <w:t>17号</w:t>
            </w:r>
            <w:r>
              <w:rPr>
                <w:rFonts w:hint="eastAsia" w:ascii="宋体" w:hAnsi="宋体" w:cs="宋体"/>
                <w:color w:val="auto"/>
                <w:kern w:val="0"/>
                <w:sz w:val="24"/>
                <w:highlight w:val="none"/>
              </w:rPr>
              <w:t>）符合性分析见表</w:t>
            </w:r>
            <w:r>
              <w:rPr>
                <w:color w:val="auto"/>
                <w:kern w:val="0"/>
                <w:sz w:val="24"/>
                <w:highlight w:val="none"/>
              </w:rPr>
              <w:t>1.5-1</w:t>
            </w:r>
            <w:r>
              <w:rPr>
                <w:rFonts w:hint="eastAsia"/>
                <w:color w:val="auto"/>
                <w:kern w:val="0"/>
                <w:sz w:val="24"/>
                <w:highlight w:val="none"/>
              </w:rPr>
              <w:t>。</w:t>
            </w:r>
          </w:p>
          <w:p w14:paraId="65BF44F1">
            <w:pPr>
              <w:autoSpaceDE w:val="0"/>
              <w:autoSpaceDN w:val="0"/>
              <w:adjustRightInd w:val="0"/>
              <w:snapToGrid w:val="0"/>
              <w:jc w:val="center"/>
              <w:rPr>
                <w:rFonts w:ascii="宋体" w:hAnsi="宋体" w:cs="宋体"/>
                <w:color w:val="auto"/>
                <w:kern w:val="0"/>
                <w:sz w:val="24"/>
                <w:highlight w:val="none"/>
              </w:rPr>
            </w:pPr>
            <w:r>
              <w:rPr>
                <w:rFonts w:hint="eastAsia" w:ascii="宋体" w:hAnsi="宋体" w:cs="宋体"/>
                <w:b/>
                <w:bCs/>
                <w:color w:val="auto"/>
                <w:kern w:val="0"/>
                <w:sz w:val="24"/>
                <w:highlight w:val="none"/>
              </w:rPr>
              <w:t xml:space="preserve">表1.5-1 </w:t>
            </w:r>
            <w:r>
              <w:rPr>
                <w:rFonts w:hint="eastAsia"/>
                <w:b/>
                <w:bCs/>
                <w:color w:val="auto"/>
                <w:sz w:val="24"/>
                <w:highlight w:val="none"/>
              </w:rPr>
              <w:t>与四川省、重庆市长江经济带发展负面清单的符合性分析</w:t>
            </w:r>
          </w:p>
          <w:tbl>
            <w:tblPr>
              <w:tblStyle w:val="1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4794"/>
              <w:gridCol w:w="1967"/>
              <w:gridCol w:w="901"/>
            </w:tblGrid>
            <w:tr w14:paraId="3DCE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 w:type="pct"/>
                  <w:vAlign w:val="center"/>
                </w:tcPr>
                <w:p w14:paraId="01D862CB">
                  <w:pPr>
                    <w:autoSpaceDE w:val="0"/>
                    <w:autoSpaceDN w:val="0"/>
                    <w:adjustRightInd w:val="0"/>
                    <w:snapToGrid w:val="0"/>
                    <w:jc w:val="center"/>
                    <w:rPr>
                      <w:color w:val="auto"/>
                      <w:kern w:val="0"/>
                      <w:szCs w:val="21"/>
                      <w:highlight w:val="none"/>
                    </w:rPr>
                  </w:pPr>
                  <w:r>
                    <w:rPr>
                      <w:color w:val="auto"/>
                      <w:kern w:val="0"/>
                      <w:szCs w:val="21"/>
                      <w:highlight w:val="none"/>
                    </w:rPr>
                    <w:t>序号</w:t>
                  </w:r>
                </w:p>
              </w:tc>
              <w:tc>
                <w:tcPr>
                  <w:tcW w:w="2947" w:type="pct"/>
                  <w:vAlign w:val="center"/>
                </w:tcPr>
                <w:p w14:paraId="128DDFC2">
                  <w:pPr>
                    <w:autoSpaceDE w:val="0"/>
                    <w:autoSpaceDN w:val="0"/>
                    <w:adjustRightInd w:val="0"/>
                    <w:snapToGrid w:val="0"/>
                    <w:jc w:val="center"/>
                    <w:rPr>
                      <w:color w:val="auto"/>
                      <w:kern w:val="0"/>
                      <w:szCs w:val="21"/>
                      <w:highlight w:val="none"/>
                    </w:rPr>
                  </w:pPr>
                  <w:r>
                    <w:rPr>
                      <w:color w:val="auto"/>
                      <w:kern w:val="0"/>
                      <w:szCs w:val="21"/>
                      <w:highlight w:val="none"/>
                    </w:rPr>
                    <w:t>准入环境要求</w:t>
                  </w:r>
                </w:p>
              </w:tc>
              <w:tc>
                <w:tcPr>
                  <w:tcW w:w="1209" w:type="pct"/>
                  <w:vAlign w:val="center"/>
                </w:tcPr>
                <w:p w14:paraId="061D27D0">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本项目情况</w:t>
                  </w:r>
                </w:p>
              </w:tc>
              <w:tc>
                <w:tcPr>
                  <w:tcW w:w="554" w:type="pct"/>
                  <w:vAlign w:val="center"/>
                </w:tcPr>
                <w:p w14:paraId="12B4C93E">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符合性</w:t>
                  </w:r>
                </w:p>
              </w:tc>
            </w:tr>
            <w:tr w14:paraId="74D0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7EDA26C0">
                  <w:pPr>
                    <w:autoSpaceDE w:val="0"/>
                    <w:autoSpaceDN w:val="0"/>
                    <w:adjustRightInd w:val="0"/>
                    <w:snapToGrid w:val="0"/>
                    <w:jc w:val="center"/>
                    <w:rPr>
                      <w:color w:val="auto"/>
                      <w:kern w:val="0"/>
                      <w:szCs w:val="21"/>
                      <w:highlight w:val="none"/>
                    </w:rPr>
                  </w:pPr>
                  <w:r>
                    <w:rPr>
                      <w:color w:val="auto"/>
                      <w:kern w:val="0"/>
                      <w:szCs w:val="21"/>
                      <w:highlight w:val="none"/>
                    </w:rPr>
                    <w:t>1</w:t>
                  </w:r>
                </w:p>
              </w:tc>
              <w:tc>
                <w:tcPr>
                  <w:tcW w:w="2947" w:type="pct"/>
                  <w:vAlign w:val="center"/>
                </w:tcPr>
                <w:p w14:paraId="14148918">
                  <w:pPr>
                    <w:autoSpaceDE w:val="0"/>
                    <w:autoSpaceDN w:val="0"/>
                    <w:adjustRightInd w:val="0"/>
                    <w:snapToGrid w:val="0"/>
                    <w:jc w:val="center"/>
                    <w:rPr>
                      <w:color w:val="auto"/>
                      <w:kern w:val="0"/>
                      <w:szCs w:val="21"/>
                      <w:highlight w:val="none"/>
                    </w:rPr>
                  </w:pPr>
                  <w:r>
                    <w:rPr>
                      <w:color w:val="auto"/>
                      <w:kern w:val="0"/>
                      <w:szCs w:val="21"/>
                      <w:highlight w:val="none"/>
                    </w:rPr>
                    <w:t>禁止新建、改建和扩建不符合全国港口布局规划：以及《四川省内河水运发展规划》《泸州-宜宾-乐山港口群布局规划》《重庆港总体规划</w:t>
                  </w:r>
                  <w:r>
                    <w:rPr>
                      <w:rFonts w:hint="eastAsia"/>
                      <w:color w:val="auto"/>
                      <w:kern w:val="0"/>
                      <w:szCs w:val="21"/>
                      <w:highlight w:val="none"/>
                    </w:rPr>
                    <w:t>（</w:t>
                  </w:r>
                  <w:r>
                    <w:rPr>
                      <w:color w:val="auto"/>
                      <w:kern w:val="0"/>
                      <w:szCs w:val="21"/>
                      <w:highlight w:val="none"/>
                    </w:rPr>
                    <w:t>2035年</w:t>
                  </w:r>
                  <w:r>
                    <w:rPr>
                      <w:rFonts w:hint="eastAsia"/>
                      <w:color w:val="auto"/>
                      <w:kern w:val="0"/>
                      <w:szCs w:val="21"/>
                      <w:highlight w:val="none"/>
                    </w:rPr>
                    <w:t>）</w:t>
                  </w:r>
                  <w:r>
                    <w:rPr>
                      <w:color w:val="auto"/>
                      <w:kern w:val="0"/>
                      <w:szCs w:val="21"/>
                      <w:highlight w:val="none"/>
                    </w:rPr>
                    <w:t>》等省级港口布局规划及市级港口总体规划的码头项目</w:t>
                  </w:r>
                </w:p>
              </w:tc>
              <w:tc>
                <w:tcPr>
                  <w:tcW w:w="1209" w:type="pct"/>
                  <w:vAlign w:val="center"/>
                </w:tcPr>
                <w:p w14:paraId="55BE95C3">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本项目不属于码头项目。</w:t>
                  </w:r>
                </w:p>
              </w:tc>
              <w:tc>
                <w:tcPr>
                  <w:tcW w:w="554" w:type="pct"/>
                  <w:vAlign w:val="center"/>
                </w:tcPr>
                <w:p w14:paraId="4D0E48DA">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1613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0884D31A">
                  <w:pPr>
                    <w:autoSpaceDE w:val="0"/>
                    <w:autoSpaceDN w:val="0"/>
                    <w:adjustRightInd w:val="0"/>
                    <w:snapToGrid w:val="0"/>
                    <w:jc w:val="center"/>
                    <w:rPr>
                      <w:color w:val="auto"/>
                      <w:kern w:val="0"/>
                      <w:szCs w:val="21"/>
                      <w:highlight w:val="none"/>
                    </w:rPr>
                  </w:pPr>
                  <w:r>
                    <w:rPr>
                      <w:color w:val="auto"/>
                      <w:kern w:val="0"/>
                      <w:szCs w:val="21"/>
                      <w:highlight w:val="none"/>
                    </w:rPr>
                    <w:t>2</w:t>
                  </w:r>
                </w:p>
              </w:tc>
              <w:tc>
                <w:tcPr>
                  <w:tcW w:w="2947" w:type="pct"/>
                  <w:vAlign w:val="center"/>
                </w:tcPr>
                <w:p w14:paraId="5B95B6FB">
                  <w:pPr>
                    <w:autoSpaceDE w:val="0"/>
                    <w:autoSpaceDN w:val="0"/>
                    <w:adjustRightInd w:val="0"/>
                    <w:snapToGrid w:val="0"/>
                    <w:jc w:val="center"/>
                    <w:rPr>
                      <w:color w:val="auto"/>
                      <w:kern w:val="0"/>
                      <w:szCs w:val="21"/>
                      <w:highlight w:val="none"/>
                    </w:rPr>
                  </w:pPr>
                  <w:r>
                    <w:rPr>
                      <w:color w:val="auto"/>
                      <w:kern w:val="0"/>
                      <w:szCs w:val="21"/>
                      <w:highlight w:val="none"/>
                    </w:rPr>
                    <w:t>第六条 禁止新建、改建和扩建不符合《长江干线过江通道布局规划</w:t>
                  </w:r>
                  <w:r>
                    <w:rPr>
                      <w:rFonts w:hint="eastAsia"/>
                      <w:color w:val="auto"/>
                      <w:kern w:val="0"/>
                      <w:szCs w:val="21"/>
                      <w:highlight w:val="none"/>
                    </w:rPr>
                    <w:t>（</w:t>
                  </w:r>
                  <w:r>
                    <w:rPr>
                      <w:color w:val="auto"/>
                      <w:kern w:val="0"/>
                      <w:szCs w:val="21"/>
                      <w:highlight w:val="none"/>
                    </w:rPr>
                    <w:t>2020</w:t>
                  </w:r>
                  <w:r>
                    <w:rPr>
                      <w:rFonts w:hint="eastAsia"/>
                      <w:color w:val="auto"/>
                      <w:kern w:val="0"/>
                      <w:szCs w:val="21"/>
                      <w:highlight w:val="none"/>
                    </w:rPr>
                    <w:t>—</w:t>
                  </w:r>
                  <w:r>
                    <w:rPr>
                      <w:color w:val="auto"/>
                      <w:kern w:val="0"/>
                      <w:szCs w:val="21"/>
                      <w:highlight w:val="none"/>
                    </w:rPr>
                    <w:t>2035年</w:t>
                  </w:r>
                  <w:r>
                    <w:rPr>
                      <w:rFonts w:hint="eastAsia"/>
                      <w:color w:val="auto"/>
                      <w:kern w:val="0"/>
                      <w:szCs w:val="21"/>
                      <w:highlight w:val="none"/>
                    </w:rPr>
                    <w:t>）</w:t>
                  </w:r>
                  <w:r>
                    <w:rPr>
                      <w:color w:val="auto"/>
                      <w:kern w:val="0"/>
                      <w:szCs w:val="21"/>
                      <w:highlight w:val="none"/>
                    </w:rPr>
                    <w:t>》的过长江通道项目</w:t>
                  </w:r>
                  <w:r>
                    <w:rPr>
                      <w:rFonts w:hint="eastAsia"/>
                      <w:color w:val="auto"/>
                      <w:kern w:val="0"/>
                      <w:szCs w:val="21"/>
                      <w:highlight w:val="none"/>
                    </w:rPr>
                    <w:t>（</w:t>
                  </w:r>
                  <w:r>
                    <w:rPr>
                      <w:color w:val="auto"/>
                      <w:kern w:val="0"/>
                      <w:szCs w:val="21"/>
                      <w:highlight w:val="none"/>
                    </w:rPr>
                    <w:t>含桥梁、隧道</w:t>
                  </w:r>
                  <w:r>
                    <w:rPr>
                      <w:rFonts w:hint="eastAsia"/>
                      <w:color w:val="auto"/>
                      <w:kern w:val="0"/>
                      <w:szCs w:val="21"/>
                      <w:highlight w:val="none"/>
                    </w:rPr>
                    <w:t>）</w:t>
                  </w:r>
                  <w:r>
                    <w:rPr>
                      <w:color w:val="auto"/>
                      <w:kern w:val="0"/>
                      <w:szCs w:val="21"/>
                      <w:highlight w:val="none"/>
                    </w:rPr>
                    <w:t>，国家发展改革委同意过长江通道线位调整的除外。</w:t>
                  </w:r>
                </w:p>
              </w:tc>
              <w:tc>
                <w:tcPr>
                  <w:tcW w:w="1209" w:type="pct"/>
                  <w:vAlign w:val="center"/>
                </w:tcPr>
                <w:p w14:paraId="583981ED">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本项目不属于</w:t>
                  </w:r>
                  <w:r>
                    <w:rPr>
                      <w:rFonts w:ascii="宋体" w:hAnsi="宋体" w:cs="宋体"/>
                      <w:color w:val="auto"/>
                      <w:kern w:val="0"/>
                      <w:szCs w:val="21"/>
                      <w:highlight w:val="none"/>
                    </w:rPr>
                    <w:t>长江通道项目</w:t>
                  </w:r>
                  <w:r>
                    <w:rPr>
                      <w:rFonts w:hint="eastAsia" w:ascii="宋体" w:hAnsi="宋体" w:cs="宋体"/>
                      <w:color w:val="auto"/>
                      <w:kern w:val="0"/>
                      <w:szCs w:val="21"/>
                      <w:highlight w:val="none"/>
                    </w:rPr>
                    <w:t>。</w:t>
                  </w:r>
                </w:p>
              </w:tc>
              <w:tc>
                <w:tcPr>
                  <w:tcW w:w="554" w:type="pct"/>
                  <w:vAlign w:val="center"/>
                </w:tcPr>
                <w:p w14:paraId="4188FCFA">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56EC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530FF7A1">
                  <w:pPr>
                    <w:autoSpaceDE w:val="0"/>
                    <w:autoSpaceDN w:val="0"/>
                    <w:adjustRightInd w:val="0"/>
                    <w:snapToGrid w:val="0"/>
                    <w:jc w:val="center"/>
                    <w:rPr>
                      <w:color w:val="auto"/>
                      <w:kern w:val="0"/>
                      <w:szCs w:val="21"/>
                      <w:highlight w:val="none"/>
                    </w:rPr>
                  </w:pPr>
                  <w:r>
                    <w:rPr>
                      <w:color w:val="auto"/>
                      <w:kern w:val="0"/>
                      <w:szCs w:val="21"/>
                      <w:highlight w:val="none"/>
                    </w:rPr>
                    <w:t>3</w:t>
                  </w:r>
                </w:p>
              </w:tc>
              <w:tc>
                <w:tcPr>
                  <w:tcW w:w="2947" w:type="pct"/>
                  <w:vAlign w:val="center"/>
                </w:tcPr>
                <w:p w14:paraId="096BC90D">
                  <w:pPr>
                    <w:autoSpaceDE w:val="0"/>
                    <w:autoSpaceDN w:val="0"/>
                    <w:adjustRightInd w:val="0"/>
                    <w:snapToGrid w:val="0"/>
                    <w:jc w:val="center"/>
                    <w:rPr>
                      <w:color w:val="auto"/>
                      <w:kern w:val="0"/>
                      <w:szCs w:val="21"/>
                      <w:highlight w:val="none"/>
                    </w:rPr>
                  </w:pPr>
                  <w:r>
                    <w:rPr>
                      <w:color w:val="auto"/>
                      <w:kern w:val="0"/>
                      <w:szCs w:val="21"/>
                      <w:highlight w:val="none"/>
                    </w:rPr>
                    <w:t>禁止在自然保护区核心区、缓冲区的岸线和河段范围内投资建设旅游和生产经营项目。自然保护区的内部未分区的，依照核心区和缓冲区的规定管控。</w:t>
                  </w:r>
                </w:p>
              </w:tc>
              <w:tc>
                <w:tcPr>
                  <w:tcW w:w="1209" w:type="pct"/>
                  <w:vAlign w:val="center"/>
                </w:tcPr>
                <w:p w14:paraId="36B8FA80">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本项目不涉及自然保护区核心区、缓冲区的岸线和河段。</w:t>
                  </w:r>
                </w:p>
              </w:tc>
              <w:tc>
                <w:tcPr>
                  <w:tcW w:w="554" w:type="pct"/>
                  <w:vAlign w:val="center"/>
                </w:tcPr>
                <w:p w14:paraId="2DA6F2B9">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1CFD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749EE684">
                  <w:pPr>
                    <w:autoSpaceDE w:val="0"/>
                    <w:autoSpaceDN w:val="0"/>
                    <w:adjustRightInd w:val="0"/>
                    <w:snapToGrid w:val="0"/>
                    <w:jc w:val="center"/>
                    <w:rPr>
                      <w:color w:val="auto"/>
                      <w:kern w:val="0"/>
                      <w:szCs w:val="21"/>
                      <w:highlight w:val="none"/>
                    </w:rPr>
                  </w:pPr>
                  <w:r>
                    <w:rPr>
                      <w:color w:val="auto"/>
                      <w:kern w:val="0"/>
                      <w:szCs w:val="21"/>
                      <w:highlight w:val="none"/>
                    </w:rPr>
                    <w:t>4</w:t>
                  </w:r>
                </w:p>
              </w:tc>
              <w:tc>
                <w:tcPr>
                  <w:tcW w:w="2947" w:type="pct"/>
                  <w:vAlign w:val="center"/>
                </w:tcPr>
                <w:p w14:paraId="7FF120FB">
                  <w:pPr>
                    <w:autoSpaceDE w:val="0"/>
                    <w:autoSpaceDN w:val="0"/>
                    <w:adjustRightInd w:val="0"/>
                    <w:snapToGrid w:val="0"/>
                    <w:jc w:val="center"/>
                    <w:rPr>
                      <w:color w:val="auto"/>
                      <w:kern w:val="0"/>
                      <w:szCs w:val="21"/>
                      <w:highlight w:val="none"/>
                    </w:rPr>
                  </w:pPr>
                  <w:r>
                    <w:rPr>
                      <w:color w:val="auto"/>
                      <w:kern w:val="0"/>
                      <w:szCs w:val="21"/>
                      <w:highlight w:val="none"/>
                    </w:rPr>
                    <w:t>禁止违反风景名胜区规划，在风景名胜区内设立各类开发区。禁止在风景名胜区核心景区的岸线和河段范围内建设宾馆、招待所、培训中心、疗养院以及与风景名</w:t>
                  </w:r>
                  <w:r>
                    <w:rPr>
                      <w:rFonts w:hint="eastAsia"/>
                      <w:color w:val="auto"/>
                      <w:kern w:val="0"/>
                      <w:szCs w:val="21"/>
                      <w:highlight w:val="none"/>
                    </w:rPr>
                    <w:t>胜区</w:t>
                  </w:r>
                  <w:r>
                    <w:rPr>
                      <w:color w:val="auto"/>
                      <w:kern w:val="0"/>
                      <w:szCs w:val="21"/>
                      <w:highlight w:val="none"/>
                    </w:rPr>
                    <w:t>资源保护无关的项目。</w:t>
                  </w:r>
                </w:p>
              </w:tc>
              <w:tc>
                <w:tcPr>
                  <w:tcW w:w="1209" w:type="pct"/>
                  <w:vAlign w:val="center"/>
                </w:tcPr>
                <w:p w14:paraId="37F71E23">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本项目不涉及风景名胜区。</w:t>
                  </w:r>
                </w:p>
              </w:tc>
              <w:tc>
                <w:tcPr>
                  <w:tcW w:w="554" w:type="pct"/>
                  <w:vAlign w:val="center"/>
                </w:tcPr>
                <w:p w14:paraId="0A8C75D2">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0C48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569CC974">
                  <w:pPr>
                    <w:autoSpaceDE w:val="0"/>
                    <w:autoSpaceDN w:val="0"/>
                    <w:adjustRightInd w:val="0"/>
                    <w:snapToGrid w:val="0"/>
                    <w:jc w:val="center"/>
                    <w:rPr>
                      <w:color w:val="auto"/>
                      <w:kern w:val="0"/>
                      <w:szCs w:val="21"/>
                      <w:highlight w:val="none"/>
                    </w:rPr>
                  </w:pPr>
                  <w:r>
                    <w:rPr>
                      <w:color w:val="auto"/>
                      <w:kern w:val="0"/>
                      <w:szCs w:val="21"/>
                      <w:highlight w:val="none"/>
                    </w:rPr>
                    <w:t>5</w:t>
                  </w:r>
                </w:p>
              </w:tc>
              <w:tc>
                <w:tcPr>
                  <w:tcW w:w="2947" w:type="pct"/>
                  <w:vAlign w:val="center"/>
                </w:tcPr>
                <w:p w14:paraId="33695045">
                  <w:pPr>
                    <w:autoSpaceDE w:val="0"/>
                    <w:autoSpaceDN w:val="0"/>
                    <w:adjustRightInd w:val="0"/>
                    <w:snapToGrid w:val="0"/>
                    <w:jc w:val="center"/>
                    <w:rPr>
                      <w:color w:val="auto"/>
                      <w:kern w:val="0"/>
                      <w:szCs w:val="21"/>
                      <w:highlight w:val="none"/>
                    </w:rPr>
                  </w:pPr>
                  <w:r>
                    <w:rPr>
                      <w:color w:val="auto"/>
                      <w:kern w:val="0"/>
                      <w:szCs w:val="21"/>
                      <w:highlight w:val="none"/>
                    </w:rPr>
                    <w:t>禁止在饮用水水源准保护区的岸线和河段范围内新建、扩建对水体污染严重的建设项目，禁止改建增加排污量的建设项目。</w:t>
                  </w:r>
                </w:p>
              </w:tc>
              <w:tc>
                <w:tcPr>
                  <w:tcW w:w="1209" w:type="pct"/>
                  <w:vAlign w:val="center"/>
                </w:tcPr>
                <w:p w14:paraId="567E018C">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本项目不涉及饮用水水源保护区的岸线和河段。</w:t>
                  </w:r>
                </w:p>
              </w:tc>
              <w:tc>
                <w:tcPr>
                  <w:tcW w:w="554" w:type="pct"/>
                  <w:vAlign w:val="center"/>
                </w:tcPr>
                <w:p w14:paraId="247CFE43">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4C72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65D62945">
                  <w:pPr>
                    <w:autoSpaceDE w:val="0"/>
                    <w:autoSpaceDN w:val="0"/>
                    <w:adjustRightInd w:val="0"/>
                    <w:snapToGrid w:val="0"/>
                    <w:jc w:val="center"/>
                    <w:rPr>
                      <w:color w:val="auto"/>
                      <w:kern w:val="0"/>
                      <w:szCs w:val="21"/>
                      <w:highlight w:val="none"/>
                    </w:rPr>
                  </w:pPr>
                  <w:r>
                    <w:rPr>
                      <w:color w:val="auto"/>
                      <w:kern w:val="0"/>
                      <w:szCs w:val="21"/>
                      <w:highlight w:val="none"/>
                    </w:rPr>
                    <w:t>6</w:t>
                  </w:r>
                </w:p>
              </w:tc>
              <w:tc>
                <w:tcPr>
                  <w:tcW w:w="2947" w:type="pct"/>
                  <w:vAlign w:val="center"/>
                </w:tcPr>
                <w:p w14:paraId="16E2C536">
                  <w:pPr>
                    <w:autoSpaceDE w:val="0"/>
                    <w:autoSpaceDN w:val="0"/>
                    <w:adjustRightInd w:val="0"/>
                    <w:snapToGrid w:val="0"/>
                    <w:jc w:val="center"/>
                    <w:rPr>
                      <w:color w:val="auto"/>
                      <w:kern w:val="0"/>
                      <w:szCs w:val="21"/>
                      <w:highlight w:val="none"/>
                    </w:rPr>
                  </w:pPr>
                  <w:r>
                    <w:rPr>
                      <w:color w:val="auto"/>
                      <w:kern w:val="0"/>
                      <w:szCs w:val="21"/>
                      <w:highlight w:val="none"/>
                    </w:rPr>
                    <w:t>饮用水水源二级保护区的岸线和河段范围内，除遵守准保护区规定外，禁止新建、改建、扩建排放污染物的投资建设项目：禁止从事对水体有污染的水产养殖等活动，</w:t>
                  </w:r>
                </w:p>
              </w:tc>
              <w:tc>
                <w:tcPr>
                  <w:tcW w:w="1209" w:type="pct"/>
                  <w:vAlign w:val="center"/>
                </w:tcPr>
                <w:p w14:paraId="062EC21D">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本项目不涉及饮用水水源二级保护区的岸线和河段。不属于水产养殖等项目</w:t>
                  </w:r>
                </w:p>
              </w:tc>
              <w:tc>
                <w:tcPr>
                  <w:tcW w:w="554" w:type="pct"/>
                  <w:vAlign w:val="center"/>
                </w:tcPr>
                <w:p w14:paraId="330DAF34">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6E86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16B27269">
                  <w:pPr>
                    <w:autoSpaceDE w:val="0"/>
                    <w:autoSpaceDN w:val="0"/>
                    <w:adjustRightInd w:val="0"/>
                    <w:snapToGrid w:val="0"/>
                    <w:jc w:val="center"/>
                    <w:rPr>
                      <w:color w:val="auto"/>
                      <w:kern w:val="0"/>
                      <w:szCs w:val="21"/>
                      <w:highlight w:val="none"/>
                    </w:rPr>
                  </w:pPr>
                  <w:r>
                    <w:rPr>
                      <w:color w:val="auto"/>
                      <w:kern w:val="0"/>
                      <w:szCs w:val="21"/>
                      <w:highlight w:val="none"/>
                    </w:rPr>
                    <w:t>7</w:t>
                  </w:r>
                </w:p>
              </w:tc>
              <w:tc>
                <w:tcPr>
                  <w:tcW w:w="2947" w:type="pct"/>
                  <w:vAlign w:val="center"/>
                </w:tcPr>
                <w:p w14:paraId="61D2B53E">
                  <w:pPr>
                    <w:autoSpaceDE w:val="0"/>
                    <w:autoSpaceDN w:val="0"/>
                    <w:adjustRightInd w:val="0"/>
                    <w:snapToGrid w:val="0"/>
                    <w:jc w:val="center"/>
                    <w:rPr>
                      <w:color w:val="auto"/>
                      <w:kern w:val="0"/>
                      <w:szCs w:val="21"/>
                      <w:highlight w:val="none"/>
                    </w:rPr>
                  </w:pPr>
                  <w:r>
                    <w:rPr>
                      <w:color w:val="auto"/>
                      <w:kern w:val="0"/>
                      <w:szCs w:val="21"/>
                      <w:highlight w:val="none"/>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209" w:type="pct"/>
                  <w:vAlign w:val="center"/>
                </w:tcPr>
                <w:p w14:paraId="063DF556">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本项目不涉及饮用水水源一级保护区的岸线和河段。</w:t>
                  </w:r>
                </w:p>
              </w:tc>
              <w:tc>
                <w:tcPr>
                  <w:tcW w:w="554" w:type="pct"/>
                  <w:vAlign w:val="center"/>
                </w:tcPr>
                <w:p w14:paraId="2C777E8C">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3B33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21A38E6C">
                  <w:pPr>
                    <w:autoSpaceDE w:val="0"/>
                    <w:autoSpaceDN w:val="0"/>
                    <w:adjustRightInd w:val="0"/>
                    <w:snapToGrid w:val="0"/>
                    <w:jc w:val="center"/>
                    <w:rPr>
                      <w:color w:val="auto"/>
                      <w:kern w:val="0"/>
                      <w:szCs w:val="21"/>
                      <w:highlight w:val="none"/>
                    </w:rPr>
                  </w:pPr>
                  <w:r>
                    <w:rPr>
                      <w:color w:val="auto"/>
                      <w:kern w:val="0"/>
                      <w:szCs w:val="21"/>
                      <w:highlight w:val="none"/>
                    </w:rPr>
                    <w:t>8</w:t>
                  </w:r>
                </w:p>
              </w:tc>
              <w:tc>
                <w:tcPr>
                  <w:tcW w:w="2947" w:type="pct"/>
                  <w:vAlign w:val="center"/>
                </w:tcPr>
                <w:p w14:paraId="0D7F4BF2">
                  <w:pPr>
                    <w:autoSpaceDE w:val="0"/>
                    <w:autoSpaceDN w:val="0"/>
                    <w:adjustRightInd w:val="0"/>
                    <w:snapToGrid w:val="0"/>
                    <w:jc w:val="center"/>
                    <w:rPr>
                      <w:color w:val="auto"/>
                      <w:kern w:val="0"/>
                      <w:szCs w:val="21"/>
                      <w:highlight w:val="none"/>
                    </w:rPr>
                  </w:pPr>
                  <w:r>
                    <w:rPr>
                      <w:color w:val="auto"/>
                      <w:kern w:val="0"/>
                      <w:szCs w:val="21"/>
                      <w:highlight w:val="none"/>
                    </w:rPr>
                    <w:t>禁止在水产种质资源保护区岸线和河段范围内新建围湖造田、围湖造地或挖沙采石等投资建设项目。</w:t>
                  </w:r>
                </w:p>
              </w:tc>
              <w:tc>
                <w:tcPr>
                  <w:tcW w:w="1209" w:type="pct"/>
                  <w:vAlign w:val="center"/>
                </w:tcPr>
                <w:p w14:paraId="3A581DBB">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本项目不涉及水产种质资源保护区的岸线和河段。</w:t>
                  </w:r>
                </w:p>
              </w:tc>
              <w:tc>
                <w:tcPr>
                  <w:tcW w:w="554" w:type="pct"/>
                  <w:vAlign w:val="center"/>
                </w:tcPr>
                <w:p w14:paraId="1DA4F37C">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0748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33011A01">
                  <w:pPr>
                    <w:autoSpaceDE w:val="0"/>
                    <w:autoSpaceDN w:val="0"/>
                    <w:adjustRightInd w:val="0"/>
                    <w:snapToGrid w:val="0"/>
                    <w:jc w:val="center"/>
                    <w:rPr>
                      <w:color w:val="auto"/>
                      <w:kern w:val="0"/>
                      <w:szCs w:val="21"/>
                      <w:highlight w:val="none"/>
                    </w:rPr>
                  </w:pPr>
                  <w:r>
                    <w:rPr>
                      <w:color w:val="auto"/>
                      <w:kern w:val="0"/>
                      <w:szCs w:val="21"/>
                      <w:highlight w:val="none"/>
                    </w:rPr>
                    <w:t>9</w:t>
                  </w:r>
                </w:p>
              </w:tc>
              <w:tc>
                <w:tcPr>
                  <w:tcW w:w="2947" w:type="pct"/>
                  <w:vAlign w:val="center"/>
                </w:tcPr>
                <w:p w14:paraId="4F4D5776">
                  <w:pPr>
                    <w:autoSpaceDE w:val="0"/>
                    <w:autoSpaceDN w:val="0"/>
                    <w:adjustRightInd w:val="0"/>
                    <w:snapToGrid w:val="0"/>
                    <w:jc w:val="center"/>
                    <w:rPr>
                      <w:color w:val="auto"/>
                      <w:kern w:val="0"/>
                      <w:szCs w:val="21"/>
                      <w:highlight w:val="none"/>
                    </w:rPr>
                  </w:pPr>
                  <w:r>
                    <w:rPr>
                      <w:color w:val="auto"/>
                      <w:kern w:val="0"/>
                      <w:szCs w:val="21"/>
                      <w:highlight w:val="none"/>
                    </w:rPr>
                    <w:t>禁止在国家湿地公园的岸线和河段范围内开</w:t>
                  </w:r>
                  <w:r>
                    <w:rPr>
                      <w:rFonts w:hint="eastAsia"/>
                      <w:color w:val="auto"/>
                      <w:kern w:val="0"/>
                      <w:szCs w:val="21"/>
                      <w:highlight w:val="none"/>
                    </w:rPr>
                    <w:t>（</w:t>
                  </w:r>
                  <w:r>
                    <w:rPr>
                      <w:color w:val="auto"/>
                      <w:kern w:val="0"/>
                      <w:szCs w:val="21"/>
                      <w:highlight w:val="none"/>
                    </w:rPr>
                    <w:t>围</w:t>
                  </w:r>
                  <w:r>
                    <w:rPr>
                      <w:rFonts w:hint="eastAsia"/>
                      <w:color w:val="auto"/>
                      <w:kern w:val="0"/>
                      <w:szCs w:val="21"/>
                      <w:highlight w:val="none"/>
                    </w:rPr>
                    <w:t>）</w:t>
                  </w:r>
                  <w:r>
                    <w:rPr>
                      <w:color w:val="auto"/>
                      <w:kern w:val="0"/>
                      <w:szCs w:val="21"/>
                      <w:highlight w:val="none"/>
                    </w:rPr>
                    <w:t>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209" w:type="pct"/>
                  <w:vAlign w:val="center"/>
                </w:tcPr>
                <w:p w14:paraId="3C0F2A8A">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本项目不涉及国家湿地公园的岸线和河段。</w:t>
                  </w:r>
                </w:p>
              </w:tc>
              <w:tc>
                <w:tcPr>
                  <w:tcW w:w="554" w:type="pct"/>
                  <w:vAlign w:val="center"/>
                </w:tcPr>
                <w:p w14:paraId="1AAA1B4D">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0BA9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64F23210">
                  <w:pPr>
                    <w:autoSpaceDE w:val="0"/>
                    <w:autoSpaceDN w:val="0"/>
                    <w:adjustRightInd w:val="0"/>
                    <w:snapToGrid w:val="0"/>
                    <w:jc w:val="center"/>
                    <w:rPr>
                      <w:color w:val="auto"/>
                      <w:kern w:val="0"/>
                      <w:szCs w:val="21"/>
                      <w:highlight w:val="none"/>
                    </w:rPr>
                  </w:pPr>
                  <w:r>
                    <w:rPr>
                      <w:color w:val="auto"/>
                      <w:kern w:val="0"/>
                      <w:szCs w:val="21"/>
                      <w:highlight w:val="none"/>
                    </w:rPr>
                    <w:t>10</w:t>
                  </w:r>
                </w:p>
              </w:tc>
              <w:tc>
                <w:tcPr>
                  <w:tcW w:w="2947" w:type="pct"/>
                  <w:vAlign w:val="center"/>
                </w:tcPr>
                <w:p w14:paraId="4E4D07AB">
                  <w:pPr>
                    <w:autoSpaceDE w:val="0"/>
                    <w:autoSpaceDN w:val="0"/>
                    <w:adjustRightInd w:val="0"/>
                    <w:snapToGrid w:val="0"/>
                    <w:jc w:val="center"/>
                    <w:rPr>
                      <w:color w:val="auto"/>
                      <w:kern w:val="0"/>
                      <w:szCs w:val="21"/>
                      <w:highlight w:val="none"/>
                    </w:rPr>
                  </w:pPr>
                  <w:r>
                    <w:rPr>
                      <w:color w:val="auto"/>
                      <w:kern w:val="0"/>
                      <w:szCs w:val="21"/>
                      <w:highlight w:val="none"/>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209" w:type="pct"/>
                  <w:vAlign w:val="center"/>
                </w:tcPr>
                <w:p w14:paraId="5109BF33">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rFonts w:ascii="宋体" w:hAnsi="宋体" w:cs="宋体"/>
                      <w:color w:val="auto"/>
                      <w:kern w:val="0"/>
                      <w:szCs w:val="21"/>
                      <w:highlight w:val="none"/>
                    </w:rPr>
                    <w:t>长江流域河湖岸线</w:t>
                  </w:r>
                  <w:r>
                    <w:rPr>
                      <w:rFonts w:hint="eastAsia" w:ascii="宋体" w:hAnsi="宋体" w:cs="宋体"/>
                      <w:color w:val="auto"/>
                      <w:kern w:val="0"/>
                      <w:szCs w:val="21"/>
                      <w:highlight w:val="none"/>
                    </w:rPr>
                    <w:t>。</w:t>
                  </w:r>
                </w:p>
              </w:tc>
              <w:tc>
                <w:tcPr>
                  <w:tcW w:w="554" w:type="pct"/>
                  <w:vAlign w:val="center"/>
                </w:tcPr>
                <w:p w14:paraId="20B228FB">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71FD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2DD18C2D">
                  <w:pPr>
                    <w:autoSpaceDE w:val="0"/>
                    <w:autoSpaceDN w:val="0"/>
                    <w:adjustRightInd w:val="0"/>
                    <w:snapToGrid w:val="0"/>
                    <w:jc w:val="center"/>
                    <w:rPr>
                      <w:color w:val="auto"/>
                      <w:kern w:val="0"/>
                      <w:szCs w:val="21"/>
                      <w:highlight w:val="none"/>
                    </w:rPr>
                  </w:pPr>
                  <w:r>
                    <w:rPr>
                      <w:color w:val="auto"/>
                      <w:kern w:val="0"/>
                      <w:szCs w:val="21"/>
                      <w:highlight w:val="none"/>
                    </w:rPr>
                    <w:t>11</w:t>
                  </w:r>
                </w:p>
              </w:tc>
              <w:tc>
                <w:tcPr>
                  <w:tcW w:w="2947" w:type="pct"/>
                  <w:vAlign w:val="center"/>
                </w:tcPr>
                <w:p w14:paraId="0BE0537E">
                  <w:pPr>
                    <w:autoSpaceDE w:val="0"/>
                    <w:autoSpaceDN w:val="0"/>
                    <w:adjustRightInd w:val="0"/>
                    <w:snapToGrid w:val="0"/>
                    <w:jc w:val="center"/>
                    <w:rPr>
                      <w:color w:val="auto"/>
                      <w:kern w:val="0"/>
                      <w:szCs w:val="21"/>
                      <w:highlight w:val="none"/>
                    </w:rPr>
                  </w:pPr>
                  <w:r>
                    <w:rPr>
                      <w:color w:val="auto"/>
                      <w:kern w:val="0"/>
                      <w:szCs w:val="21"/>
                      <w:highlight w:val="none"/>
                    </w:rPr>
                    <w:t>禁止在《全国重要江河湖泊水功能区划》划定的河段及湖泊保护区、保留区内投资建设不利于水资源及自然生态保护的项目。</w:t>
                  </w:r>
                </w:p>
              </w:tc>
              <w:tc>
                <w:tcPr>
                  <w:tcW w:w="1209" w:type="pct"/>
                  <w:vAlign w:val="center"/>
                </w:tcPr>
                <w:p w14:paraId="699B3A15">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rFonts w:ascii="宋体" w:hAnsi="宋体" w:cs="宋体"/>
                      <w:color w:val="auto"/>
                      <w:kern w:val="0"/>
                      <w:szCs w:val="21"/>
                      <w:highlight w:val="none"/>
                    </w:rPr>
                    <w:t>《全国重要江河湖泊水功能区划》划定的河段及湖泊保护区、保留区</w:t>
                  </w:r>
                  <w:r>
                    <w:rPr>
                      <w:rFonts w:hint="eastAsia" w:ascii="宋体" w:hAnsi="宋体" w:cs="宋体"/>
                      <w:color w:val="auto"/>
                      <w:kern w:val="0"/>
                      <w:szCs w:val="21"/>
                      <w:highlight w:val="none"/>
                    </w:rPr>
                    <w:t>。</w:t>
                  </w:r>
                </w:p>
              </w:tc>
              <w:tc>
                <w:tcPr>
                  <w:tcW w:w="554" w:type="pct"/>
                  <w:vAlign w:val="center"/>
                </w:tcPr>
                <w:p w14:paraId="3F74F037">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2790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6C674607">
                  <w:pPr>
                    <w:autoSpaceDE w:val="0"/>
                    <w:autoSpaceDN w:val="0"/>
                    <w:adjustRightInd w:val="0"/>
                    <w:snapToGrid w:val="0"/>
                    <w:jc w:val="center"/>
                    <w:rPr>
                      <w:color w:val="auto"/>
                      <w:kern w:val="0"/>
                      <w:szCs w:val="21"/>
                      <w:highlight w:val="none"/>
                    </w:rPr>
                  </w:pPr>
                  <w:r>
                    <w:rPr>
                      <w:color w:val="auto"/>
                      <w:kern w:val="0"/>
                      <w:szCs w:val="21"/>
                      <w:highlight w:val="none"/>
                    </w:rPr>
                    <w:t>12</w:t>
                  </w:r>
                </w:p>
              </w:tc>
              <w:tc>
                <w:tcPr>
                  <w:tcW w:w="2947" w:type="pct"/>
                  <w:vAlign w:val="center"/>
                </w:tcPr>
                <w:p w14:paraId="1DD12D9D">
                  <w:pPr>
                    <w:autoSpaceDE w:val="0"/>
                    <w:autoSpaceDN w:val="0"/>
                    <w:adjustRightInd w:val="0"/>
                    <w:snapToGrid w:val="0"/>
                    <w:jc w:val="center"/>
                    <w:rPr>
                      <w:color w:val="auto"/>
                      <w:kern w:val="0"/>
                      <w:szCs w:val="21"/>
                      <w:highlight w:val="none"/>
                    </w:rPr>
                  </w:pPr>
                  <w:r>
                    <w:rPr>
                      <w:color w:val="auto"/>
                      <w:kern w:val="0"/>
                      <w:szCs w:val="21"/>
                      <w:highlight w:val="none"/>
                    </w:rPr>
                    <w:t>禁止在长江流域江河、湖泊新设、改设或者扩大排污口，经有管辖权的生态环境主管部门或者长江流域生态环境监督管理机构同意的除外。</w:t>
                  </w:r>
                </w:p>
              </w:tc>
              <w:tc>
                <w:tcPr>
                  <w:tcW w:w="1209" w:type="pct"/>
                  <w:vAlign w:val="center"/>
                </w:tcPr>
                <w:p w14:paraId="12E7C7E6">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rFonts w:ascii="宋体" w:hAnsi="宋体" w:cs="宋体"/>
                      <w:color w:val="auto"/>
                      <w:kern w:val="0"/>
                      <w:szCs w:val="21"/>
                      <w:highlight w:val="none"/>
                    </w:rPr>
                    <w:t>长江流域江河、湖泊</w:t>
                  </w:r>
                  <w:r>
                    <w:rPr>
                      <w:rFonts w:hint="eastAsia" w:ascii="宋体" w:hAnsi="宋体" w:cs="宋体"/>
                      <w:color w:val="auto"/>
                      <w:kern w:val="0"/>
                      <w:szCs w:val="21"/>
                      <w:highlight w:val="none"/>
                    </w:rPr>
                    <w:t>。</w:t>
                  </w:r>
                </w:p>
              </w:tc>
              <w:tc>
                <w:tcPr>
                  <w:tcW w:w="554" w:type="pct"/>
                  <w:vAlign w:val="center"/>
                </w:tcPr>
                <w:p w14:paraId="010864F3">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45AF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58264420">
                  <w:pPr>
                    <w:autoSpaceDE w:val="0"/>
                    <w:autoSpaceDN w:val="0"/>
                    <w:adjustRightInd w:val="0"/>
                    <w:snapToGrid w:val="0"/>
                    <w:jc w:val="center"/>
                    <w:rPr>
                      <w:color w:val="auto"/>
                      <w:kern w:val="0"/>
                      <w:szCs w:val="21"/>
                      <w:highlight w:val="none"/>
                    </w:rPr>
                  </w:pPr>
                  <w:r>
                    <w:rPr>
                      <w:color w:val="auto"/>
                      <w:kern w:val="0"/>
                      <w:szCs w:val="21"/>
                      <w:highlight w:val="none"/>
                    </w:rPr>
                    <w:t>13</w:t>
                  </w:r>
                </w:p>
              </w:tc>
              <w:tc>
                <w:tcPr>
                  <w:tcW w:w="2947" w:type="pct"/>
                  <w:vAlign w:val="center"/>
                </w:tcPr>
                <w:p w14:paraId="615FCB82">
                  <w:pPr>
                    <w:autoSpaceDE w:val="0"/>
                    <w:autoSpaceDN w:val="0"/>
                    <w:adjustRightInd w:val="0"/>
                    <w:snapToGrid w:val="0"/>
                    <w:jc w:val="center"/>
                    <w:rPr>
                      <w:color w:val="auto"/>
                      <w:kern w:val="0"/>
                      <w:szCs w:val="21"/>
                      <w:highlight w:val="none"/>
                    </w:rPr>
                  </w:pPr>
                  <w:r>
                    <w:rPr>
                      <w:color w:val="auto"/>
                      <w:kern w:val="0"/>
                      <w:szCs w:val="21"/>
                      <w:highlight w:val="none"/>
                    </w:rPr>
                    <w:t>禁止在长江干流、大渡河、岷江、赤水河、沱江、嘉陵江、乌江、汉江和51个</w:t>
                  </w:r>
                  <w:r>
                    <w:rPr>
                      <w:rFonts w:hint="eastAsia"/>
                      <w:color w:val="auto"/>
                      <w:kern w:val="0"/>
                      <w:szCs w:val="21"/>
                      <w:highlight w:val="none"/>
                    </w:rPr>
                    <w:t>（</w:t>
                  </w:r>
                  <w:r>
                    <w:rPr>
                      <w:color w:val="auto"/>
                      <w:kern w:val="0"/>
                      <w:szCs w:val="21"/>
                      <w:highlight w:val="none"/>
                    </w:rPr>
                    <w:t>四川省45个、重庆市6个</w:t>
                  </w:r>
                  <w:r>
                    <w:rPr>
                      <w:rFonts w:hint="eastAsia"/>
                      <w:color w:val="auto"/>
                      <w:kern w:val="0"/>
                      <w:szCs w:val="21"/>
                      <w:highlight w:val="none"/>
                    </w:rPr>
                    <w:t>）</w:t>
                  </w:r>
                  <w:r>
                    <w:rPr>
                      <w:color w:val="auto"/>
                      <w:kern w:val="0"/>
                      <w:szCs w:val="21"/>
                      <w:highlight w:val="none"/>
                    </w:rPr>
                    <w:t>水生生物保护区开展生产性捕捞。</w:t>
                  </w:r>
                </w:p>
              </w:tc>
              <w:tc>
                <w:tcPr>
                  <w:tcW w:w="1209" w:type="pct"/>
                  <w:vAlign w:val="center"/>
                </w:tcPr>
                <w:p w14:paraId="5B377394">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color w:val="auto"/>
                      <w:kern w:val="0"/>
                      <w:szCs w:val="21"/>
                      <w:highlight w:val="none"/>
                    </w:rPr>
                    <w:t>长江干流、大渡河、岷江、赤水河、沱江、嘉陵江、乌江、汉江和51个</w:t>
                  </w:r>
                  <w:r>
                    <w:rPr>
                      <w:rFonts w:hint="eastAsia"/>
                      <w:color w:val="auto"/>
                      <w:kern w:val="0"/>
                      <w:szCs w:val="21"/>
                      <w:highlight w:val="none"/>
                    </w:rPr>
                    <w:t>（</w:t>
                  </w:r>
                  <w:r>
                    <w:rPr>
                      <w:color w:val="auto"/>
                      <w:kern w:val="0"/>
                      <w:szCs w:val="21"/>
                      <w:highlight w:val="none"/>
                    </w:rPr>
                    <w:t>四川省45个、重庆市6个</w:t>
                  </w:r>
                  <w:r>
                    <w:rPr>
                      <w:rFonts w:hint="eastAsia"/>
                      <w:color w:val="auto"/>
                      <w:kern w:val="0"/>
                      <w:szCs w:val="21"/>
                      <w:highlight w:val="none"/>
                    </w:rPr>
                    <w:t>）</w:t>
                  </w:r>
                  <w:r>
                    <w:rPr>
                      <w:color w:val="auto"/>
                      <w:kern w:val="0"/>
                      <w:szCs w:val="21"/>
                      <w:highlight w:val="none"/>
                    </w:rPr>
                    <w:t>水生生物保护区</w:t>
                  </w:r>
                  <w:r>
                    <w:rPr>
                      <w:rFonts w:hint="eastAsia"/>
                      <w:color w:val="auto"/>
                      <w:kern w:val="0"/>
                      <w:szCs w:val="21"/>
                      <w:highlight w:val="none"/>
                    </w:rPr>
                    <w:t>，</w:t>
                  </w:r>
                  <w:r>
                    <w:rPr>
                      <w:rFonts w:hint="eastAsia" w:ascii="宋体" w:hAnsi="宋体" w:cs="宋体"/>
                      <w:color w:val="auto"/>
                      <w:kern w:val="0"/>
                      <w:szCs w:val="21"/>
                      <w:highlight w:val="none"/>
                    </w:rPr>
                    <w:t>不属于捕捞项目。</w:t>
                  </w:r>
                </w:p>
              </w:tc>
              <w:tc>
                <w:tcPr>
                  <w:tcW w:w="554" w:type="pct"/>
                  <w:vAlign w:val="center"/>
                </w:tcPr>
                <w:p w14:paraId="73CB091C">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6181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5D656C20">
                  <w:pPr>
                    <w:autoSpaceDE w:val="0"/>
                    <w:autoSpaceDN w:val="0"/>
                    <w:adjustRightInd w:val="0"/>
                    <w:snapToGrid w:val="0"/>
                    <w:jc w:val="center"/>
                    <w:rPr>
                      <w:color w:val="auto"/>
                      <w:kern w:val="0"/>
                      <w:szCs w:val="21"/>
                      <w:highlight w:val="none"/>
                    </w:rPr>
                  </w:pPr>
                  <w:r>
                    <w:rPr>
                      <w:color w:val="auto"/>
                      <w:kern w:val="0"/>
                      <w:szCs w:val="21"/>
                      <w:highlight w:val="none"/>
                    </w:rPr>
                    <w:t>14</w:t>
                  </w:r>
                </w:p>
              </w:tc>
              <w:tc>
                <w:tcPr>
                  <w:tcW w:w="2947" w:type="pct"/>
                  <w:vAlign w:val="center"/>
                </w:tcPr>
                <w:p w14:paraId="4209DF3C">
                  <w:pPr>
                    <w:autoSpaceDE w:val="0"/>
                    <w:autoSpaceDN w:val="0"/>
                    <w:adjustRightInd w:val="0"/>
                    <w:snapToGrid w:val="0"/>
                    <w:jc w:val="center"/>
                    <w:rPr>
                      <w:color w:val="auto"/>
                      <w:kern w:val="0"/>
                      <w:szCs w:val="21"/>
                      <w:highlight w:val="none"/>
                    </w:rPr>
                  </w:pPr>
                  <w:r>
                    <w:rPr>
                      <w:color w:val="auto"/>
                      <w:kern w:val="0"/>
                      <w:szCs w:val="21"/>
                      <w:highlight w:val="none"/>
                    </w:rPr>
                    <w:t>禁止在长江干流岸线三公里范围内和重要支流岸线一公里范围内新建、改建、扩建尾矿库、冶炼渣库、磷石膏库，以提升安全、生态环境保护水平为目的的改建除外。</w:t>
                  </w:r>
                </w:p>
              </w:tc>
              <w:tc>
                <w:tcPr>
                  <w:tcW w:w="1209" w:type="pct"/>
                  <w:vAlign w:val="center"/>
                </w:tcPr>
                <w:p w14:paraId="02326DA0">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rFonts w:ascii="宋体" w:hAnsi="宋体" w:cs="宋体"/>
                      <w:color w:val="auto"/>
                      <w:kern w:val="0"/>
                      <w:szCs w:val="21"/>
                      <w:highlight w:val="none"/>
                    </w:rPr>
                    <w:t>长江干流岸线三公里范围和重要支流岸线一公里范围</w:t>
                  </w:r>
                  <w:r>
                    <w:rPr>
                      <w:rFonts w:hint="eastAsia" w:ascii="宋体" w:hAnsi="宋体" w:cs="宋体"/>
                      <w:color w:val="auto"/>
                      <w:kern w:val="0"/>
                      <w:szCs w:val="21"/>
                      <w:highlight w:val="none"/>
                    </w:rPr>
                    <w:t>。本项目不属于</w:t>
                  </w:r>
                  <w:r>
                    <w:rPr>
                      <w:color w:val="auto"/>
                      <w:kern w:val="0"/>
                      <w:szCs w:val="21"/>
                      <w:highlight w:val="none"/>
                    </w:rPr>
                    <w:t>尾矿库、冶炼渣库、磷石膏库</w:t>
                  </w:r>
                  <w:r>
                    <w:rPr>
                      <w:rFonts w:hint="eastAsia"/>
                      <w:color w:val="auto"/>
                      <w:kern w:val="0"/>
                      <w:szCs w:val="21"/>
                      <w:highlight w:val="none"/>
                    </w:rPr>
                    <w:t>项目。</w:t>
                  </w:r>
                </w:p>
              </w:tc>
              <w:tc>
                <w:tcPr>
                  <w:tcW w:w="554" w:type="pct"/>
                  <w:vAlign w:val="center"/>
                </w:tcPr>
                <w:p w14:paraId="56165E88">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7039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0E5CE4FF">
                  <w:pPr>
                    <w:autoSpaceDE w:val="0"/>
                    <w:autoSpaceDN w:val="0"/>
                    <w:adjustRightInd w:val="0"/>
                    <w:snapToGrid w:val="0"/>
                    <w:jc w:val="center"/>
                    <w:rPr>
                      <w:color w:val="auto"/>
                      <w:kern w:val="0"/>
                      <w:szCs w:val="21"/>
                      <w:highlight w:val="none"/>
                    </w:rPr>
                  </w:pPr>
                  <w:r>
                    <w:rPr>
                      <w:color w:val="auto"/>
                      <w:kern w:val="0"/>
                      <w:szCs w:val="21"/>
                      <w:highlight w:val="none"/>
                    </w:rPr>
                    <w:t>15</w:t>
                  </w:r>
                </w:p>
              </w:tc>
              <w:tc>
                <w:tcPr>
                  <w:tcW w:w="2947" w:type="pct"/>
                  <w:vAlign w:val="center"/>
                </w:tcPr>
                <w:p w14:paraId="61413DB4">
                  <w:pPr>
                    <w:autoSpaceDE w:val="0"/>
                    <w:autoSpaceDN w:val="0"/>
                    <w:adjustRightInd w:val="0"/>
                    <w:snapToGrid w:val="0"/>
                    <w:jc w:val="center"/>
                    <w:rPr>
                      <w:color w:val="auto"/>
                      <w:kern w:val="0"/>
                      <w:szCs w:val="21"/>
                      <w:highlight w:val="none"/>
                    </w:rPr>
                  </w:pPr>
                  <w:r>
                    <w:rPr>
                      <w:color w:val="auto"/>
                      <w:kern w:val="0"/>
                      <w:szCs w:val="21"/>
                      <w:highlight w:val="none"/>
                    </w:rPr>
                    <w:t>禁止在生态保护红线区域、永久基本农田集中区域和其他需要特别保护的区域内选址建设尾矿库、冶炼渣库磷石膏库。</w:t>
                  </w:r>
                </w:p>
              </w:tc>
              <w:tc>
                <w:tcPr>
                  <w:tcW w:w="1209" w:type="pct"/>
                  <w:vAlign w:val="center"/>
                </w:tcPr>
                <w:p w14:paraId="526C6657">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本项目不涉及</w:t>
                  </w:r>
                  <w:r>
                    <w:rPr>
                      <w:rFonts w:ascii="宋体" w:hAnsi="宋体" w:cs="宋体"/>
                      <w:color w:val="auto"/>
                      <w:kern w:val="0"/>
                      <w:szCs w:val="21"/>
                      <w:highlight w:val="none"/>
                    </w:rPr>
                    <w:t>生态保护红线区域、永久基本农田集中区域和其他需要特别保护的区域</w:t>
                  </w:r>
                  <w:r>
                    <w:rPr>
                      <w:rFonts w:hint="eastAsia" w:ascii="宋体" w:hAnsi="宋体" w:cs="宋体"/>
                      <w:color w:val="auto"/>
                      <w:kern w:val="0"/>
                      <w:szCs w:val="21"/>
                      <w:highlight w:val="none"/>
                    </w:rPr>
                    <w:t>。本项目不属于</w:t>
                  </w:r>
                  <w:r>
                    <w:rPr>
                      <w:color w:val="auto"/>
                      <w:kern w:val="0"/>
                      <w:szCs w:val="21"/>
                      <w:highlight w:val="none"/>
                    </w:rPr>
                    <w:t>尾矿库、冶炼渣库磷石膏库</w:t>
                  </w:r>
                  <w:r>
                    <w:rPr>
                      <w:rFonts w:hint="eastAsia"/>
                      <w:color w:val="auto"/>
                      <w:kern w:val="0"/>
                      <w:szCs w:val="21"/>
                      <w:highlight w:val="none"/>
                    </w:rPr>
                    <w:t>项目。</w:t>
                  </w:r>
                </w:p>
              </w:tc>
              <w:tc>
                <w:tcPr>
                  <w:tcW w:w="554" w:type="pct"/>
                  <w:vAlign w:val="center"/>
                </w:tcPr>
                <w:p w14:paraId="7BEBDBFA">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48D5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1F3E9925">
                  <w:pPr>
                    <w:autoSpaceDE w:val="0"/>
                    <w:autoSpaceDN w:val="0"/>
                    <w:adjustRightInd w:val="0"/>
                    <w:snapToGrid w:val="0"/>
                    <w:jc w:val="center"/>
                    <w:rPr>
                      <w:color w:val="auto"/>
                      <w:kern w:val="0"/>
                      <w:szCs w:val="21"/>
                      <w:highlight w:val="none"/>
                    </w:rPr>
                  </w:pPr>
                  <w:r>
                    <w:rPr>
                      <w:color w:val="auto"/>
                      <w:kern w:val="0"/>
                      <w:szCs w:val="21"/>
                      <w:highlight w:val="none"/>
                    </w:rPr>
                    <w:t>16</w:t>
                  </w:r>
                </w:p>
              </w:tc>
              <w:tc>
                <w:tcPr>
                  <w:tcW w:w="2947" w:type="pct"/>
                  <w:vAlign w:val="center"/>
                </w:tcPr>
                <w:p w14:paraId="728B6384">
                  <w:pPr>
                    <w:autoSpaceDE w:val="0"/>
                    <w:autoSpaceDN w:val="0"/>
                    <w:adjustRightInd w:val="0"/>
                    <w:snapToGrid w:val="0"/>
                    <w:jc w:val="center"/>
                    <w:rPr>
                      <w:color w:val="auto"/>
                      <w:kern w:val="0"/>
                      <w:szCs w:val="21"/>
                      <w:highlight w:val="none"/>
                    </w:rPr>
                  </w:pPr>
                  <w:r>
                    <w:rPr>
                      <w:color w:val="auto"/>
                      <w:kern w:val="0"/>
                      <w:szCs w:val="21"/>
                      <w:highlight w:val="none"/>
                    </w:rPr>
                    <w:t>禁止在合规园区外新建、扩建钢铁、石化、化工、焦化、建材、有色、制浆造纸等高污染项目。</w:t>
                  </w:r>
                </w:p>
              </w:tc>
              <w:tc>
                <w:tcPr>
                  <w:tcW w:w="1209" w:type="pct"/>
                  <w:vAlign w:val="center"/>
                </w:tcPr>
                <w:p w14:paraId="7FA15093">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本项目不属于</w:t>
                  </w:r>
                  <w:r>
                    <w:rPr>
                      <w:color w:val="auto"/>
                      <w:kern w:val="0"/>
                      <w:szCs w:val="21"/>
                      <w:highlight w:val="none"/>
                    </w:rPr>
                    <w:t>钢铁、石化、化工、焦化、建材、有色、制浆造纸等高污染项目</w:t>
                  </w:r>
                  <w:r>
                    <w:rPr>
                      <w:rFonts w:hint="eastAsia" w:ascii="宋体" w:hAnsi="宋体" w:cs="宋体"/>
                      <w:color w:val="auto"/>
                      <w:kern w:val="0"/>
                      <w:szCs w:val="21"/>
                      <w:highlight w:val="none"/>
                    </w:rPr>
                    <w:t>。</w:t>
                  </w:r>
                </w:p>
              </w:tc>
              <w:tc>
                <w:tcPr>
                  <w:tcW w:w="554" w:type="pct"/>
                  <w:vAlign w:val="center"/>
                </w:tcPr>
                <w:p w14:paraId="674899F1">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0D2A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70DB8865">
                  <w:pPr>
                    <w:autoSpaceDE w:val="0"/>
                    <w:autoSpaceDN w:val="0"/>
                    <w:adjustRightInd w:val="0"/>
                    <w:snapToGrid w:val="0"/>
                    <w:jc w:val="center"/>
                    <w:rPr>
                      <w:color w:val="auto"/>
                      <w:kern w:val="0"/>
                      <w:szCs w:val="21"/>
                      <w:highlight w:val="none"/>
                    </w:rPr>
                  </w:pPr>
                  <w:r>
                    <w:rPr>
                      <w:color w:val="auto"/>
                      <w:kern w:val="0"/>
                      <w:szCs w:val="21"/>
                      <w:highlight w:val="none"/>
                    </w:rPr>
                    <w:t>17</w:t>
                  </w:r>
                </w:p>
              </w:tc>
              <w:tc>
                <w:tcPr>
                  <w:tcW w:w="2947" w:type="pct"/>
                  <w:vAlign w:val="center"/>
                </w:tcPr>
                <w:p w14:paraId="038969C8">
                  <w:pPr>
                    <w:autoSpaceDE w:val="0"/>
                    <w:autoSpaceDN w:val="0"/>
                    <w:adjustRightInd w:val="0"/>
                    <w:snapToGrid w:val="0"/>
                    <w:jc w:val="center"/>
                    <w:rPr>
                      <w:color w:val="auto"/>
                      <w:kern w:val="0"/>
                      <w:szCs w:val="21"/>
                      <w:highlight w:val="none"/>
                    </w:rPr>
                  </w:pPr>
                  <w:r>
                    <w:rPr>
                      <w:color w:val="auto"/>
                      <w:kern w:val="0"/>
                      <w:szCs w:val="21"/>
                      <w:highlight w:val="none"/>
                    </w:rPr>
                    <w:t>禁止新建、扩建不符合国家石化、现代煤化工等产业布局规划的项目。</w:t>
                  </w:r>
                </w:p>
              </w:tc>
              <w:tc>
                <w:tcPr>
                  <w:tcW w:w="1209" w:type="pct"/>
                  <w:vAlign w:val="center"/>
                </w:tcPr>
                <w:p w14:paraId="6BACFDBC">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本项目不属于</w:t>
                  </w:r>
                  <w:r>
                    <w:rPr>
                      <w:rFonts w:ascii="宋体" w:hAnsi="宋体" w:cs="宋体"/>
                      <w:color w:val="auto"/>
                      <w:kern w:val="0"/>
                      <w:szCs w:val="21"/>
                      <w:highlight w:val="none"/>
                    </w:rPr>
                    <w:t>石化、现代煤化工等产业布局规划的项目</w:t>
                  </w:r>
                  <w:r>
                    <w:rPr>
                      <w:rFonts w:hint="eastAsia" w:ascii="宋体" w:hAnsi="宋体" w:cs="宋体"/>
                      <w:color w:val="auto"/>
                      <w:kern w:val="0"/>
                      <w:szCs w:val="21"/>
                      <w:highlight w:val="none"/>
                    </w:rPr>
                    <w:t>。</w:t>
                  </w:r>
                </w:p>
              </w:tc>
              <w:tc>
                <w:tcPr>
                  <w:tcW w:w="554" w:type="pct"/>
                  <w:vAlign w:val="center"/>
                </w:tcPr>
                <w:p w14:paraId="2B1BB23E">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418B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42253BE5">
                  <w:pPr>
                    <w:autoSpaceDE w:val="0"/>
                    <w:autoSpaceDN w:val="0"/>
                    <w:adjustRightInd w:val="0"/>
                    <w:snapToGrid w:val="0"/>
                    <w:jc w:val="center"/>
                    <w:rPr>
                      <w:color w:val="auto"/>
                      <w:kern w:val="0"/>
                      <w:szCs w:val="21"/>
                      <w:highlight w:val="none"/>
                    </w:rPr>
                  </w:pPr>
                  <w:r>
                    <w:rPr>
                      <w:color w:val="auto"/>
                      <w:kern w:val="0"/>
                      <w:szCs w:val="21"/>
                      <w:highlight w:val="none"/>
                    </w:rPr>
                    <w:t>18</w:t>
                  </w:r>
                </w:p>
              </w:tc>
              <w:tc>
                <w:tcPr>
                  <w:tcW w:w="2947" w:type="pct"/>
                  <w:vAlign w:val="center"/>
                </w:tcPr>
                <w:p w14:paraId="51962BCB">
                  <w:pPr>
                    <w:autoSpaceDE w:val="0"/>
                    <w:autoSpaceDN w:val="0"/>
                    <w:adjustRightInd w:val="0"/>
                    <w:snapToGrid w:val="0"/>
                    <w:jc w:val="center"/>
                    <w:rPr>
                      <w:color w:val="auto"/>
                      <w:kern w:val="0"/>
                      <w:szCs w:val="21"/>
                      <w:highlight w:val="none"/>
                    </w:rPr>
                  </w:pPr>
                  <w:r>
                    <w:rPr>
                      <w:color w:val="auto"/>
                      <w:kern w:val="0"/>
                      <w:szCs w:val="21"/>
                      <w:highlight w:val="none"/>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209" w:type="pct"/>
                  <w:vAlign w:val="center"/>
                </w:tcPr>
                <w:p w14:paraId="1254F9A7">
                  <w:pPr>
                    <w:autoSpaceDE w:val="0"/>
                    <w:autoSpaceDN w:val="0"/>
                    <w:adjustRightInd w:val="0"/>
                    <w:snapToGrid w:val="0"/>
                    <w:jc w:val="center"/>
                    <w:rPr>
                      <w:rFonts w:ascii="宋体" w:hAnsi="宋体" w:cs="宋体"/>
                      <w:color w:val="auto"/>
                      <w:kern w:val="0"/>
                      <w:szCs w:val="21"/>
                      <w:highlight w:val="none"/>
                    </w:rPr>
                  </w:pPr>
                  <w:r>
                    <w:rPr>
                      <w:color w:val="auto"/>
                      <w:kern w:val="0"/>
                      <w:szCs w:val="21"/>
                      <w:highlight w:val="none"/>
                    </w:rPr>
                    <w:t>项目属于《产业结构调整指导目录（20</w:t>
                  </w:r>
                  <w:r>
                    <w:rPr>
                      <w:rFonts w:hint="eastAsia"/>
                      <w:color w:val="auto"/>
                      <w:kern w:val="0"/>
                      <w:szCs w:val="21"/>
                      <w:highlight w:val="none"/>
                    </w:rPr>
                    <w:t>24</w:t>
                  </w:r>
                  <w:r>
                    <w:rPr>
                      <w:color w:val="auto"/>
                      <w:kern w:val="0"/>
                      <w:szCs w:val="21"/>
                      <w:highlight w:val="none"/>
                    </w:rPr>
                    <w:t>年本）》中允许类，不属于落后产能项目</w:t>
                  </w:r>
                  <w:r>
                    <w:rPr>
                      <w:rFonts w:hint="eastAsia"/>
                      <w:color w:val="auto"/>
                      <w:kern w:val="0"/>
                      <w:szCs w:val="21"/>
                      <w:highlight w:val="none"/>
                    </w:rPr>
                    <w:t>。</w:t>
                  </w:r>
                </w:p>
              </w:tc>
              <w:tc>
                <w:tcPr>
                  <w:tcW w:w="554" w:type="pct"/>
                  <w:vAlign w:val="center"/>
                </w:tcPr>
                <w:p w14:paraId="2D5D18A6">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36C2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6B41ECD6">
                  <w:pPr>
                    <w:autoSpaceDE w:val="0"/>
                    <w:autoSpaceDN w:val="0"/>
                    <w:adjustRightInd w:val="0"/>
                    <w:snapToGrid w:val="0"/>
                    <w:jc w:val="center"/>
                    <w:rPr>
                      <w:color w:val="auto"/>
                      <w:kern w:val="0"/>
                      <w:szCs w:val="21"/>
                      <w:highlight w:val="none"/>
                    </w:rPr>
                  </w:pPr>
                  <w:r>
                    <w:rPr>
                      <w:color w:val="auto"/>
                      <w:kern w:val="0"/>
                      <w:szCs w:val="21"/>
                      <w:highlight w:val="none"/>
                    </w:rPr>
                    <w:t>19</w:t>
                  </w:r>
                </w:p>
              </w:tc>
              <w:tc>
                <w:tcPr>
                  <w:tcW w:w="2947" w:type="pct"/>
                  <w:vAlign w:val="center"/>
                </w:tcPr>
                <w:p w14:paraId="6AA17A43">
                  <w:pPr>
                    <w:autoSpaceDE w:val="0"/>
                    <w:autoSpaceDN w:val="0"/>
                    <w:adjustRightInd w:val="0"/>
                    <w:snapToGrid w:val="0"/>
                    <w:jc w:val="center"/>
                    <w:rPr>
                      <w:color w:val="auto"/>
                      <w:kern w:val="0"/>
                      <w:szCs w:val="21"/>
                      <w:highlight w:val="none"/>
                    </w:rPr>
                  </w:pPr>
                  <w:r>
                    <w:rPr>
                      <w:color w:val="auto"/>
                      <w:kern w:val="0"/>
                      <w:szCs w:val="21"/>
                      <w:highlight w:val="none"/>
                    </w:rPr>
                    <w:t>禁止新建、扩建不符合国家产能置换要求的第二十四条严重过剩产能行业的项目。对于不符合国家产能置换要求的严重过剩产能行业，不得以其他任何名义、任何方式备案新增产能项目。</w:t>
                  </w:r>
                </w:p>
              </w:tc>
              <w:tc>
                <w:tcPr>
                  <w:tcW w:w="1209" w:type="pct"/>
                  <w:vAlign w:val="center"/>
                </w:tcPr>
                <w:p w14:paraId="2A1E8A8A">
                  <w:pPr>
                    <w:autoSpaceDE w:val="0"/>
                    <w:autoSpaceDN w:val="0"/>
                    <w:adjustRightInd w:val="0"/>
                    <w:snapToGrid w:val="0"/>
                    <w:jc w:val="center"/>
                    <w:rPr>
                      <w:color w:val="auto"/>
                      <w:kern w:val="0"/>
                      <w:szCs w:val="21"/>
                      <w:highlight w:val="none"/>
                    </w:rPr>
                  </w:pPr>
                  <w:r>
                    <w:rPr>
                      <w:rFonts w:hint="eastAsia"/>
                      <w:color w:val="auto"/>
                      <w:kern w:val="0"/>
                      <w:szCs w:val="21"/>
                      <w:highlight w:val="none"/>
                    </w:rPr>
                    <w:t>本项目</w:t>
                  </w:r>
                  <w:r>
                    <w:rPr>
                      <w:color w:val="auto"/>
                      <w:kern w:val="0"/>
                      <w:szCs w:val="21"/>
                      <w:highlight w:val="none"/>
                    </w:rPr>
                    <w:t>不属于国家产能置换要求的严重过剩产能行业的项目</w:t>
                  </w:r>
                  <w:r>
                    <w:rPr>
                      <w:rFonts w:hint="eastAsia"/>
                      <w:color w:val="auto"/>
                      <w:kern w:val="0"/>
                      <w:szCs w:val="21"/>
                      <w:highlight w:val="none"/>
                    </w:rPr>
                    <w:t>。</w:t>
                  </w:r>
                </w:p>
              </w:tc>
              <w:tc>
                <w:tcPr>
                  <w:tcW w:w="554" w:type="pct"/>
                  <w:vAlign w:val="center"/>
                </w:tcPr>
                <w:p w14:paraId="2CE25156">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4CB5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6CFD5584">
                  <w:pPr>
                    <w:autoSpaceDE w:val="0"/>
                    <w:autoSpaceDN w:val="0"/>
                    <w:adjustRightInd w:val="0"/>
                    <w:snapToGrid w:val="0"/>
                    <w:jc w:val="center"/>
                    <w:rPr>
                      <w:color w:val="auto"/>
                      <w:kern w:val="0"/>
                      <w:szCs w:val="21"/>
                      <w:highlight w:val="none"/>
                    </w:rPr>
                  </w:pPr>
                  <w:r>
                    <w:rPr>
                      <w:color w:val="auto"/>
                      <w:kern w:val="0"/>
                      <w:szCs w:val="21"/>
                      <w:highlight w:val="none"/>
                    </w:rPr>
                    <w:t>20</w:t>
                  </w:r>
                </w:p>
              </w:tc>
              <w:tc>
                <w:tcPr>
                  <w:tcW w:w="2947" w:type="pct"/>
                  <w:vAlign w:val="center"/>
                </w:tcPr>
                <w:p w14:paraId="3C3CD52F">
                  <w:pPr>
                    <w:autoSpaceDE w:val="0"/>
                    <w:autoSpaceDN w:val="0"/>
                    <w:adjustRightInd w:val="0"/>
                    <w:snapToGrid w:val="0"/>
                    <w:jc w:val="center"/>
                    <w:rPr>
                      <w:color w:val="auto"/>
                      <w:szCs w:val="21"/>
                      <w:highlight w:val="none"/>
                    </w:rPr>
                  </w:pPr>
                  <w:r>
                    <w:rPr>
                      <w:color w:val="auto"/>
                      <w:szCs w:val="21"/>
                      <w:highlight w:val="none"/>
                    </w:rPr>
                    <w:t>禁止建设以下燃油汽车投资项目</w:t>
                  </w:r>
                  <w:r>
                    <w:rPr>
                      <w:rFonts w:hint="eastAsia"/>
                      <w:color w:val="auto"/>
                      <w:szCs w:val="21"/>
                      <w:highlight w:val="none"/>
                    </w:rPr>
                    <w:t>（</w:t>
                  </w:r>
                  <w:r>
                    <w:rPr>
                      <w:color w:val="auto"/>
                      <w:szCs w:val="21"/>
                      <w:highlight w:val="none"/>
                    </w:rPr>
                    <w:t>不在中国境内销售产品的投资项目除外</w:t>
                  </w:r>
                  <w:r>
                    <w:rPr>
                      <w:rFonts w:hint="eastAsia"/>
                      <w:color w:val="auto"/>
                      <w:szCs w:val="21"/>
                      <w:highlight w:val="none"/>
                    </w:rPr>
                    <w:t>）</w:t>
                  </w:r>
                  <w:r>
                    <w:rPr>
                      <w:color w:val="auto"/>
                      <w:szCs w:val="21"/>
                      <w:highlight w:val="none"/>
                    </w:rPr>
                    <w:t>：</w:t>
                  </w:r>
                </w:p>
                <w:p w14:paraId="37A7524B">
                  <w:pPr>
                    <w:autoSpaceDE w:val="0"/>
                    <w:autoSpaceDN w:val="0"/>
                    <w:adjustRightInd w:val="0"/>
                    <w:snapToGrid w:val="0"/>
                    <w:jc w:val="center"/>
                    <w:rPr>
                      <w:color w:val="auto"/>
                      <w:szCs w:val="21"/>
                      <w:highlight w:val="none"/>
                    </w:rPr>
                  </w:pPr>
                  <w:r>
                    <w:rPr>
                      <w:rFonts w:hint="eastAsia"/>
                      <w:color w:val="auto"/>
                      <w:szCs w:val="21"/>
                      <w:highlight w:val="none"/>
                    </w:rPr>
                    <w:t>（</w:t>
                  </w:r>
                  <w:r>
                    <w:rPr>
                      <w:color w:val="auto"/>
                      <w:szCs w:val="21"/>
                      <w:highlight w:val="none"/>
                    </w:rPr>
                    <w:t>一</w:t>
                  </w:r>
                  <w:r>
                    <w:rPr>
                      <w:rFonts w:hint="eastAsia"/>
                      <w:color w:val="auto"/>
                      <w:szCs w:val="21"/>
                      <w:highlight w:val="none"/>
                    </w:rPr>
                    <w:t>）</w:t>
                  </w:r>
                  <w:r>
                    <w:rPr>
                      <w:color w:val="auto"/>
                      <w:szCs w:val="21"/>
                      <w:highlight w:val="none"/>
                    </w:rPr>
                    <w:t>新建独立燃油汽车企；</w:t>
                  </w:r>
                </w:p>
                <w:p w14:paraId="5D4B5C8B">
                  <w:pPr>
                    <w:autoSpaceDE w:val="0"/>
                    <w:autoSpaceDN w:val="0"/>
                    <w:adjustRightInd w:val="0"/>
                    <w:snapToGrid w:val="0"/>
                    <w:jc w:val="center"/>
                    <w:rPr>
                      <w:color w:val="auto"/>
                      <w:szCs w:val="21"/>
                      <w:highlight w:val="none"/>
                    </w:rPr>
                  </w:pPr>
                  <w:r>
                    <w:rPr>
                      <w:rFonts w:hint="eastAsia"/>
                      <w:color w:val="auto"/>
                      <w:szCs w:val="21"/>
                      <w:highlight w:val="none"/>
                    </w:rPr>
                    <w:t>（</w:t>
                  </w:r>
                  <w:r>
                    <w:rPr>
                      <w:color w:val="auto"/>
                      <w:szCs w:val="21"/>
                      <w:highlight w:val="none"/>
                    </w:rPr>
                    <w:t>二</w:t>
                  </w:r>
                  <w:r>
                    <w:rPr>
                      <w:rFonts w:hint="eastAsia"/>
                      <w:color w:val="auto"/>
                      <w:szCs w:val="21"/>
                      <w:highlight w:val="none"/>
                    </w:rPr>
                    <w:t>）</w:t>
                  </w:r>
                  <w:r>
                    <w:rPr>
                      <w:color w:val="auto"/>
                      <w:szCs w:val="21"/>
                      <w:highlight w:val="none"/>
                    </w:rPr>
                    <w:t>现有汽车企业跨乘用车、商用车类别建设燃油汽车生产能力；</w:t>
                  </w:r>
                </w:p>
                <w:p w14:paraId="4A2DFF5D">
                  <w:pPr>
                    <w:autoSpaceDE w:val="0"/>
                    <w:autoSpaceDN w:val="0"/>
                    <w:adjustRightInd w:val="0"/>
                    <w:snapToGrid w:val="0"/>
                    <w:jc w:val="center"/>
                    <w:rPr>
                      <w:color w:val="auto"/>
                      <w:szCs w:val="21"/>
                      <w:highlight w:val="none"/>
                    </w:rPr>
                  </w:pPr>
                  <w:r>
                    <w:rPr>
                      <w:rFonts w:hint="eastAsia"/>
                      <w:color w:val="auto"/>
                      <w:szCs w:val="21"/>
                      <w:highlight w:val="none"/>
                    </w:rPr>
                    <w:t>（</w:t>
                  </w:r>
                  <w:r>
                    <w:rPr>
                      <w:color w:val="auto"/>
                      <w:szCs w:val="21"/>
                      <w:highlight w:val="none"/>
                    </w:rPr>
                    <w:t>三</w:t>
                  </w:r>
                  <w:r>
                    <w:rPr>
                      <w:rFonts w:hint="eastAsia"/>
                      <w:color w:val="auto"/>
                      <w:szCs w:val="21"/>
                      <w:highlight w:val="none"/>
                    </w:rPr>
                    <w:t>）</w:t>
                  </w:r>
                  <w:r>
                    <w:rPr>
                      <w:color w:val="auto"/>
                      <w:szCs w:val="21"/>
                      <w:highlight w:val="none"/>
                    </w:rPr>
                    <w:t>外省现有燃油汽车企业整体搬迁至本省</w:t>
                  </w:r>
                  <w:r>
                    <w:rPr>
                      <w:rFonts w:hint="eastAsia"/>
                      <w:color w:val="auto"/>
                      <w:szCs w:val="21"/>
                      <w:highlight w:val="none"/>
                    </w:rPr>
                    <w:t>（</w:t>
                  </w:r>
                  <w:r>
                    <w:rPr>
                      <w:color w:val="auto"/>
                      <w:szCs w:val="21"/>
                      <w:highlight w:val="none"/>
                    </w:rPr>
                    <w:t>列入国家级区域发展规划或不改变企业股权结构的项目除外</w:t>
                  </w:r>
                  <w:r>
                    <w:rPr>
                      <w:rFonts w:hint="eastAsia"/>
                      <w:color w:val="auto"/>
                      <w:szCs w:val="21"/>
                      <w:highlight w:val="none"/>
                    </w:rPr>
                    <w:t>）</w:t>
                  </w:r>
                  <w:r>
                    <w:rPr>
                      <w:color w:val="auto"/>
                      <w:szCs w:val="21"/>
                      <w:highlight w:val="none"/>
                    </w:rPr>
                    <w:t>；</w:t>
                  </w:r>
                </w:p>
                <w:p w14:paraId="0B0D3C74">
                  <w:pPr>
                    <w:autoSpaceDE w:val="0"/>
                    <w:autoSpaceDN w:val="0"/>
                    <w:adjustRightInd w:val="0"/>
                    <w:snapToGrid w:val="0"/>
                    <w:jc w:val="center"/>
                    <w:rPr>
                      <w:color w:val="auto"/>
                      <w:kern w:val="0"/>
                      <w:szCs w:val="21"/>
                      <w:highlight w:val="none"/>
                    </w:rPr>
                  </w:pPr>
                  <w:r>
                    <w:rPr>
                      <w:rFonts w:hint="eastAsia"/>
                      <w:color w:val="auto"/>
                      <w:szCs w:val="21"/>
                      <w:highlight w:val="none"/>
                    </w:rPr>
                    <w:t>（</w:t>
                  </w:r>
                  <w:r>
                    <w:rPr>
                      <w:color w:val="auto"/>
                      <w:szCs w:val="21"/>
                      <w:highlight w:val="none"/>
                    </w:rPr>
                    <w:t>四</w:t>
                  </w:r>
                  <w:r>
                    <w:rPr>
                      <w:rFonts w:hint="eastAsia"/>
                      <w:color w:val="auto"/>
                      <w:szCs w:val="21"/>
                      <w:highlight w:val="none"/>
                    </w:rPr>
                    <w:t>）</w:t>
                  </w:r>
                  <w:r>
                    <w:rPr>
                      <w:color w:val="auto"/>
                      <w:szCs w:val="21"/>
                      <w:highlight w:val="none"/>
                    </w:rPr>
                    <w:t>对行业管理部门特别公示的燃油汽车企业进行投资企业原有股东投资或将该企业转为非独立法人的投资项目除外。）</w:t>
                  </w:r>
                </w:p>
              </w:tc>
              <w:tc>
                <w:tcPr>
                  <w:tcW w:w="1209" w:type="pct"/>
                  <w:vAlign w:val="center"/>
                </w:tcPr>
                <w:p w14:paraId="53FDFF35">
                  <w:pPr>
                    <w:autoSpaceDE w:val="0"/>
                    <w:autoSpaceDN w:val="0"/>
                    <w:adjustRightInd w:val="0"/>
                    <w:snapToGrid w:val="0"/>
                    <w:jc w:val="center"/>
                    <w:rPr>
                      <w:color w:val="auto"/>
                      <w:kern w:val="0"/>
                      <w:szCs w:val="21"/>
                      <w:highlight w:val="none"/>
                    </w:rPr>
                  </w:pPr>
                  <w:r>
                    <w:rPr>
                      <w:rFonts w:hint="eastAsia"/>
                      <w:color w:val="auto"/>
                      <w:kern w:val="0"/>
                      <w:szCs w:val="21"/>
                      <w:highlight w:val="none"/>
                    </w:rPr>
                    <w:t>本项目不属于汽车投资项目。</w:t>
                  </w:r>
                </w:p>
              </w:tc>
              <w:tc>
                <w:tcPr>
                  <w:tcW w:w="554" w:type="pct"/>
                  <w:vAlign w:val="center"/>
                </w:tcPr>
                <w:p w14:paraId="761B976E">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14:paraId="1F72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3DDE2B19">
                  <w:pPr>
                    <w:autoSpaceDE w:val="0"/>
                    <w:autoSpaceDN w:val="0"/>
                    <w:adjustRightInd w:val="0"/>
                    <w:snapToGrid w:val="0"/>
                    <w:jc w:val="center"/>
                    <w:rPr>
                      <w:color w:val="auto"/>
                      <w:kern w:val="0"/>
                      <w:szCs w:val="21"/>
                      <w:highlight w:val="none"/>
                    </w:rPr>
                  </w:pPr>
                  <w:r>
                    <w:rPr>
                      <w:color w:val="auto"/>
                      <w:kern w:val="0"/>
                      <w:szCs w:val="21"/>
                      <w:highlight w:val="none"/>
                    </w:rPr>
                    <w:t>21</w:t>
                  </w:r>
                </w:p>
              </w:tc>
              <w:tc>
                <w:tcPr>
                  <w:tcW w:w="2947" w:type="pct"/>
                  <w:vAlign w:val="center"/>
                </w:tcPr>
                <w:p w14:paraId="734152F3">
                  <w:pPr>
                    <w:autoSpaceDE w:val="0"/>
                    <w:autoSpaceDN w:val="0"/>
                    <w:adjustRightInd w:val="0"/>
                    <w:snapToGrid w:val="0"/>
                    <w:jc w:val="center"/>
                    <w:rPr>
                      <w:color w:val="auto"/>
                      <w:kern w:val="0"/>
                      <w:szCs w:val="21"/>
                      <w:highlight w:val="none"/>
                    </w:rPr>
                  </w:pPr>
                  <w:r>
                    <w:rPr>
                      <w:color w:val="auto"/>
                      <w:kern w:val="0"/>
                      <w:szCs w:val="21"/>
                      <w:highlight w:val="none"/>
                    </w:rPr>
                    <w:t>禁止新建、扩建不符合要求的高耗能、高排放、低水平项目</w:t>
                  </w:r>
                </w:p>
              </w:tc>
              <w:tc>
                <w:tcPr>
                  <w:tcW w:w="1209" w:type="pct"/>
                  <w:vAlign w:val="center"/>
                </w:tcPr>
                <w:p w14:paraId="02173100">
                  <w:pPr>
                    <w:autoSpaceDE w:val="0"/>
                    <w:autoSpaceDN w:val="0"/>
                    <w:adjustRightInd w:val="0"/>
                    <w:snapToGrid w:val="0"/>
                    <w:jc w:val="center"/>
                    <w:rPr>
                      <w:color w:val="auto"/>
                      <w:kern w:val="0"/>
                      <w:szCs w:val="21"/>
                      <w:highlight w:val="none"/>
                    </w:rPr>
                  </w:pPr>
                  <w:r>
                    <w:rPr>
                      <w:rFonts w:hint="eastAsia"/>
                      <w:color w:val="auto"/>
                      <w:kern w:val="0"/>
                      <w:szCs w:val="21"/>
                      <w:highlight w:val="none"/>
                    </w:rPr>
                    <w:t>本项目</w:t>
                  </w:r>
                  <w:r>
                    <w:rPr>
                      <w:color w:val="auto"/>
                      <w:kern w:val="0"/>
                      <w:szCs w:val="21"/>
                      <w:highlight w:val="none"/>
                    </w:rPr>
                    <w:t>不属于高耗能</w:t>
                  </w:r>
                  <w:r>
                    <w:rPr>
                      <w:rFonts w:hint="eastAsia"/>
                      <w:color w:val="auto"/>
                      <w:kern w:val="0"/>
                      <w:szCs w:val="21"/>
                      <w:highlight w:val="none"/>
                    </w:rPr>
                    <w:t>、</w:t>
                  </w:r>
                  <w:r>
                    <w:rPr>
                      <w:color w:val="auto"/>
                      <w:kern w:val="0"/>
                      <w:szCs w:val="21"/>
                      <w:highlight w:val="none"/>
                    </w:rPr>
                    <w:t>高排放</w:t>
                  </w:r>
                  <w:r>
                    <w:rPr>
                      <w:rFonts w:hint="eastAsia"/>
                      <w:color w:val="auto"/>
                      <w:kern w:val="0"/>
                      <w:szCs w:val="21"/>
                      <w:highlight w:val="none"/>
                    </w:rPr>
                    <w:t>、低水平</w:t>
                  </w:r>
                  <w:r>
                    <w:rPr>
                      <w:color w:val="auto"/>
                      <w:kern w:val="0"/>
                      <w:szCs w:val="21"/>
                      <w:highlight w:val="none"/>
                    </w:rPr>
                    <w:t>项目</w:t>
                  </w:r>
                  <w:r>
                    <w:rPr>
                      <w:rFonts w:hint="eastAsia"/>
                      <w:color w:val="auto"/>
                      <w:kern w:val="0"/>
                      <w:szCs w:val="21"/>
                      <w:highlight w:val="none"/>
                    </w:rPr>
                    <w:t>。</w:t>
                  </w:r>
                </w:p>
              </w:tc>
              <w:tc>
                <w:tcPr>
                  <w:tcW w:w="554" w:type="pct"/>
                  <w:vAlign w:val="center"/>
                </w:tcPr>
                <w:p w14:paraId="253555B6">
                  <w:pPr>
                    <w:autoSpaceDE w:val="0"/>
                    <w:autoSpaceDN w:val="0"/>
                    <w:adjustRightInd w:val="0"/>
                    <w:snapToGrid w:val="0"/>
                    <w:jc w:val="center"/>
                    <w:rPr>
                      <w:color w:val="auto"/>
                      <w:kern w:val="0"/>
                      <w:szCs w:val="21"/>
                      <w:highlight w:val="none"/>
                    </w:rPr>
                  </w:pPr>
                  <w:r>
                    <w:rPr>
                      <w:rFonts w:hint="eastAsia"/>
                      <w:color w:val="auto"/>
                      <w:kern w:val="0"/>
                      <w:szCs w:val="21"/>
                      <w:highlight w:val="none"/>
                    </w:rPr>
                    <w:t>符合</w:t>
                  </w:r>
                </w:p>
              </w:tc>
            </w:tr>
          </w:tbl>
          <w:p w14:paraId="5691C059">
            <w:pPr>
              <w:autoSpaceDE w:val="0"/>
              <w:autoSpaceDN w:val="0"/>
              <w:adjustRightInd w:val="0"/>
              <w:snapToGrid w:val="0"/>
              <w:spacing w:line="460" w:lineRule="exact"/>
              <w:rPr>
                <w:b/>
                <w:bCs/>
                <w:color w:val="auto"/>
                <w:kern w:val="0"/>
                <w:sz w:val="24"/>
                <w:highlight w:val="none"/>
              </w:rPr>
            </w:pPr>
            <w:r>
              <w:rPr>
                <w:b/>
                <w:bCs/>
                <w:color w:val="auto"/>
                <w:kern w:val="0"/>
                <w:sz w:val="24"/>
                <w:highlight w:val="none"/>
              </w:rPr>
              <w:t>1.</w:t>
            </w:r>
            <w:r>
              <w:rPr>
                <w:rFonts w:hint="eastAsia"/>
                <w:b/>
                <w:bCs/>
                <w:color w:val="auto"/>
                <w:kern w:val="0"/>
                <w:sz w:val="24"/>
                <w:highlight w:val="none"/>
              </w:rPr>
              <w:t>6</w:t>
            </w:r>
            <w:r>
              <w:rPr>
                <w:b/>
                <w:bCs/>
                <w:color w:val="auto"/>
                <w:kern w:val="0"/>
                <w:sz w:val="24"/>
                <w:highlight w:val="none"/>
              </w:rPr>
              <w:t>与“三线一单”符合性分析</w:t>
            </w:r>
          </w:p>
          <w:p w14:paraId="7C718D53">
            <w:pPr>
              <w:widowControl/>
              <w:spacing w:line="460" w:lineRule="exact"/>
              <w:ind w:firstLine="480" w:firstLineChars="200"/>
              <w:jc w:val="left"/>
              <w:rPr>
                <w:rFonts w:ascii="宋体" w:hAnsi="宋体" w:cs="宋体"/>
                <w:color w:val="auto"/>
                <w:sz w:val="24"/>
                <w:highlight w:val="none"/>
              </w:rPr>
            </w:pPr>
            <w:r>
              <w:rPr>
                <w:rFonts w:hint="eastAsia" w:ascii="宋体" w:hAnsi="宋体" w:cs="宋体"/>
                <w:bCs/>
                <w:color w:val="auto"/>
                <w:sz w:val="24"/>
                <w:highlight w:val="none"/>
              </w:rPr>
              <w:t>根据《</w:t>
            </w:r>
            <w:r>
              <w:rPr>
                <w:rFonts w:hint="eastAsia" w:ascii="宋体" w:hAnsi="宋体" w:cs="宋体"/>
                <w:color w:val="auto"/>
                <w:sz w:val="24"/>
                <w:highlight w:val="none"/>
                <w:shd w:val="clear" w:color="auto" w:fill="FFFFFF"/>
              </w:rPr>
              <w:t>重庆市生态环境局关于印发重庆市“三线一单”生态环境分区管控调整方案（</w:t>
            </w:r>
            <w:r>
              <w:rPr>
                <w:color w:val="auto"/>
                <w:sz w:val="24"/>
                <w:highlight w:val="none"/>
                <w:shd w:val="clear" w:color="auto" w:fill="FFFFFF"/>
              </w:rPr>
              <w:t>2023</w:t>
            </w:r>
            <w:r>
              <w:rPr>
                <w:rFonts w:hint="eastAsia" w:ascii="宋体" w:hAnsi="宋体" w:cs="宋体"/>
                <w:color w:val="auto"/>
                <w:sz w:val="24"/>
                <w:highlight w:val="none"/>
                <w:shd w:val="clear" w:color="auto" w:fill="FFFFFF"/>
              </w:rPr>
              <w:t>年）的通知</w:t>
            </w:r>
            <w:r>
              <w:rPr>
                <w:rFonts w:hint="eastAsia" w:ascii="宋体" w:hAnsi="宋体" w:cs="宋体"/>
                <w:bCs/>
                <w:color w:val="auto"/>
                <w:sz w:val="24"/>
                <w:highlight w:val="none"/>
              </w:rPr>
              <w:t>》（渝环规</w:t>
            </w:r>
            <w:r>
              <w:rPr>
                <w:bCs/>
                <w:color w:val="auto"/>
                <w:sz w:val="24"/>
                <w:highlight w:val="none"/>
              </w:rPr>
              <w:t>〔</w:t>
            </w:r>
            <w:r>
              <w:rPr>
                <w:rFonts w:hint="eastAsia"/>
                <w:bCs/>
                <w:color w:val="auto"/>
                <w:sz w:val="24"/>
                <w:highlight w:val="none"/>
              </w:rPr>
              <w:t>2024</w:t>
            </w:r>
            <w:r>
              <w:rPr>
                <w:bCs/>
                <w:color w:val="auto"/>
                <w:sz w:val="24"/>
                <w:highlight w:val="none"/>
              </w:rPr>
              <w:t>〕2</w:t>
            </w:r>
            <w:r>
              <w:rPr>
                <w:rFonts w:hint="eastAsia" w:ascii="宋体" w:hAnsi="宋体" w:cs="宋体"/>
                <w:bCs/>
                <w:color w:val="auto"/>
                <w:sz w:val="24"/>
                <w:highlight w:val="none"/>
              </w:rPr>
              <w:t>号）及《重庆市合川区人民政府关于印发《重庆市合川区“三线一单”生态环境分区管控调整方案（2023年）》的通知》（合川府</w:t>
            </w:r>
            <w:r>
              <w:rPr>
                <w:bCs/>
                <w:color w:val="auto"/>
                <w:sz w:val="24"/>
                <w:highlight w:val="none"/>
              </w:rPr>
              <w:t>发〔20</w:t>
            </w:r>
            <w:r>
              <w:rPr>
                <w:rFonts w:hint="eastAsia"/>
                <w:bCs/>
                <w:color w:val="auto"/>
                <w:sz w:val="24"/>
                <w:highlight w:val="none"/>
              </w:rPr>
              <w:t>24</w:t>
            </w:r>
            <w:r>
              <w:rPr>
                <w:bCs/>
                <w:color w:val="auto"/>
                <w:sz w:val="24"/>
                <w:highlight w:val="none"/>
              </w:rPr>
              <w:t>〕</w:t>
            </w:r>
            <w:r>
              <w:rPr>
                <w:rFonts w:hint="eastAsia"/>
                <w:bCs/>
                <w:color w:val="auto"/>
                <w:sz w:val="24"/>
                <w:highlight w:val="none"/>
              </w:rPr>
              <w:t>8</w:t>
            </w:r>
            <w:r>
              <w:rPr>
                <w:bCs/>
                <w:color w:val="auto"/>
                <w:sz w:val="24"/>
                <w:highlight w:val="none"/>
              </w:rPr>
              <w:t>号</w:t>
            </w:r>
            <w:r>
              <w:rPr>
                <w:rFonts w:hint="eastAsia" w:ascii="宋体" w:hAnsi="宋体" w:cs="宋体"/>
                <w:bCs/>
                <w:color w:val="auto"/>
                <w:sz w:val="24"/>
                <w:highlight w:val="none"/>
              </w:rPr>
              <w:t>），</w:t>
            </w:r>
            <w:r>
              <w:rPr>
                <w:rFonts w:hint="eastAsia" w:ascii="宋体" w:hAnsi="宋体" w:cs="宋体"/>
                <w:color w:val="auto"/>
                <w:kern w:val="0"/>
                <w:sz w:val="24"/>
                <w:highlight w:val="none"/>
              </w:rPr>
              <w:t>本项目位于</w:t>
            </w:r>
            <w:r>
              <w:rPr>
                <w:rFonts w:hint="eastAsia" w:ascii="宋体" w:hAnsi="宋体" w:cs="宋体"/>
                <w:bCs/>
                <w:color w:val="auto"/>
                <w:sz w:val="24"/>
                <w:highlight w:val="none"/>
              </w:rPr>
              <w:t>重庆市合川区龙市镇龙马大道</w:t>
            </w:r>
            <w:r>
              <w:rPr>
                <w:bCs/>
                <w:color w:val="auto"/>
                <w:sz w:val="24"/>
                <w:highlight w:val="none"/>
              </w:rPr>
              <w:t>7</w:t>
            </w:r>
            <w:r>
              <w:rPr>
                <w:rFonts w:hint="eastAsia" w:ascii="宋体" w:hAnsi="宋体" w:cs="宋体"/>
                <w:bCs/>
                <w:color w:val="auto"/>
                <w:sz w:val="24"/>
                <w:highlight w:val="none"/>
              </w:rPr>
              <w:t>号，为合川区重点管控单元－</w:t>
            </w:r>
            <w:r>
              <w:rPr>
                <w:rFonts w:hint="eastAsia" w:ascii="宋体" w:hAnsi="宋体" w:cs="宋体"/>
                <w:color w:val="auto"/>
                <w:kern w:val="0"/>
                <w:sz w:val="24"/>
                <w:highlight w:val="none"/>
                <w:lang w:bidi="ar"/>
              </w:rPr>
              <w:t xml:space="preserve">工业镇域片区 </w:t>
            </w:r>
            <w:r>
              <w:rPr>
                <w:rFonts w:hint="eastAsia" w:ascii="宋体" w:hAnsi="宋体" w:cs="宋体"/>
                <w:bCs/>
                <w:color w:val="auto"/>
                <w:sz w:val="24"/>
                <w:highlight w:val="none"/>
              </w:rPr>
              <w:t>，管控单元编号为</w:t>
            </w:r>
            <w:r>
              <w:rPr>
                <w:color w:val="auto"/>
                <w:kern w:val="0"/>
                <w:sz w:val="24"/>
                <w:highlight w:val="none"/>
                <w:lang w:bidi="ar"/>
              </w:rPr>
              <w:t>ZH50011720009</w:t>
            </w:r>
            <w:r>
              <w:rPr>
                <w:rFonts w:hint="eastAsia" w:ascii="宋体" w:hAnsi="宋体" w:cs="宋体"/>
                <w:color w:val="auto"/>
                <w:kern w:val="0"/>
                <w:sz w:val="24"/>
                <w:highlight w:val="none"/>
                <w:lang w:bidi="ar"/>
              </w:rPr>
              <w:t>。</w:t>
            </w:r>
            <w:r>
              <w:rPr>
                <w:rFonts w:hint="eastAsia" w:ascii="宋体" w:hAnsi="宋体" w:cs="宋体"/>
                <w:color w:val="auto"/>
                <w:sz w:val="24"/>
                <w:highlight w:val="none"/>
              </w:rPr>
              <w:t>本项目与“三线一单”管控要求的符合性分析见</w:t>
            </w:r>
            <w:r>
              <w:rPr>
                <w:color w:val="auto"/>
                <w:sz w:val="24"/>
                <w:highlight w:val="none"/>
              </w:rPr>
              <w:t>表1.6-1</w:t>
            </w:r>
            <w:r>
              <w:rPr>
                <w:rFonts w:hint="eastAsia"/>
                <w:color w:val="auto"/>
                <w:sz w:val="24"/>
                <w:highlight w:val="none"/>
              </w:rPr>
              <w:t>。</w:t>
            </w:r>
          </w:p>
          <w:p w14:paraId="37BB4180">
            <w:pPr>
              <w:widowControl/>
              <w:spacing w:line="460" w:lineRule="exact"/>
              <w:jc w:val="center"/>
              <w:rPr>
                <w:rFonts w:ascii="宋体" w:hAnsi="宋体" w:cs="宋体"/>
                <w:b/>
                <w:bCs/>
                <w:color w:val="auto"/>
                <w:sz w:val="24"/>
                <w:highlight w:val="none"/>
              </w:rPr>
            </w:pPr>
            <w:r>
              <w:rPr>
                <w:rFonts w:hint="eastAsia" w:ascii="宋体" w:hAnsi="宋体" w:cs="宋体"/>
                <w:b/>
                <w:bCs/>
                <w:color w:val="auto"/>
                <w:sz w:val="24"/>
                <w:highlight w:val="none"/>
              </w:rPr>
              <w:t>表1.6-1  与“三线一单”管控要求的符合性分析表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812"/>
              <w:gridCol w:w="451"/>
              <w:gridCol w:w="2952"/>
              <w:gridCol w:w="2376"/>
              <w:gridCol w:w="866"/>
            </w:tblGrid>
            <w:tr w14:paraId="44B8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gridSpan w:val="3"/>
                  <w:vAlign w:val="center"/>
                </w:tcPr>
                <w:p w14:paraId="400DCEBF">
                  <w:pPr>
                    <w:widowControl/>
                    <w:jc w:val="center"/>
                    <w:rPr>
                      <w:color w:val="auto"/>
                      <w:szCs w:val="21"/>
                      <w:highlight w:val="none"/>
                    </w:rPr>
                  </w:pPr>
                  <w:r>
                    <w:rPr>
                      <w:bCs/>
                      <w:color w:val="auto"/>
                      <w:szCs w:val="21"/>
                      <w:highlight w:val="none"/>
                    </w:rPr>
                    <w:t>环境管控单元编码</w:t>
                  </w:r>
                </w:p>
              </w:tc>
              <w:tc>
                <w:tcPr>
                  <w:tcW w:w="1814" w:type="pct"/>
                  <w:vAlign w:val="center"/>
                </w:tcPr>
                <w:p w14:paraId="674B0E58">
                  <w:pPr>
                    <w:widowControl/>
                    <w:jc w:val="center"/>
                    <w:rPr>
                      <w:color w:val="auto"/>
                      <w:szCs w:val="21"/>
                      <w:highlight w:val="none"/>
                    </w:rPr>
                  </w:pPr>
                  <w:r>
                    <w:rPr>
                      <w:bCs/>
                      <w:color w:val="auto"/>
                      <w:szCs w:val="21"/>
                      <w:highlight w:val="none"/>
                    </w:rPr>
                    <w:t>环境管控单元名称</w:t>
                  </w:r>
                </w:p>
              </w:tc>
              <w:tc>
                <w:tcPr>
                  <w:tcW w:w="1992" w:type="pct"/>
                  <w:gridSpan w:val="2"/>
                  <w:vAlign w:val="center"/>
                </w:tcPr>
                <w:p w14:paraId="5EA7A682">
                  <w:pPr>
                    <w:widowControl/>
                    <w:jc w:val="center"/>
                    <w:rPr>
                      <w:color w:val="auto"/>
                      <w:szCs w:val="21"/>
                      <w:highlight w:val="none"/>
                    </w:rPr>
                  </w:pPr>
                  <w:r>
                    <w:rPr>
                      <w:bCs/>
                      <w:color w:val="auto"/>
                      <w:szCs w:val="21"/>
                      <w:highlight w:val="none"/>
                    </w:rPr>
                    <w:t>环境管控单元类型</w:t>
                  </w:r>
                </w:p>
              </w:tc>
            </w:tr>
            <w:tr w14:paraId="36B2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193" w:type="pct"/>
                  <w:gridSpan w:val="3"/>
                  <w:vAlign w:val="center"/>
                </w:tcPr>
                <w:p w14:paraId="7FC41159">
                  <w:pPr>
                    <w:widowControl/>
                    <w:jc w:val="center"/>
                    <w:rPr>
                      <w:color w:val="auto"/>
                      <w:szCs w:val="21"/>
                      <w:highlight w:val="none"/>
                    </w:rPr>
                  </w:pPr>
                  <w:r>
                    <w:rPr>
                      <w:color w:val="auto"/>
                      <w:kern w:val="0"/>
                      <w:szCs w:val="21"/>
                      <w:highlight w:val="none"/>
                      <w:lang w:bidi="ar"/>
                    </w:rPr>
                    <w:t>ZH50011720009</w:t>
                  </w:r>
                </w:p>
              </w:tc>
              <w:tc>
                <w:tcPr>
                  <w:tcW w:w="1814" w:type="pct"/>
                  <w:vAlign w:val="center"/>
                </w:tcPr>
                <w:p w14:paraId="64623941">
                  <w:pPr>
                    <w:widowControl/>
                    <w:jc w:val="center"/>
                    <w:rPr>
                      <w:color w:val="auto"/>
                      <w:szCs w:val="21"/>
                      <w:highlight w:val="none"/>
                    </w:rPr>
                  </w:pPr>
                  <w:r>
                    <w:rPr>
                      <w:color w:val="auto"/>
                      <w:kern w:val="0"/>
                      <w:szCs w:val="21"/>
                      <w:highlight w:val="none"/>
                      <w:lang w:bidi="ar"/>
                    </w:rPr>
                    <w:t>合川区工业城镇重点管控单元</w:t>
                  </w:r>
                  <w:r>
                    <w:rPr>
                      <w:rFonts w:hint="eastAsia"/>
                      <w:color w:val="auto"/>
                      <w:kern w:val="0"/>
                      <w:szCs w:val="21"/>
                      <w:highlight w:val="none"/>
                      <w:lang w:bidi="ar"/>
                    </w:rPr>
                    <w:t>－</w:t>
                  </w:r>
                  <w:r>
                    <w:rPr>
                      <w:color w:val="auto"/>
                      <w:kern w:val="0"/>
                      <w:szCs w:val="21"/>
                      <w:highlight w:val="none"/>
                      <w:lang w:bidi="ar"/>
                    </w:rPr>
                    <w:t>工业镇域片区</w:t>
                  </w:r>
                </w:p>
              </w:tc>
              <w:tc>
                <w:tcPr>
                  <w:tcW w:w="1992" w:type="pct"/>
                  <w:gridSpan w:val="2"/>
                  <w:vAlign w:val="center"/>
                </w:tcPr>
                <w:p w14:paraId="10678F02">
                  <w:pPr>
                    <w:widowControl/>
                    <w:jc w:val="center"/>
                    <w:rPr>
                      <w:color w:val="auto"/>
                      <w:szCs w:val="21"/>
                      <w:highlight w:val="none"/>
                    </w:rPr>
                  </w:pPr>
                  <w:r>
                    <w:rPr>
                      <w:color w:val="auto"/>
                      <w:kern w:val="0"/>
                      <w:szCs w:val="21"/>
                      <w:highlight w:val="none"/>
                      <w:lang w:bidi="ar"/>
                    </w:rPr>
                    <w:t>重点管控单元9</w:t>
                  </w:r>
                </w:p>
              </w:tc>
            </w:tr>
            <w:tr w14:paraId="53AD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7546A1EB">
                  <w:pPr>
                    <w:widowControl/>
                    <w:jc w:val="center"/>
                    <w:rPr>
                      <w:color w:val="auto"/>
                      <w:szCs w:val="21"/>
                      <w:highlight w:val="none"/>
                    </w:rPr>
                  </w:pPr>
                  <w:r>
                    <w:rPr>
                      <w:bCs/>
                      <w:color w:val="auto"/>
                      <w:szCs w:val="21"/>
                      <w:highlight w:val="none"/>
                    </w:rPr>
                    <w:t>管控要求层级</w:t>
                  </w:r>
                </w:p>
              </w:tc>
              <w:tc>
                <w:tcPr>
                  <w:tcW w:w="499" w:type="pct"/>
                  <w:vAlign w:val="center"/>
                </w:tcPr>
                <w:p w14:paraId="4C3CB4DC">
                  <w:pPr>
                    <w:widowControl/>
                    <w:jc w:val="center"/>
                    <w:rPr>
                      <w:color w:val="auto"/>
                      <w:szCs w:val="21"/>
                      <w:highlight w:val="none"/>
                    </w:rPr>
                  </w:pPr>
                  <w:r>
                    <w:rPr>
                      <w:bCs/>
                      <w:color w:val="auto"/>
                      <w:szCs w:val="21"/>
                      <w:highlight w:val="none"/>
                    </w:rPr>
                    <w:t>管控类型</w:t>
                  </w:r>
                </w:p>
              </w:tc>
              <w:tc>
                <w:tcPr>
                  <w:tcW w:w="2091" w:type="pct"/>
                  <w:gridSpan w:val="2"/>
                  <w:vAlign w:val="center"/>
                </w:tcPr>
                <w:p w14:paraId="6FBE28E7">
                  <w:pPr>
                    <w:widowControl/>
                    <w:jc w:val="center"/>
                    <w:rPr>
                      <w:color w:val="auto"/>
                      <w:szCs w:val="21"/>
                      <w:highlight w:val="none"/>
                    </w:rPr>
                  </w:pPr>
                  <w:r>
                    <w:rPr>
                      <w:bCs/>
                      <w:color w:val="auto"/>
                      <w:szCs w:val="21"/>
                      <w:highlight w:val="none"/>
                    </w:rPr>
                    <w:t>管控要求</w:t>
                  </w:r>
                </w:p>
              </w:tc>
              <w:tc>
                <w:tcPr>
                  <w:tcW w:w="1460" w:type="pct"/>
                  <w:vAlign w:val="center"/>
                </w:tcPr>
                <w:p w14:paraId="4C41C7F0">
                  <w:pPr>
                    <w:widowControl/>
                    <w:jc w:val="center"/>
                    <w:rPr>
                      <w:color w:val="auto"/>
                      <w:szCs w:val="21"/>
                      <w:highlight w:val="none"/>
                    </w:rPr>
                  </w:pPr>
                  <w:r>
                    <w:rPr>
                      <w:bCs/>
                      <w:color w:val="auto"/>
                      <w:szCs w:val="21"/>
                      <w:highlight w:val="none"/>
                    </w:rPr>
                    <w:t>建设项目相关情况</w:t>
                  </w:r>
                </w:p>
              </w:tc>
              <w:tc>
                <w:tcPr>
                  <w:tcW w:w="531" w:type="pct"/>
                  <w:vAlign w:val="center"/>
                </w:tcPr>
                <w:p w14:paraId="21D9CA3F">
                  <w:pPr>
                    <w:widowControl/>
                    <w:jc w:val="center"/>
                    <w:rPr>
                      <w:color w:val="auto"/>
                      <w:szCs w:val="21"/>
                      <w:highlight w:val="none"/>
                    </w:rPr>
                  </w:pPr>
                  <w:r>
                    <w:rPr>
                      <w:bCs/>
                      <w:color w:val="auto"/>
                      <w:szCs w:val="21"/>
                      <w:highlight w:val="none"/>
                    </w:rPr>
                    <w:t>符合性分析结论</w:t>
                  </w:r>
                </w:p>
              </w:tc>
            </w:tr>
            <w:tr w14:paraId="5BFD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7" w:type="pct"/>
                  <w:vMerge w:val="restart"/>
                  <w:vAlign w:val="center"/>
                </w:tcPr>
                <w:p w14:paraId="3C6143E8">
                  <w:pPr>
                    <w:widowControl/>
                    <w:jc w:val="center"/>
                    <w:rPr>
                      <w:color w:val="auto"/>
                      <w:szCs w:val="21"/>
                      <w:highlight w:val="none"/>
                    </w:rPr>
                  </w:pPr>
                  <w:r>
                    <w:rPr>
                      <w:color w:val="auto"/>
                      <w:szCs w:val="21"/>
                      <w:highlight w:val="none"/>
                    </w:rPr>
                    <w:t>全市总体管控要求</w:t>
                  </w:r>
                </w:p>
              </w:tc>
              <w:tc>
                <w:tcPr>
                  <w:tcW w:w="499" w:type="pct"/>
                  <w:vMerge w:val="restart"/>
                  <w:vAlign w:val="center"/>
                </w:tcPr>
                <w:p w14:paraId="1E02855F">
                  <w:pPr>
                    <w:widowControl/>
                    <w:jc w:val="center"/>
                    <w:rPr>
                      <w:color w:val="auto"/>
                      <w:szCs w:val="21"/>
                      <w:highlight w:val="none"/>
                    </w:rPr>
                  </w:pPr>
                  <w:r>
                    <w:rPr>
                      <w:color w:val="auto"/>
                      <w:szCs w:val="21"/>
                      <w:highlight w:val="none"/>
                    </w:rPr>
                    <w:t>空间布局约束</w:t>
                  </w:r>
                </w:p>
              </w:tc>
              <w:tc>
                <w:tcPr>
                  <w:tcW w:w="2091" w:type="pct"/>
                  <w:gridSpan w:val="2"/>
                  <w:vAlign w:val="center"/>
                </w:tcPr>
                <w:p w14:paraId="6CBE8CEF">
                  <w:pPr>
                    <w:widowControl/>
                    <w:jc w:val="center"/>
                    <w:rPr>
                      <w:color w:val="auto"/>
                      <w:szCs w:val="21"/>
                      <w:highlight w:val="none"/>
                    </w:rPr>
                  </w:pPr>
                  <w:r>
                    <w:rPr>
                      <w:color w:val="auto"/>
                      <w:szCs w:val="21"/>
                      <w:highlight w:val="none"/>
                    </w:rPr>
                    <w:t>第一条 深入贯彻习近平生态文明思想，筑牢长江上游重要生态屏障，推动优势区域重点发展、生态功能区重点保护、城乡融合发展，优化重点</w:t>
                  </w:r>
                  <w:r>
                    <w:rPr>
                      <w:rFonts w:hint="eastAsia"/>
                      <w:color w:val="auto"/>
                      <w:szCs w:val="21"/>
                      <w:highlight w:val="none"/>
                    </w:rPr>
                    <w:t>区域</w:t>
                  </w:r>
                  <w:r>
                    <w:rPr>
                      <w:color w:val="auto"/>
                      <w:szCs w:val="21"/>
                      <w:highlight w:val="none"/>
                    </w:rPr>
                    <w:t>流域、产业的空间布局。</w:t>
                  </w:r>
                </w:p>
              </w:tc>
              <w:tc>
                <w:tcPr>
                  <w:tcW w:w="1460" w:type="pct"/>
                  <w:vAlign w:val="center"/>
                </w:tcPr>
                <w:p w14:paraId="62269548">
                  <w:pPr>
                    <w:widowControl/>
                    <w:jc w:val="center"/>
                    <w:rPr>
                      <w:color w:val="auto"/>
                      <w:szCs w:val="21"/>
                      <w:highlight w:val="none"/>
                    </w:rPr>
                  </w:pPr>
                  <w:r>
                    <w:rPr>
                      <w:rFonts w:hint="eastAsia"/>
                      <w:color w:val="auto"/>
                      <w:szCs w:val="21"/>
                      <w:highlight w:val="none"/>
                    </w:rPr>
                    <w:t>本项目不涉及重点区域流域、产业</w:t>
                  </w:r>
                </w:p>
              </w:tc>
              <w:tc>
                <w:tcPr>
                  <w:tcW w:w="531" w:type="pct"/>
                  <w:vAlign w:val="center"/>
                </w:tcPr>
                <w:p w14:paraId="755EC5DE">
                  <w:pPr>
                    <w:widowControl/>
                    <w:jc w:val="center"/>
                    <w:rPr>
                      <w:color w:val="auto"/>
                      <w:szCs w:val="21"/>
                      <w:highlight w:val="none"/>
                    </w:rPr>
                  </w:pPr>
                  <w:r>
                    <w:rPr>
                      <w:rFonts w:hint="eastAsia"/>
                      <w:color w:val="auto"/>
                      <w:szCs w:val="21"/>
                      <w:highlight w:val="none"/>
                    </w:rPr>
                    <w:t>符合</w:t>
                  </w:r>
                </w:p>
              </w:tc>
            </w:tr>
            <w:tr w14:paraId="6116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7" w:type="pct"/>
                  <w:vMerge w:val="continue"/>
                  <w:vAlign w:val="center"/>
                </w:tcPr>
                <w:p w14:paraId="468F7423">
                  <w:pPr>
                    <w:widowControl/>
                    <w:jc w:val="center"/>
                    <w:rPr>
                      <w:color w:val="auto"/>
                      <w:highlight w:val="none"/>
                    </w:rPr>
                  </w:pPr>
                </w:p>
              </w:tc>
              <w:tc>
                <w:tcPr>
                  <w:tcW w:w="499" w:type="pct"/>
                  <w:vMerge w:val="continue"/>
                  <w:vAlign w:val="center"/>
                </w:tcPr>
                <w:p w14:paraId="7F5DAF9A">
                  <w:pPr>
                    <w:widowControl/>
                    <w:jc w:val="center"/>
                    <w:rPr>
                      <w:color w:val="auto"/>
                      <w:highlight w:val="none"/>
                    </w:rPr>
                  </w:pPr>
                </w:p>
              </w:tc>
              <w:tc>
                <w:tcPr>
                  <w:tcW w:w="2091" w:type="pct"/>
                  <w:gridSpan w:val="2"/>
                  <w:vAlign w:val="center"/>
                </w:tcPr>
                <w:p w14:paraId="19B58017">
                  <w:pPr>
                    <w:widowControl/>
                    <w:jc w:val="center"/>
                    <w:rPr>
                      <w:color w:val="auto"/>
                      <w:szCs w:val="21"/>
                      <w:highlight w:val="none"/>
                    </w:rPr>
                  </w:pPr>
                  <w:r>
                    <w:rPr>
                      <w:color w:val="auto"/>
                      <w:szCs w:val="21"/>
                      <w:highlight w:val="none"/>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w:t>
                  </w:r>
                  <w:r>
                    <w:rPr>
                      <w:rFonts w:hint="eastAsia"/>
                      <w:color w:val="auto"/>
                      <w:szCs w:val="21"/>
                      <w:highlight w:val="none"/>
                    </w:rPr>
                    <w:t>一</w:t>
                  </w:r>
                  <w:r>
                    <w:rPr>
                      <w:color w:val="auto"/>
                      <w:szCs w:val="21"/>
                      <w:highlight w:val="none"/>
                    </w:rPr>
                    <w:t>公里范围内布局新建重化工、纸浆制造、印染等存在环境风险的项目。</w:t>
                  </w:r>
                </w:p>
              </w:tc>
              <w:tc>
                <w:tcPr>
                  <w:tcW w:w="1460" w:type="pct"/>
                  <w:vAlign w:val="center"/>
                </w:tcPr>
                <w:p w14:paraId="031FA5B1">
                  <w:pPr>
                    <w:widowControl/>
                    <w:jc w:val="center"/>
                    <w:rPr>
                      <w:color w:val="auto"/>
                      <w:szCs w:val="21"/>
                      <w:highlight w:val="none"/>
                    </w:rPr>
                  </w:pPr>
                  <w:r>
                    <w:rPr>
                      <w:rFonts w:hint="eastAsia"/>
                      <w:color w:val="auto"/>
                      <w:szCs w:val="21"/>
                      <w:highlight w:val="none"/>
                    </w:rPr>
                    <w:t>本项目不涉及</w:t>
                  </w:r>
                  <w:r>
                    <w:rPr>
                      <w:color w:val="auto"/>
                      <w:szCs w:val="21"/>
                      <w:highlight w:val="none"/>
                    </w:rPr>
                    <w:t>长江干支流、重要湖泊岸线一公里范围</w:t>
                  </w:r>
                  <w:r>
                    <w:rPr>
                      <w:rFonts w:hint="eastAsia"/>
                      <w:color w:val="auto"/>
                      <w:szCs w:val="21"/>
                      <w:highlight w:val="none"/>
                    </w:rPr>
                    <w:t>及</w:t>
                  </w:r>
                  <w:r>
                    <w:rPr>
                      <w:color w:val="auto"/>
                      <w:szCs w:val="21"/>
                      <w:highlight w:val="none"/>
                    </w:rPr>
                    <w:t>长江、嘉陵江、乌江岸线</w:t>
                  </w:r>
                  <w:r>
                    <w:rPr>
                      <w:rFonts w:hint="eastAsia"/>
                      <w:color w:val="auto"/>
                      <w:szCs w:val="21"/>
                      <w:highlight w:val="none"/>
                    </w:rPr>
                    <w:t>一</w:t>
                  </w:r>
                  <w:r>
                    <w:rPr>
                      <w:color w:val="auto"/>
                      <w:szCs w:val="21"/>
                      <w:highlight w:val="none"/>
                    </w:rPr>
                    <w:t>公里范围</w:t>
                  </w:r>
                  <w:r>
                    <w:rPr>
                      <w:rFonts w:hint="eastAsia"/>
                      <w:color w:val="auto"/>
                      <w:szCs w:val="21"/>
                      <w:highlight w:val="none"/>
                    </w:rPr>
                    <w:t>。不属于</w:t>
                  </w:r>
                  <w:r>
                    <w:rPr>
                      <w:color w:val="auto"/>
                      <w:szCs w:val="21"/>
                      <w:highlight w:val="none"/>
                    </w:rPr>
                    <w:t>尾矿库、冶炼渣库、磷石膏库</w:t>
                  </w:r>
                  <w:r>
                    <w:rPr>
                      <w:rFonts w:hint="eastAsia"/>
                      <w:color w:val="auto"/>
                      <w:szCs w:val="21"/>
                      <w:highlight w:val="none"/>
                    </w:rPr>
                    <w:t>项目及</w:t>
                  </w:r>
                  <w:r>
                    <w:rPr>
                      <w:color w:val="auto"/>
                      <w:szCs w:val="21"/>
                      <w:highlight w:val="none"/>
                    </w:rPr>
                    <w:t>重化工、纸浆制造、印染</w:t>
                  </w:r>
                  <w:r>
                    <w:rPr>
                      <w:rFonts w:hint="eastAsia"/>
                      <w:color w:val="auto"/>
                      <w:szCs w:val="21"/>
                      <w:highlight w:val="none"/>
                    </w:rPr>
                    <w:t>等存在环境风险的项目。</w:t>
                  </w:r>
                </w:p>
              </w:tc>
              <w:tc>
                <w:tcPr>
                  <w:tcW w:w="531" w:type="pct"/>
                  <w:vAlign w:val="center"/>
                </w:tcPr>
                <w:p w14:paraId="3DA50666">
                  <w:pPr>
                    <w:widowControl/>
                    <w:jc w:val="center"/>
                    <w:rPr>
                      <w:color w:val="auto"/>
                      <w:szCs w:val="21"/>
                      <w:highlight w:val="none"/>
                    </w:rPr>
                  </w:pPr>
                  <w:r>
                    <w:rPr>
                      <w:rFonts w:hint="eastAsia"/>
                      <w:color w:val="auto"/>
                      <w:szCs w:val="21"/>
                      <w:highlight w:val="none"/>
                    </w:rPr>
                    <w:t>符合</w:t>
                  </w:r>
                </w:p>
              </w:tc>
            </w:tr>
            <w:tr w14:paraId="7DFD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7" w:type="pct"/>
                  <w:vMerge w:val="continue"/>
                  <w:vAlign w:val="center"/>
                </w:tcPr>
                <w:p w14:paraId="71F3B3D3">
                  <w:pPr>
                    <w:widowControl/>
                    <w:jc w:val="center"/>
                    <w:rPr>
                      <w:color w:val="auto"/>
                      <w:szCs w:val="21"/>
                      <w:highlight w:val="none"/>
                    </w:rPr>
                  </w:pPr>
                </w:p>
              </w:tc>
              <w:tc>
                <w:tcPr>
                  <w:tcW w:w="499" w:type="pct"/>
                  <w:vMerge w:val="continue"/>
                  <w:vAlign w:val="center"/>
                </w:tcPr>
                <w:p w14:paraId="679A99FB">
                  <w:pPr>
                    <w:widowControl/>
                    <w:jc w:val="center"/>
                    <w:rPr>
                      <w:color w:val="auto"/>
                      <w:szCs w:val="21"/>
                      <w:highlight w:val="none"/>
                    </w:rPr>
                  </w:pPr>
                </w:p>
              </w:tc>
              <w:tc>
                <w:tcPr>
                  <w:tcW w:w="2091" w:type="pct"/>
                  <w:gridSpan w:val="2"/>
                  <w:vAlign w:val="center"/>
                </w:tcPr>
                <w:p w14:paraId="0EACDBEE">
                  <w:pPr>
                    <w:widowControl/>
                    <w:jc w:val="center"/>
                    <w:rPr>
                      <w:color w:val="auto"/>
                      <w:szCs w:val="21"/>
                      <w:highlight w:val="none"/>
                    </w:rPr>
                  </w:pPr>
                  <w:r>
                    <w:rPr>
                      <w:color w:val="auto"/>
                      <w:szCs w:val="21"/>
                      <w:highlight w:val="none"/>
                    </w:rPr>
                    <w:t>第三条 禁止在合规园区外新建、扩建钢铁、石化、化工、焦化、建材有色、制浆造纸等高污染项目</w:t>
                  </w:r>
                  <w:r>
                    <w:rPr>
                      <w:rFonts w:hint="eastAsia"/>
                      <w:color w:val="auto"/>
                      <w:szCs w:val="21"/>
                      <w:highlight w:val="none"/>
                    </w:rPr>
                    <w:t>（</w:t>
                  </w:r>
                  <w:r>
                    <w:rPr>
                      <w:color w:val="auto"/>
                      <w:szCs w:val="21"/>
                      <w:highlight w:val="none"/>
                    </w:rPr>
                    <w:t>高污染项目严格按照《环境保护综合名</w:t>
                  </w:r>
                  <w:r>
                    <w:rPr>
                      <w:rFonts w:hint="eastAsia"/>
                      <w:color w:val="auto"/>
                      <w:szCs w:val="21"/>
                      <w:highlight w:val="none"/>
                    </w:rPr>
                    <w:t>录》</w:t>
                  </w:r>
                  <w:r>
                    <w:rPr>
                      <w:rFonts w:hint="eastAsia" w:ascii="宋体" w:hAnsi="宋体" w:cs="宋体"/>
                      <w:color w:val="auto"/>
                      <w:szCs w:val="21"/>
                      <w:highlight w:val="none"/>
                    </w:rPr>
                    <w:t>“高污染”</w:t>
                  </w:r>
                  <w:r>
                    <w:rPr>
                      <w:color w:val="auto"/>
                      <w:szCs w:val="21"/>
                      <w:highlight w:val="none"/>
                    </w:rPr>
                    <w:t>产品名录执行</w:t>
                  </w:r>
                  <w:r>
                    <w:rPr>
                      <w:rFonts w:hint="eastAsia"/>
                      <w:color w:val="auto"/>
                      <w:szCs w:val="21"/>
                      <w:highlight w:val="none"/>
                    </w:rPr>
                    <w:t>）</w:t>
                  </w:r>
                  <w:r>
                    <w:rPr>
                      <w:color w:val="auto"/>
                      <w:szCs w:val="21"/>
                      <w:highlight w:val="none"/>
                    </w:rPr>
                    <w:t>。禁止新建、扩建不符合国家石化、现代煤化工等产业布局规划的项目。新建、改建、扩</w:t>
                  </w:r>
                  <w:r>
                    <w:rPr>
                      <w:rFonts w:hint="eastAsia" w:ascii="宋体" w:hAnsi="宋体" w:cs="宋体"/>
                      <w:color w:val="auto"/>
                      <w:szCs w:val="21"/>
                      <w:highlight w:val="none"/>
                    </w:rPr>
                    <w:t>建“两高”</w:t>
                  </w:r>
                  <w:r>
                    <w:rPr>
                      <w:color w:val="auto"/>
                      <w:szCs w:val="21"/>
                      <w:highlight w:val="none"/>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1460" w:type="pct"/>
                  <w:vAlign w:val="center"/>
                </w:tcPr>
                <w:p w14:paraId="253B22CE">
                  <w:pPr>
                    <w:widowControl/>
                    <w:jc w:val="center"/>
                    <w:rPr>
                      <w:color w:val="auto"/>
                      <w:szCs w:val="21"/>
                      <w:highlight w:val="none"/>
                    </w:rPr>
                  </w:pPr>
                  <w:r>
                    <w:rPr>
                      <w:rFonts w:hint="eastAsia" w:ascii="宋体" w:hAnsi="宋体" w:cs="宋体"/>
                      <w:color w:val="auto"/>
                      <w:szCs w:val="21"/>
                      <w:highlight w:val="none"/>
                    </w:rPr>
                    <w:t>本项目位于龙市镇工业组团内，不属于“两高”项目。</w:t>
                  </w:r>
                </w:p>
              </w:tc>
              <w:tc>
                <w:tcPr>
                  <w:tcW w:w="531" w:type="pct"/>
                  <w:vAlign w:val="center"/>
                </w:tcPr>
                <w:p w14:paraId="68B4EC94">
                  <w:pPr>
                    <w:widowControl/>
                    <w:jc w:val="center"/>
                    <w:rPr>
                      <w:color w:val="auto"/>
                      <w:szCs w:val="21"/>
                      <w:highlight w:val="none"/>
                    </w:rPr>
                  </w:pPr>
                  <w:r>
                    <w:rPr>
                      <w:rFonts w:hint="eastAsia"/>
                      <w:color w:val="auto"/>
                      <w:szCs w:val="21"/>
                      <w:highlight w:val="none"/>
                    </w:rPr>
                    <w:t>符合</w:t>
                  </w:r>
                </w:p>
              </w:tc>
            </w:tr>
            <w:tr w14:paraId="6DC7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7" w:type="pct"/>
                  <w:vMerge w:val="continue"/>
                  <w:vAlign w:val="center"/>
                </w:tcPr>
                <w:p w14:paraId="1A218042">
                  <w:pPr>
                    <w:widowControl/>
                    <w:jc w:val="center"/>
                    <w:rPr>
                      <w:color w:val="auto"/>
                      <w:szCs w:val="21"/>
                      <w:highlight w:val="none"/>
                    </w:rPr>
                  </w:pPr>
                </w:p>
              </w:tc>
              <w:tc>
                <w:tcPr>
                  <w:tcW w:w="499" w:type="pct"/>
                  <w:vMerge w:val="continue"/>
                  <w:vAlign w:val="center"/>
                </w:tcPr>
                <w:p w14:paraId="034177F2">
                  <w:pPr>
                    <w:widowControl/>
                    <w:jc w:val="center"/>
                    <w:rPr>
                      <w:color w:val="auto"/>
                      <w:szCs w:val="21"/>
                      <w:highlight w:val="none"/>
                    </w:rPr>
                  </w:pPr>
                </w:p>
              </w:tc>
              <w:tc>
                <w:tcPr>
                  <w:tcW w:w="2091" w:type="pct"/>
                  <w:gridSpan w:val="2"/>
                  <w:vAlign w:val="center"/>
                </w:tcPr>
                <w:p w14:paraId="32534D5E">
                  <w:pPr>
                    <w:widowControl/>
                    <w:jc w:val="center"/>
                    <w:rPr>
                      <w:color w:val="auto"/>
                      <w:szCs w:val="21"/>
                      <w:highlight w:val="none"/>
                    </w:rPr>
                  </w:pPr>
                  <w:r>
                    <w:rPr>
                      <w:color w:val="auto"/>
                      <w:szCs w:val="21"/>
                      <w:highlight w:val="none"/>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460" w:type="pct"/>
                  <w:vAlign w:val="center"/>
                </w:tcPr>
                <w:p w14:paraId="2A11BEE4">
                  <w:pPr>
                    <w:widowControl/>
                    <w:jc w:val="center"/>
                    <w:rPr>
                      <w:color w:val="auto"/>
                      <w:szCs w:val="21"/>
                      <w:highlight w:val="none"/>
                    </w:rPr>
                  </w:pPr>
                  <w:r>
                    <w:rPr>
                      <w:rFonts w:hint="eastAsia"/>
                      <w:color w:val="auto"/>
                      <w:szCs w:val="21"/>
                      <w:highlight w:val="none"/>
                    </w:rPr>
                    <w:t>本项目不属于</w:t>
                  </w:r>
                  <w:r>
                    <w:rPr>
                      <w:color w:val="auto"/>
                      <w:szCs w:val="21"/>
                      <w:highlight w:val="none"/>
                    </w:rPr>
                    <w:t>高耗能、高排放、低水平项目</w:t>
                  </w:r>
                  <w:r>
                    <w:rPr>
                      <w:rFonts w:hint="eastAsia"/>
                      <w:color w:val="auto"/>
                      <w:szCs w:val="21"/>
                      <w:highlight w:val="none"/>
                    </w:rPr>
                    <w:t>。本项目位于龙市镇工业组团，属于工业聚集区。</w:t>
                  </w:r>
                </w:p>
              </w:tc>
              <w:tc>
                <w:tcPr>
                  <w:tcW w:w="531" w:type="pct"/>
                  <w:vAlign w:val="center"/>
                </w:tcPr>
                <w:p w14:paraId="7212C690">
                  <w:pPr>
                    <w:widowControl/>
                    <w:jc w:val="center"/>
                    <w:rPr>
                      <w:color w:val="auto"/>
                      <w:szCs w:val="21"/>
                      <w:highlight w:val="none"/>
                    </w:rPr>
                  </w:pPr>
                  <w:r>
                    <w:rPr>
                      <w:rFonts w:hint="eastAsia"/>
                      <w:color w:val="auto"/>
                      <w:szCs w:val="21"/>
                      <w:highlight w:val="none"/>
                    </w:rPr>
                    <w:t>符合</w:t>
                  </w:r>
                </w:p>
              </w:tc>
            </w:tr>
            <w:tr w14:paraId="4DBE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7" w:type="pct"/>
                  <w:vMerge w:val="continue"/>
                  <w:vAlign w:val="center"/>
                </w:tcPr>
                <w:p w14:paraId="77341E12">
                  <w:pPr>
                    <w:widowControl/>
                    <w:jc w:val="center"/>
                    <w:rPr>
                      <w:color w:val="auto"/>
                      <w:szCs w:val="21"/>
                      <w:highlight w:val="none"/>
                    </w:rPr>
                  </w:pPr>
                </w:p>
              </w:tc>
              <w:tc>
                <w:tcPr>
                  <w:tcW w:w="499" w:type="pct"/>
                  <w:vMerge w:val="continue"/>
                  <w:vAlign w:val="center"/>
                </w:tcPr>
                <w:p w14:paraId="7E4D9048">
                  <w:pPr>
                    <w:widowControl/>
                    <w:jc w:val="center"/>
                    <w:rPr>
                      <w:color w:val="auto"/>
                      <w:szCs w:val="21"/>
                      <w:highlight w:val="none"/>
                    </w:rPr>
                  </w:pPr>
                </w:p>
              </w:tc>
              <w:tc>
                <w:tcPr>
                  <w:tcW w:w="2091" w:type="pct"/>
                  <w:gridSpan w:val="2"/>
                  <w:vAlign w:val="center"/>
                </w:tcPr>
                <w:p w14:paraId="5959E037">
                  <w:pPr>
                    <w:widowControl/>
                    <w:jc w:val="center"/>
                    <w:rPr>
                      <w:color w:val="auto"/>
                      <w:szCs w:val="21"/>
                      <w:highlight w:val="none"/>
                    </w:rPr>
                  </w:pPr>
                  <w:r>
                    <w:rPr>
                      <w:color w:val="auto"/>
                      <w:szCs w:val="21"/>
                      <w:highlight w:val="none"/>
                    </w:rPr>
                    <w:t>第五条 新建、扩建有色金属冶炼、电镀、铅蓄电池等企业应布设在依法合规设立并经过规划环评的产业园区。</w:t>
                  </w:r>
                </w:p>
              </w:tc>
              <w:tc>
                <w:tcPr>
                  <w:tcW w:w="1460" w:type="pct"/>
                  <w:vAlign w:val="center"/>
                </w:tcPr>
                <w:p w14:paraId="15632EAA">
                  <w:pPr>
                    <w:widowControl/>
                    <w:jc w:val="center"/>
                    <w:rPr>
                      <w:color w:val="auto"/>
                      <w:szCs w:val="21"/>
                      <w:highlight w:val="none"/>
                    </w:rPr>
                  </w:pPr>
                  <w:r>
                    <w:rPr>
                      <w:rFonts w:hint="eastAsia"/>
                      <w:color w:val="auto"/>
                      <w:szCs w:val="21"/>
                      <w:highlight w:val="none"/>
                    </w:rPr>
                    <w:t>本项目不属于</w:t>
                  </w:r>
                  <w:r>
                    <w:rPr>
                      <w:color w:val="auto"/>
                      <w:szCs w:val="21"/>
                      <w:highlight w:val="none"/>
                    </w:rPr>
                    <w:t>有色金属冶炼、电镀、铅蓄电池等</w:t>
                  </w:r>
                  <w:r>
                    <w:rPr>
                      <w:rFonts w:hint="eastAsia"/>
                      <w:color w:val="auto"/>
                      <w:szCs w:val="21"/>
                      <w:highlight w:val="none"/>
                    </w:rPr>
                    <w:t>工业项目。</w:t>
                  </w:r>
                </w:p>
              </w:tc>
              <w:tc>
                <w:tcPr>
                  <w:tcW w:w="531" w:type="pct"/>
                  <w:vAlign w:val="center"/>
                </w:tcPr>
                <w:p w14:paraId="15C7C43C">
                  <w:pPr>
                    <w:widowControl/>
                    <w:jc w:val="center"/>
                    <w:rPr>
                      <w:color w:val="auto"/>
                      <w:szCs w:val="21"/>
                      <w:highlight w:val="none"/>
                    </w:rPr>
                  </w:pPr>
                  <w:r>
                    <w:rPr>
                      <w:rFonts w:hint="eastAsia"/>
                      <w:color w:val="auto"/>
                      <w:szCs w:val="21"/>
                      <w:highlight w:val="none"/>
                    </w:rPr>
                    <w:t>符合</w:t>
                  </w:r>
                </w:p>
              </w:tc>
            </w:tr>
            <w:tr w14:paraId="58E1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7" w:type="pct"/>
                  <w:vMerge w:val="continue"/>
                  <w:vAlign w:val="center"/>
                </w:tcPr>
                <w:p w14:paraId="608587DA">
                  <w:pPr>
                    <w:widowControl/>
                    <w:jc w:val="center"/>
                    <w:rPr>
                      <w:color w:val="auto"/>
                      <w:szCs w:val="21"/>
                      <w:highlight w:val="none"/>
                    </w:rPr>
                  </w:pPr>
                </w:p>
              </w:tc>
              <w:tc>
                <w:tcPr>
                  <w:tcW w:w="499" w:type="pct"/>
                  <w:vMerge w:val="continue"/>
                  <w:vAlign w:val="center"/>
                </w:tcPr>
                <w:p w14:paraId="29067048">
                  <w:pPr>
                    <w:widowControl/>
                    <w:jc w:val="center"/>
                    <w:rPr>
                      <w:color w:val="auto"/>
                      <w:szCs w:val="21"/>
                      <w:highlight w:val="none"/>
                    </w:rPr>
                  </w:pPr>
                </w:p>
              </w:tc>
              <w:tc>
                <w:tcPr>
                  <w:tcW w:w="2091" w:type="pct"/>
                  <w:gridSpan w:val="2"/>
                  <w:vAlign w:val="center"/>
                </w:tcPr>
                <w:p w14:paraId="276AE1C1">
                  <w:pPr>
                    <w:widowControl/>
                    <w:jc w:val="center"/>
                    <w:rPr>
                      <w:color w:val="auto"/>
                      <w:szCs w:val="21"/>
                      <w:highlight w:val="none"/>
                    </w:rPr>
                  </w:pPr>
                  <w:r>
                    <w:rPr>
                      <w:color w:val="auto"/>
                      <w:szCs w:val="21"/>
                      <w:highlight w:val="none"/>
                    </w:rPr>
                    <w:t>第六条 涉及环境防护距离的工业企业或项目应通过选址或调整布局原则上将环境防护距离控制在园区边界或用地红线内，提前合理规划项目地块布置、预防环境风险。</w:t>
                  </w:r>
                </w:p>
              </w:tc>
              <w:tc>
                <w:tcPr>
                  <w:tcW w:w="1460" w:type="pct"/>
                  <w:vAlign w:val="center"/>
                </w:tcPr>
                <w:p w14:paraId="580E3080">
                  <w:pPr>
                    <w:widowControl/>
                    <w:jc w:val="center"/>
                    <w:rPr>
                      <w:color w:val="auto"/>
                      <w:szCs w:val="21"/>
                      <w:highlight w:val="none"/>
                    </w:rPr>
                  </w:pPr>
                  <w:r>
                    <w:rPr>
                      <w:rFonts w:hint="eastAsia"/>
                      <w:color w:val="auto"/>
                      <w:szCs w:val="21"/>
                      <w:highlight w:val="none"/>
                    </w:rPr>
                    <w:t>本项目无须设置环境防护距离。</w:t>
                  </w:r>
                </w:p>
              </w:tc>
              <w:tc>
                <w:tcPr>
                  <w:tcW w:w="531" w:type="pct"/>
                  <w:vAlign w:val="center"/>
                </w:tcPr>
                <w:p w14:paraId="1ABBE094">
                  <w:pPr>
                    <w:widowControl/>
                    <w:jc w:val="center"/>
                    <w:rPr>
                      <w:color w:val="auto"/>
                      <w:szCs w:val="21"/>
                      <w:highlight w:val="none"/>
                    </w:rPr>
                  </w:pPr>
                  <w:r>
                    <w:rPr>
                      <w:rFonts w:hint="eastAsia"/>
                      <w:color w:val="auto"/>
                      <w:szCs w:val="21"/>
                      <w:highlight w:val="none"/>
                    </w:rPr>
                    <w:t>符合</w:t>
                  </w:r>
                </w:p>
              </w:tc>
            </w:tr>
            <w:tr w14:paraId="1399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7" w:type="pct"/>
                  <w:vMerge w:val="continue"/>
                  <w:vAlign w:val="center"/>
                </w:tcPr>
                <w:p w14:paraId="0EA29FBA">
                  <w:pPr>
                    <w:widowControl/>
                    <w:jc w:val="center"/>
                    <w:rPr>
                      <w:color w:val="auto"/>
                      <w:szCs w:val="21"/>
                      <w:highlight w:val="none"/>
                    </w:rPr>
                  </w:pPr>
                </w:p>
              </w:tc>
              <w:tc>
                <w:tcPr>
                  <w:tcW w:w="499" w:type="pct"/>
                  <w:vMerge w:val="continue"/>
                  <w:vAlign w:val="center"/>
                </w:tcPr>
                <w:p w14:paraId="57153D61">
                  <w:pPr>
                    <w:widowControl/>
                    <w:jc w:val="center"/>
                    <w:rPr>
                      <w:color w:val="auto"/>
                      <w:szCs w:val="21"/>
                      <w:highlight w:val="none"/>
                    </w:rPr>
                  </w:pPr>
                </w:p>
              </w:tc>
              <w:tc>
                <w:tcPr>
                  <w:tcW w:w="2091" w:type="pct"/>
                  <w:gridSpan w:val="2"/>
                  <w:vAlign w:val="center"/>
                </w:tcPr>
                <w:p w14:paraId="407C43AF">
                  <w:pPr>
                    <w:widowControl/>
                    <w:jc w:val="center"/>
                    <w:rPr>
                      <w:color w:val="auto"/>
                      <w:szCs w:val="21"/>
                      <w:highlight w:val="none"/>
                    </w:rPr>
                  </w:pPr>
                  <w:r>
                    <w:rPr>
                      <w:color w:val="auto"/>
                      <w:szCs w:val="21"/>
                      <w:highlight w:val="none"/>
                    </w:rPr>
                    <w:t>第七条 有效规范空间开发秩序，合理控制空间开发强度，切实将各类开发活动限制在资源环境承载能力之内，为构建高效协调可持续的国土空间开发格局奠定坚实基础。</w:t>
                  </w:r>
                </w:p>
              </w:tc>
              <w:tc>
                <w:tcPr>
                  <w:tcW w:w="1460" w:type="pct"/>
                  <w:vAlign w:val="center"/>
                </w:tcPr>
                <w:p w14:paraId="50980D28">
                  <w:pPr>
                    <w:widowControl/>
                    <w:jc w:val="center"/>
                    <w:rPr>
                      <w:color w:val="auto"/>
                      <w:szCs w:val="21"/>
                      <w:highlight w:val="none"/>
                    </w:rPr>
                  </w:pPr>
                  <w:r>
                    <w:rPr>
                      <w:rFonts w:hint="eastAsia"/>
                      <w:color w:val="auto"/>
                      <w:szCs w:val="21"/>
                      <w:highlight w:val="none"/>
                    </w:rPr>
                    <w:t>本项目位于工业用地</w:t>
                  </w:r>
                </w:p>
              </w:tc>
              <w:tc>
                <w:tcPr>
                  <w:tcW w:w="531" w:type="pct"/>
                  <w:vAlign w:val="center"/>
                </w:tcPr>
                <w:p w14:paraId="0A74D57E">
                  <w:pPr>
                    <w:widowControl/>
                    <w:jc w:val="center"/>
                    <w:rPr>
                      <w:color w:val="auto"/>
                      <w:szCs w:val="21"/>
                      <w:highlight w:val="none"/>
                    </w:rPr>
                  </w:pPr>
                  <w:r>
                    <w:rPr>
                      <w:rFonts w:hint="eastAsia"/>
                      <w:color w:val="auto"/>
                      <w:szCs w:val="21"/>
                      <w:highlight w:val="none"/>
                    </w:rPr>
                    <w:t>符合</w:t>
                  </w:r>
                </w:p>
              </w:tc>
            </w:tr>
            <w:tr w14:paraId="0D14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417" w:type="pct"/>
                  <w:vMerge w:val="continue"/>
                  <w:vAlign w:val="center"/>
                </w:tcPr>
                <w:p w14:paraId="65933091">
                  <w:pPr>
                    <w:widowControl/>
                    <w:jc w:val="center"/>
                    <w:rPr>
                      <w:color w:val="auto"/>
                      <w:szCs w:val="21"/>
                      <w:highlight w:val="none"/>
                    </w:rPr>
                  </w:pPr>
                </w:p>
              </w:tc>
              <w:tc>
                <w:tcPr>
                  <w:tcW w:w="499" w:type="pct"/>
                  <w:vMerge w:val="restart"/>
                  <w:vAlign w:val="center"/>
                </w:tcPr>
                <w:p w14:paraId="77B12395">
                  <w:pPr>
                    <w:widowControl/>
                    <w:jc w:val="center"/>
                    <w:rPr>
                      <w:color w:val="auto"/>
                      <w:szCs w:val="21"/>
                      <w:highlight w:val="none"/>
                    </w:rPr>
                  </w:pPr>
                  <w:r>
                    <w:rPr>
                      <w:color w:val="auto"/>
                      <w:szCs w:val="21"/>
                      <w:highlight w:val="none"/>
                    </w:rPr>
                    <w:t>污染物排放管控</w:t>
                  </w:r>
                </w:p>
              </w:tc>
              <w:tc>
                <w:tcPr>
                  <w:tcW w:w="2091" w:type="pct"/>
                  <w:gridSpan w:val="2"/>
                  <w:vAlign w:val="center"/>
                </w:tcPr>
                <w:p w14:paraId="3C08582F">
                  <w:pPr>
                    <w:widowControl/>
                    <w:jc w:val="center"/>
                    <w:rPr>
                      <w:color w:val="auto"/>
                      <w:szCs w:val="21"/>
                      <w:highlight w:val="none"/>
                    </w:rPr>
                  </w:pPr>
                  <w:r>
                    <w:rPr>
                      <w:color w:val="auto"/>
                      <w:szCs w:val="21"/>
                      <w:highlight w:val="none"/>
                    </w:rPr>
                    <w:t>第八条 新建石化、煤化工、燃煤发电</w:t>
                  </w:r>
                  <w:r>
                    <w:rPr>
                      <w:rFonts w:hint="eastAsia"/>
                      <w:color w:val="auto"/>
                      <w:szCs w:val="21"/>
                      <w:highlight w:val="none"/>
                    </w:rPr>
                    <w:t>（</w:t>
                  </w:r>
                  <w:r>
                    <w:rPr>
                      <w:color w:val="auto"/>
                      <w:szCs w:val="21"/>
                      <w:highlight w:val="none"/>
                    </w:rPr>
                    <w:t>含热电</w:t>
                  </w:r>
                  <w:r>
                    <w:rPr>
                      <w:rFonts w:hint="eastAsia"/>
                      <w:color w:val="auto"/>
                      <w:szCs w:val="21"/>
                      <w:highlight w:val="none"/>
                    </w:rPr>
                    <w:t>）</w:t>
                  </w:r>
                  <w:r>
                    <w:rPr>
                      <w:color w:val="auto"/>
                      <w:szCs w:val="21"/>
                      <w:highlight w:val="none"/>
                    </w:rPr>
                    <w:t>、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1460" w:type="pct"/>
                  <w:vAlign w:val="center"/>
                </w:tcPr>
                <w:p w14:paraId="3796604B">
                  <w:pPr>
                    <w:widowControl/>
                    <w:jc w:val="center"/>
                    <w:rPr>
                      <w:color w:val="auto"/>
                      <w:szCs w:val="21"/>
                      <w:highlight w:val="none"/>
                    </w:rPr>
                  </w:pPr>
                  <w:r>
                    <w:rPr>
                      <w:rFonts w:hint="eastAsia"/>
                      <w:color w:val="auto"/>
                      <w:szCs w:val="21"/>
                      <w:highlight w:val="none"/>
                    </w:rPr>
                    <w:t>本项目不属于</w:t>
                  </w:r>
                  <w:r>
                    <w:rPr>
                      <w:color w:val="auto"/>
                      <w:szCs w:val="21"/>
                      <w:highlight w:val="none"/>
                    </w:rPr>
                    <w:t>新建石化、煤化工、燃煤发电</w:t>
                  </w:r>
                  <w:r>
                    <w:rPr>
                      <w:rFonts w:hint="eastAsia"/>
                      <w:color w:val="auto"/>
                      <w:szCs w:val="21"/>
                      <w:highlight w:val="none"/>
                    </w:rPr>
                    <w:t>（</w:t>
                  </w:r>
                  <w:r>
                    <w:rPr>
                      <w:color w:val="auto"/>
                      <w:szCs w:val="21"/>
                      <w:highlight w:val="none"/>
                    </w:rPr>
                    <w:t>含热电</w:t>
                  </w:r>
                  <w:r>
                    <w:rPr>
                      <w:rFonts w:hint="eastAsia"/>
                      <w:color w:val="auto"/>
                      <w:szCs w:val="21"/>
                      <w:highlight w:val="none"/>
                    </w:rPr>
                    <w:t>）</w:t>
                  </w:r>
                  <w:r>
                    <w:rPr>
                      <w:color w:val="auto"/>
                      <w:szCs w:val="21"/>
                      <w:highlight w:val="none"/>
                    </w:rPr>
                    <w:t>、钢铁、有色金属冶炼、制浆造纸行业</w:t>
                  </w:r>
                  <w:r>
                    <w:rPr>
                      <w:rFonts w:hint="eastAsia"/>
                      <w:color w:val="auto"/>
                      <w:szCs w:val="21"/>
                      <w:highlight w:val="none"/>
                    </w:rPr>
                    <w:t>及</w:t>
                  </w:r>
                  <w:r>
                    <w:rPr>
                      <w:color w:val="auto"/>
                      <w:szCs w:val="21"/>
                      <w:highlight w:val="none"/>
                    </w:rPr>
                    <w:t>钢铁、水泥熟料、平板玻璃、电解铝等行业</w:t>
                  </w:r>
                  <w:r>
                    <w:rPr>
                      <w:rFonts w:hint="eastAsia"/>
                      <w:color w:val="auto"/>
                      <w:szCs w:val="21"/>
                      <w:highlight w:val="none"/>
                    </w:rPr>
                    <w:t>；本项目不属于“两高”行业建设项目</w:t>
                  </w:r>
                </w:p>
              </w:tc>
              <w:tc>
                <w:tcPr>
                  <w:tcW w:w="531" w:type="pct"/>
                  <w:vAlign w:val="center"/>
                </w:tcPr>
                <w:p w14:paraId="2767A94B">
                  <w:pPr>
                    <w:widowControl/>
                    <w:jc w:val="center"/>
                    <w:rPr>
                      <w:color w:val="auto"/>
                      <w:szCs w:val="21"/>
                      <w:highlight w:val="none"/>
                    </w:rPr>
                  </w:pPr>
                  <w:r>
                    <w:rPr>
                      <w:rFonts w:hint="eastAsia"/>
                      <w:color w:val="auto"/>
                      <w:szCs w:val="21"/>
                      <w:highlight w:val="none"/>
                    </w:rPr>
                    <w:t>符合</w:t>
                  </w:r>
                </w:p>
              </w:tc>
            </w:tr>
            <w:tr w14:paraId="728D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417" w:type="pct"/>
                  <w:vMerge w:val="continue"/>
                  <w:vAlign w:val="center"/>
                </w:tcPr>
                <w:p w14:paraId="6C7DBB81">
                  <w:pPr>
                    <w:widowControl/>
                    <w:jc w:val="center"/>
                    <w:rPr>
                      <w:color w:val="auto"/>
                      <w:highlight w:val="none"/>
                    </w:rPr>
                  </w:pPr>
                </w:p>
              </w:tc>
              <w:tc>
                <w:tcPr>
                  <w:tcW w:w="499" w:type="pct"/>
                  <w:vMerge w:val="continue"/>
                  <w:vAlign w:val="center"/>
                </w:tcPr>
                <w:p w14:paraId="4B8395BF">
                  <w:pPr>
                    <w:widowControl/>
                    <w:jc w:val="center"/>
                    <w:rPr>
                      <w:color w:val="auto"/>
                      <w:highlight w:val="none"/>
                    </w:rPr>
                  </w:pPr>
                </w:p>
              </w:tc>
              <w:tc>
                <w:tcPr>
                  <w:tcW w:w="2091" w:type="pct"/>
                  <w:gridSpan w:val="2"/>
                  <w:vAlign w:val="center"/>
                </w:tcPr>
                <w:p w14:paraId="5FA5555D">
                  <w:pPr>
                    <w:widowControl/>
                    <w:jc w:val="center"/>
                    <w:rPr>
                      <w:color w:val="auto"/>
                      <w:szCs w:val="21"/>
                      <w:highlight w:val="none"/>
                    </w:rPr>
                  </w:pPr>
                  <w:r>
                    <w:rPr>
                      <w:color w:val="auto"/>
                      <w:szCs w:val="21"/>
                      <w:highlight w:val="none"/>
                    </w:rPr>
                    <w:t>第九条 严格落实国家及我市大气污染防控相关要求，对大气环境质量未达标地区，新建、改扩建项目实施更严格的污染物排放总量控制要求。</w:t>
                  </w:r>
                  <w:r>
                    <w:rPr>
                      <w:rFonts w:hint="eastAsia"/>
                      <w:color w:val="auto"/>
                      <w:szCs w:val="21"/>
                      <w:highlight w:val="none"/>
                    </w:rPr>
                    <w:t>严格</w:t>
                  </w:r>
                  <w:r>
                    <w:rPr>
                      <w:color w:val="auto"/>
                      <w:szCs w:val="21"/>
                      <w:highlight w:val="none"/>
                    </w:rPr>
                    <w:t>落实区域削减要求，所在区域、流域控制单元环境质量未达到国家</w:t>
                  </w:r>
                  <w:r>
                    <w:rPr>
                      <w:rFonts w:hint="eastAsia"/>
                      <w:color w:val="auto"/>
                      <w:szCs w:val="21"/>
                      <w:highlight w:val="none"/>
                    </w:rPr>
                    <w:t>或</w:t>
                  </w:r>
                  <w:r>
                    <w:rPr>
                      <w:color w:val="auto"/>
                      <w:szCs w:val="21"/>
                      <w:highlight w:val="none"/>
                    </w:rPr>
                    <w:t>地方环境质量标准的，建设项目需提出有效的区域削减方案，主要污染物</w:t>
                  </w:r>
                  <w:r>
                    <w:rPr>
                      <w:rFonts w:hint="eastAsia"/>
                      <w:color w:val="auto"/>
                      <w:szCs w:val="21"/>
                      <w:highlight w:val="none"/>
                    </w:rPr>
                    <w:t>实行区域倍量削减。</w:t>
                  </w:r>
                </w:p>
              </w:tc>
              <w:tc>
                <w:tcPr>
                  <w:tcW w:w="1460" w:type="pct"/>
                  <w:vAlign w:val="center"/>
                </w:tcPr>
                <w:p w14:paraId="13A74365">
                  <w:pPr>
                    <w:widowControl/>
                    <w:jc w:val="center"/>
                    <w:rPr>
                      <w:color w:val="auto"/>
                      <w:szCs w:val="21"/>
                      <w:highlight w:val="none"/>
                    </w:rPr>
                  </w:pPr>
                  <w:r>
                    <w:rPr>
                      <w:rFonts w:hint="eastAsia"/>
                      <w:color w:val="auto"/>
                      <w:szCs w:val="21"/>
                      <w:highlight w:val="none"/>
                    </w:rPr>
                    <w:t>合川区属于不达标区，</w:t>
                  </w:r>
                  <w:r>
                    <w:rPr>
                      <w:color w:val="auto"/>
                      <w:kern w:val="0"/>
                      <w:szCs w:val="21"/>
                      <w:highlight w:val="none"/>
                    </w:rPr>
                    <w:t>本项目属于</w:t>
                  </w:r>
                  <w:r>
                    <w:rPr>
                      <w:rFonts w:hint="eastAsia" w:ascii="宋体" w:hAnsi="宋体" w:cs="宋体"/>
                      <w:bCs/>
                      <w:color w:val="auto"/>
                      <w:szCs w:val="21"/>
                      <w:highlight w:val="none"/>
                    </w:rPr>
                    <w:t>淀粉及淀粉制品制造</w:t>
                  </w:r>
                  <w:r>
                    <w:rPr>
                      <w:rFonts w:hint="eastAsia"/>
                      <w:color w:val="auto"/>
                      <w:kern w:val="0"/>
                      <w:szCs w:val="21"/>
                      <w:highlight w:val="none"/>
                    </w:rPr>
                    <w:t>项目</w:t>
                  </w:r>
                  <w:r>
                    <w:rPr>
                      <w:color w:val="auto"/>
                      <w:kern w:val="0"/>
                      <w:szCs w:val="21"/>
                      <w:highlight w:val="none"/>
                    </w:rPr>
                    <w:t>，</w:t>
                  </w:r>
                  <w:r>
                    <w:rPr>
                      <w:rFonts w:hint="eastAsia"/>
                      <w:color w:val="auto"/>
                      <w:kern w:val="0"/>
                      <w:szCs w:val="21"/>
                      <w:highlight w:val="none"/>
                    </w:rPr>
                    <w:t>废水、废气能够达标排放，</w:t>
                  </w:r>
                  <w:r>
                    <w:rPr>
                      <w:color w:val="auto"/>
                      <w:kern w:val="0"/>
                      <w:szCs w:val="21"/>
                      <w:highlight w:val="none"/>
                    </w:rPr>
                    <w:t>满足规划环评核定的总量管控限值</w:t>
                  </w:r>
                  <w:r>
                    <w:rPr>
                      <w:rFonts w:hint="eastAsia"/>
                      <w:color w:val="auto"/>
                      <w:kern w:val="0"/>
                      <w:szCs w:val="21"/>
                      <w:highlight w:val="none"/>
                    </w:rPr>
                    <w:t>。</w:t>
                  </w:r>
                </w:p>
              </w:tc>
              <w:tc>
                <w:tcPr>
                  <w:tcW w:w="531" w:type="pct"/>
                  <w:vAlign w:val="center"/>
                </w:tcPr>
                <w:p w14:paraId="297DB535">
                  <w:pPr>
                    <w:widowControl/>
                    <w:jc w:val="center"/>
                    <w:rPr>
                      <w:color w:val="auto"/>
                      <w:szCs w:val="21"/>
                      <w:highlight w:val="none"/>
                    </w:rPr>
                  </w:pPr>
                  <w:r>
                    <w:rPr>
                      <w:rFonts w:hint="eastAsia"/>
                      <w:color w:val="auto"/>
                      <w:szCs w:val="21"/>
                      <w:highlight w:val="none"/>
                    </w:rPr>
                    <w:t>符合</w:t>
                  </w:r>
                </w:p>
              </w:tc>
            </w:tr>
            <w:tr w14:paraId="76E4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417" w:type="pct"/>
                  <w:vMerge w:val="continue"/>
                  <w:vAlign w:val="center"/>
                </w:tcPr>
                <w:p w14:paraId="48AB514C">
                  <w:pPr>
                    <w:widowControl/>
                    <w:jc w:val="center"/>
                    <w:rPr>
                      <w:color w:val="auto"/>
                      <w:szCs w:val="21"/>
                      <w:highlight w:val="none"/>
                    </w:rPr>
                  </w:pPr>
                </w:p>
              </w:tc>
              <w:tc>
                <w:tcPr>
                  <w:tcW w:w="499" w:type="pct"/>
                  <w:vMerge w:val="continue"/>
                  <w:vAlign w:val="center"/>
                </w:tcPr>
                <w:p w14:paraId="43C5D204">
                  <w:pPr>
                    <w:widowControl/>
                    <w:jc w:val="center"/>
                    <w:rPr>
                      <w:color w:val="auto"/>
                      <w:szCs w:val="21"/>
                      <w:highlight w:val="none"/>
                    </w:rPr>
                  </w:pPr>
                </w:p>
              </w:tc>
              <w:tc>
                <w:tcPr>
                  <w:tcW w:w="2091" w:type="pct"/>
                  <w:gridSpan w:val="2"/>
                  <w:vAlign w:val="center"/>
                </w:tcPr>
                <w:p w14:paraId="066F9CFA">
                  <w:pPr>
                    <w:widowControl/>
                    <w:jc w:val="center"/>
                    <w:rPr>
                      <w:color w:val="auto"/>
                      <w:szCs w:val="21"/>
                      <w:highlight w:val="none"/>
                    </w:rPr>
                  </w:pPr>
                  <w:r>
                    <w:rPr>
                      <w:color w:val="auto"/>
                      <w:szCs w:val="21"/>
                      <w:highlight w:val="none"/>
                    </w:rPr>
                    <w:t>第十条 在重点行业</w:t>
                  </w:r>
                  <w:r>
                    <w:rPr>
                      <w:rFonts w:hint="eastAsia"/>
                      <w:color w:val="auto"/>
                      <w:szCs w:val="21"/>
                      <w:highlight w:val="none"/>
                    </w:rPr>
                    <w:t>（</w:t>
                  </w:r>
                  <w:r>
                    <w:rPr>
                      <w:color w:val="auto"/>
                      <w:szCs w:val="21"/>
                      <w:highlight w:val="none"/>
                    </w:rPr>
                    <w:t>石化、化工、工业涂装、包装印刷、油品储运销等</w:t>
                  </w:r>
                  <w:r>
                    <w:rPr>
                      <w:rFonts w:hint="eastAsia"/>
                      <w:color w:val="auto"/>
                      <w:szCs w:val="21"/>
                      <w:highlight w:val="none"/>
                    </w:rPr>
                    <w:t>）</w:t>
                  </w:r>
                  <w:r>
                    <w:rPr>
                      <w:color w:val="auto"/>
                      <w:szCs w:val="21"/>
                      <w:highlight w:val="none"/>
                    </w:rPr>
                    <w:t>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460" w:type="pct"/>
                  <w:vAlign w:val="center"/>
                </w:tcPr>
                <w:p w14:paraId="7B65EA2E">
                  <w:pPr>
                    <w:widowControl/>
                    <w:jc w:val="center"/>
                    <w:rPr>
                      <w:color w:val="auto"/>
                      <w:szCs w:val="21"/>
                      <w:highlight w:val="none"/>
                    </w:rPr>
                  </w:pPr>
                  <w:r>
                    <w:rPr>
                      <w:rFonts w:hint="eastAsia"/>
                      <w:color w:val="auto"/>
                      <w:szCs w:val="21"/>
                      <w:highlight w:val="none"/>
                    </w:rPr>
                    <w:t>本项目不属于重点行业，不涉及挥发性有机物的排放。</w:t>
                  </w:r>
                </w:p>
              </w:tc>
              <w:tc>
                <w:tcPr>
                  <w:tcW w:w="531" w:type="pct"/>
                  <w:vAlign w:val="center"/>
                </w:tcPr>
                <w:p w14:paraId="7691AA53">
                  <w:pPr>
                    <w:widowControl/>
                    <w:jc w:val="center"/>
                    <w:rPr>
                      <w:color w:val="auto"/>
                      <w:szCs w:val="21"/>
                      <w:highlight w:val="none"/>
                    </w:rPr>
                  </w:pPr>
                  <w:r>
                    <w:rPr>
                      <w:rFonts w:hint="eastAsia"/>
                      <w:color w:val="auto"/>
                      <w:szCs w:val="21"/>
                      <w:highlight w:val="none"/>
                    </w:rPr>
                    <w:t>符合</w:t>
                  </w:r>
                </w:p>
              </w:tc>
            </w:tr>
            <w:tr w14:paraId="5BAF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417" w:type="pct"/>
                  <w:vMerge w:val="continue"/>
                  <w:vAlign w:val="center"/>
                </w:tcPr>
                <w:p w14:paraId="55F4C362">
                  <w:pPr>
                    <w:widowControl/>
                    <w:jc w:val="center"/>
                    <w:rPr>
                      <w:color w:val="auto"/>
                      <w:szCs w:val="21"/>
                      <w:highlight w:val="none"/>
                    </w:rPr>
                  </w:pPr>
                </w:p>
              </w:tc>
              <w:tc>
                <w:tcPr>
                  <w:tcW w:w="499" w:type="pct"/>
                  <w:vMerge w:val="continue"/>
                  <w:vAlign w:val="center"/>
                </w:tcPr>
                <w:p w14:paraId="0B5EDA53">
                  <w:pPr>
                    <w:widowControl/>
                    <w:jc w:val="center"/>
                    <w:rPr>
                      <w:color w:val="auto"/>
                      <w:szCs w:val="21"/>
                      <w:highlight w:val="none"/>
                    </w:rPr>
                  </w:pPr>
                </w:p>
              </w:tc>
              <w:tc>
                <w:tcPr>
                  <w:tcW w:w="2091" w:type="pct"/>
                  <w:gridSpan w:val="2"/>
                  <w:vAlign w:val="center"/>
                </w:tcPr>
                <w:p w14:paraId="23514214">
                  <w:pPr>
                    <w:widowControl/>
                    <w:jc w:val="center"/>
                    <w:rPr>
                      <w:color w:val="auto"/>
                      <w:szCs w:val="21"/>
                      <w:highlight w:val="none"/>
                    </w:rPr>
                  </w:pPr>
                  <w:r>
                    <w:rPr>
                      <w:rFonts w:hint="eastAsia" w:ascii="宋体" w:hAnsi="宋体" w:cs="宋体"/>
                      <w:color w:val="auto"/>
                      <w:szCs w:val="21"/>
                      <w:highlight w:val="none"/>
                      <w:shd w:val="clear" w:color="auto" w:fill="FFFFFF"/>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460" w:type="pct"/>
                  <w:vAlign w:val="center"/>
                </w:tcPr>
                <w:p w14:paraId="595DAC9C">
                  <w:pPr>
                    <w:adjustRightInd w:val="0"/>
                    <w:snapToGrid w:val="0"/>
                    <w:spacing w:line="300" w:lineRule="exact"/>
                    <w:jc w:val="center"/>
                    <w:rPr>
                      <w:color w:val="auto"/>
                      <w:szCs w:val="21"/>
                      <w:highlight w:val="none"/>
                    </w:rPr>
                  </w:pPr>
                  <w:r>
                    <w:rPr>
                      <w:rFonts w:hint="eastAsia"/>
                      <w:bCs/>
                      <w:color w:val="auto"/>
                      <w:highlight w:val="none"/>
                    </w:rPr>
                    <w:t>本项目产生的生活污水依托厨鼎食品公司厂区已建化粪池处理后排入</w:t>
                  </w:r>
                  <w:r>
                    <w:rPr>
                      <w:rFonts w:hint="eastAsia"/>
                      <w:color w:val="auto"/>
                      <w:highlight w:val="none"/>
                    </w:rPr>
                    <w:t>龙市镇工业污水处理厂深度处理达《城镇污水处理厂污染物排放标准》（GB18918-2002）一级A标准后排放；生产废水经自建污水处理设施处理达《淀粉工业水污染物排放限值》（GB25461-2010）表2中的间接排放标准后排入龙市镇工业污水处理厂，深度处理达《城镇污水处理厂污染物排放标准》（GB18918-2002）一级A标准后</w:t>
                  </w:r>
                  <w:r>
                    <w:rPr>
                      <w:rFonts w:hint="eastAsia"/>
                      <w:color w:val="auto"/>
                      <w:kern w:val="0"/>
                      <w:szCs w:val="21"/>
                      <w:highlight w:val="none"/>
                    </w:rPr>
                    <w:t>排放</w:t>
                  </w:r>
                  <w:r>
                    <w:rPr>
                      <w:rFonts w:hint="eastAsia"/>
                      <w:color w:val="auto"/>
                      <w:highlight w:val="none"/>
                    </w:rPr>
                    <w:t>。龙市镇工业污水处理厂已配备自动监测设备。</w:t>
                  </w:r>
                </w:p>
              </w:tc>
              <w:tc>
                <w:tcPr>
                  <w:tcW w:w="531" w:type="pct"/>
                  <w:vAlign w:val="center"/>
                </w:tcPr>
                <w:p w14:paraId="589A3CB4">
                  <w:pPr>
                    <w:widowControl/>
                    <w:jc w:val="center"/>
                    <w:rPr>
                      <w:color w:val="auto"/>
                      <w:szCs w:val="21"/>
                      <w:highlight w:val="none"/>
                    </w:rPr>
                  </w:pPr>
                  <w:r>
                    <w:rPr>
                      <w:rFonts w:hint="eastAsia"/>
                      <w:color w:val="auto"/>
                      <w:szCs w:val="21"/>
                      <w:highlight w:val="none"/>
                    </w:rPr>
                    <w:t>符合</w:t>
                  </w:r>
                </w:p>
              </w:tc>
            </w:tr>
            <w:tr w14:paraId="6C57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 w:hRule="atLeast"/>
              </w:trPr>
              <w:tc>
                <w:tcPr>
                  <w:tcW w:w="417" w:type="pct"/>
                  <w:vMerge w:val="continue"/>
                  <w:vAlign w:val="center"/>
                </w:tcPr>
                <w:p w14:paraId="5011092E">
                  <w:pPr>
                    <w:widowControl/>
                    <w:jc w:val="center"/>
                    <w:rPr>
                      <w:color w:val="auto"/>
                      <w:szCs w:val="21"/>
                      <w:highlight w:val="none"/>
                    </w:rPr>
                  </w:pPr>
                </w:p>
              </w:tc>
              <w:tc>
                <w:tcPr>
                  <w:tcW w:w="499" w:type="pct"/>
                  <w:vMerge w:val="continue"/>
                  <w:vAlign w:val="center"/>
                </w:tcPr>
                <w:p w14:paraId="353A56D3">
                  <w:pPr>
                    <w:widowControl/>
                    <w:jc w:val="center"/>
                    <w:rPr>
                      <w:color w:val="auto"/>
                      <w:szCs w:val="21"/>
                      <w:highlight w:val="none"/>
                    </w:rPr>
                  </w:pPr>
                </w:p>
              </w:tc>
              <w:tc>
                <w:tcPr>
                  <w:tcW w:w="2091" w:type="pct"/>
                  <w:gridSpan w:val="2"/>
                  <w:vAlign w:val="center"/>
                </w:tcPr>
                <w:p w14:paraId="00AA3C57">
                  <w:pPr>
                    <w:widowControl/>
                    <w:jc w:val="center"/>
                    <w:rPr>
                      <w:color w:val="auto"/>
                      <w:szCs w:val="21"/>
                      <w:highlight w:val="none"/>
                    </w:rPr>
                  </w:pPr>
                  <w:r>
                    <w:rPr>
                      <w:color w:val="auto"/>
                      <w:szCs w:val="21"/>
                      <w:highlight w:val="none"/>
                    </w:rPr>
                    <w:t>第十二条 推进乡镇生活污水处理设施达标改造。新建城市生活污水处理</w:t>
                  </w:r>
                  <w:r>
                    <w:rPr>
                      <w:rFonts w:hint="eastAsia"/>
                      <w:color w:val="auto"/>
                      <w:szCs w:val="21"/>
                      <w:highlight w:val="none"/>
                    </w:rPr>
                    <w:t>厂</w:t>
                  </w:r>
                  <w:r>
                    <w:rPr>
                      <w:color w:val="auto"/>
                      <w:szCs w:val="21"/>
                      <w:highlight w:val="none"/>
                    </w:rPr>
                    <w:t>全部按照一级A标及以上排放标准设计、施工、验收，建制乡镇生活污水处理设施出水水质不得低于一级B标排放标准</w:t>
                  </w:r>
                  <w:r>
                    <w:rPr>
                      <w:rFonts w:hint="eastAsia"/>
                      <w:color w:val="auto"/>
                      <w:szCs w:val="21"/>
                      <w:highlight w:val="none"/>
                    </w:rPr>
                    <w:t>；</w:t>
                  </w:r>
                  <w:r>
                    <w:rPr>
                      <w:color w:val="auto"/>
                      <w:szCs w:val="21"/>
                      <w:highlight w:val="none"/>
                    </w:rPr>
                    <w:t>对现有截留制排水管网实施雨污分流改造，针对无法彻底雨污分流的老城区，尊重现实合理保留截留制区域，合理提高截留倍数</w:t>
                  </w:r>
                  <w:r>
                    <w:rPr>
                      <w:rFonts w:hint="eastAsia"/>
                      <w:color w:val="auto"/>
                      <w:szCs w:val="21"/>
                      <w:highlight w:val="none"/>
                    </w:rPr>
                    <w:t>；</w:t>
                  </w:r>
                  <w:r>
                    <w:rPr>
                      <w:color w:val="auto"/>
                      <w:szCs w:val="21"/>
                      <w:highlight w:val="none"/>
                    </w:rPr>
                    <w:t>对新建的排水管网，全部按照雨污分流模式实施建设</w:t>
                  </w:r>
                  <w:r>
                    <w:rPr>
                      <w:rFonts w:hint="eastAsia"/>
                      <w:color w:val="auto"/>
                      <w:szCs w:val="21"/>
                      <w:highlight w:val="none"/>
                    </w:rPr>
                    <w:t>。</w:t>
                  </w:r>
                </w:p>
              </w:tc>
              <w:tc>
                <w:tcPr>
                  <w:tcW w:w="1460" w:type="pct"/>
                  <w:vAlign w:val="center"/>
                </w:tcPr>
                <w:p w14:paraId="7ABD6080">
                  <w:pPr>
                    <w:adjustRightInd w:val="0"/>
                    <w:snapToGrid w:val="0"/>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本项目为雨污分流制，</w:t>
                  </w:r>
                  <w:r>
                    <w:rPr>
                      <w:rFonts w:hint="eastAsia"/>
                      <w:bCs/>
                      <w:color w:val="auto"/>
                      <w:highlight w:val="none"/>
                    </w:rPr>
                    <w:t>生活污水依托厨鼎食品公司厂区已建化粪池处理后排入</w:t>
                  </w:r>
                  <w:r>
                    <w:rPr>
                      <w:rFonts w:hint="eastAsia"/>
                      <w:color w:val="auto"/>
                      <w:highlight w:val="none"/>
                    </w:rPr>
                    <w:t>龙市镇工业污水处理厂深度处理达《城镇污水处理厂污染物排放标准》（GB18918-2002）一级A标准后排放；生产废水经自建污水处理设施处理达《淀粉工业水污染物排放限值》（GB25461-2010）表2中的间接排放标准后排入龙市镇工业污水处理厂，深度处理达《城镇污水处理厂污染物排放标准》（GB18918-2002）一级A标准后</w:t>
                  </w:r>
                  <w:r>
                    <w:rPr>
                      <w:rFonts w:hint="eastAsia"/>
                      <w:color w:val="auto"/>
                      <w:kern w:val="0"/>
                      <w:szCs w:val="21"/>
                      <w:highlight w:val="none"/>
                    </w:rPr>
                    <w:t>排放。</w:t>
                  </w:r>
                </w:p>
              </w:tc>
              <w:tc>
                <w:tcPr>
                  <w:tcW w:w="531" w:type="pct"/>
                  <w:vAlign w:val="center"/>
                </w:tcPr>
                <w:p w14:paraId="379522EB">
                  <w:pPr>
                    <w:widowControl/>
                    <w:jc w:val="center"/>
                    <w:rPr>
                      <w:color w:val="auto"/>
                      <w:szCs w:val="21"/>
                      <w:highlight w:val="none"/>
                    </w:rPr>
                  </w:pPr>
                  <w:r>
                    <w:rPr>
                      <w:rFonts w:hint="eastAsia"/>
                      <w:color w:val="auto"/>
                      <w:szCs w:val="21"/>
                      <w:highlight w:val="none"/>
                    </w:rPr>
                    <w:t>符合</w:t>
                  </w:r>
                </w:p>
              </w:tc>
            </w:tr>
            <w:tr w14:paraId="13EC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417" w:type="pct"/>
                  <w:vMerge w:val="continue"/>
                  <w:vAlign w:val="center"/>
                </w:tcPr>
                <w:p w14:paraId="11B22ED4">
                  <w:pPr>
                    <w:widowControl/>
                    <w:jc w:val="center"/>
                    <w:rPr>
                      <w:color w:val="auto"/>
                      <w:szCs w:val="21"/>
                      <w:highlight w:val="none"/>
                    </w:rPr>
                  </w:pPr>
                </w:p>
              </w:tc>
              <w:tc>
                <w:tcPr>
                  <w:tcW w:w="499" w:type="pct"/>
                  <w:vMerge w:val="continue"/>
                  <w:vAlign w:val="center"/>
                </w:tcPr>
                <w:p w14:paraId="3A4BC85B">
                  <w:pPr>
                    <w:widowControl/>
                    <w:jc w:val="center"/>
                    <w:rPr>
                      <w:color w:val="auto"/>
                      <w:szCs w:val="21"/>
                      <w:highlight w:val="none"/>
                    </w:rPr>
                  </w:pPr>
                </w:p>
              </w:tc>
              <w:tc>
                <w:tcPr>
                  <w:tcW w:w="2091" w:type="pct"/>
                  <w:gridSpan w:val="2"/>
                  <w:vAlign w:val="center"/>
                </w:tcPr>
                <w:p w14:paraId="76BFD5EF">
                  <w:pPr>
                    <w:widowControl/>
                    <w:jc w:val="center"/>
                    <w:rPr>
                      <w:color w:val="auto"/>
                      <w:szCs w:val="21"/>
                      <w:highlight w:val="none"/>
                    </w:rPr>
                  </w:pPr>
                  <w:r>
                    <w:rPr>
                      <w:color w:val="auto"/>
                      <w:szCs w:val="21"/>
                      <w:highlight w:val="none"/>
                    </w:rPr>
                    <w:t>第十三条 新、改、扩建重点行业</w:t>
                  </w:r>
                  <w:r>
                    <w:rPr>
                      <w:rFonts w:hint="eastAsia"/>
                      <w:color w:val="auto"/>
                      <w:szCs w:val="21"/>
                      <w:highlight w:val="none"/>
                    </w:rPr>
                    <w:t>：</w:t>
                  </w:r>
                  <w:r>
                    <w:rPr>
                      <w:color w:val="auto"/>
                      <w:szCs w:val="21"/>
                      <w:highlight w:val="none"/>
                    </w:rPr>
                    <w:t>重有色金属矿采选业</w:t>
                  </w:r>
                  <w:r>
                    <w:rPr>
                      <w:rFonts w:hint="eastAsia"/>
                      <w:color w:val="auto"/>
                      <w:szCs w:val="21"/>
                      <w:highlight w:val="none"/>
                    </w:rPr>
                    <w:t>（</w:t>
                  </w:r>
                  <w:r>
                    <w:rPr>
                      <w:color w:val="auto"/>
                      <w:szCs w:val="21"/>
                      <w:highlight w:val="none"/>
                    </w:rPr>
                    <w:t>铜、铅锌、镍钴、锡、锑和汞矿采选</w:t>
                  </w:r>
                  <w:r>
                    <w:rPr>
                      <w:rFonts w:hint="eastAsia"/>
                      <w:color w:val="auto"/>
                      <w:szCs w:val="21"/>
                      <w:highlight w:val="none"/>
                    </w:rPr>
                    <w:t>）</w:t>
                  </w:r>
                  <w:r>
                    <w:rPr>
                      <w:color w:val="auto"/>
                      <w:szCs w:val="21"/>
                      <w:highlight w:val="none"/>
                    </w:rPr>
                    <w:t>、重有色金属冶炼业</w:t>
                  </w:r>
                  <w:r>
                    <w:rPr>
                      <w:rFonts w:hint="eastAsia"/>
                      <w:color w:val="auto"/>
                      <w:szCs w:val="21"/>
                      <w:highlight w:val="none"/>
                    </w:rPr>
                    <w:t>（</w:t>
                  </w:r>
                  <w:r>
                    <w:rPr>
                      <w:color w:val="auto"/>
                      <w:szCs w:val="21"/>
                      <w:highlight w:val="none"/>
                    </w:rPr>
                    <w:t>铜、铅锌、镍钴、锡、锑和汞冶炼</w:t>
                  </w:r>
                  <w:r>
                    <w:rPr>
                      <w:rFonts w:hint="eastAsia"/>
                      <w:color w:val="auto"/>
                      <w:szCs w:val="21"/>
                      <w:highlight w:val="none"/>
                    </w:rPr>
                    <w:t>）</w:t>
                  </w:r>
                  <w:r>
                    <w:rPr>
                      <w:color w:val="auto"/>
                      <w:szCs w:val="21"/>
                      <w:highlight w:val="none"/>
                    </w:rPr>
                    <w:t>、铅蓄电池制造业、皮革鞣制加工业、化学原料及化学制品制造业</w:t>
                  </w:r>
                  <w:r>
                    <w:rPr>
                      <w:rFonts w:hint="eastAsia"/>
                      <w:color w:val="auto"/>
                      <w:szCs w:val="21"/>
                      <w:highlight w:val="none"/>
                    </w:rPr>
                    <w:t>（</w:t>
                  </w:r>
                  <w:r>
                    <w:rPr>
                      <w:color w:val="auto"/>
                      <w:szCs w:val="21"/>
                      <w:highlight w:val="none"/>
                    </w:rPr>
                    <w:t>电石法聚氯乙烯制造、铬盐制造、以工业固废为原料的锌无机化合物工业等</w:t>
                  </w:r>
                  <w:r>
                    <w:rPr>
                      <w:rFonts w:hint="eastAsia"/>
                      <w:color w:val="auto"/>
                      <w:szCs w:val="21"/>
                      <w:highlight w:val="none"/>
                    </w:rPr>
                    <w:t>）</w:t>
                  </w:r>
                  <w:r>
                    <w:rPr>
                      <w:color w:val="auto"/>
                      <w:szCs w:val="21"/>
                      <w:highlight w:val="none"/>
                    </w:rPr>
                    <w:t>、电镀行业</w:t>
                  </w:r>
                  <w:r>
                    <w:rPr>
                      <w:rFonts w:hint="eastAsia"/>
                      <w:color w:val="auto"/>
                      <w:szCs w:val="21"/>
                      <w:highlight w:val="none"/>
                    </w:rPr>
                    <w:t>，</w:t>
                  </w:r>
                  <w:r>
                    <w:rPr>
                      <w:color w:val="auto"/>
                      <w:szCs w:val="21"/>
                      <w:highlight w:val="none"/>
                    </w:rPr>
                    <w:t>重点重金属污染物排放执行“等量替代”原则。</w:t>
                  </w:r>
                </w:p>
              </w:tc>
              <w:tc>
                <w:tcPr>
                  <w:tcW w:w="1460" w:type="pct"/>
                  <w:vAlign w:val="center"/>
                </w:tcPr>
                <w:p w14:paraId="245F668E">
                  <w:pPr>
                    <w:widowControl/>
                    <w:jc w:val="center"/>
                    <w:rPr>
                      <w:color w:val="auto"/>
                      <w:szCs w:val="21"/>
                      <w:highlight w:val="none"/>
                    </w:rPr>
                  </w:pPr>
                  <w:r>
                    <w:rPr>
                      <w:rFonts w:hint="eastAsia"/>
                      <w:color w:val="auto"/>
                      <w:szCs w:val="21"/>
                      <w:highlight w:val="none"/>
                    </w:rPr>
                    <w:t>本项目用鲜葛根生产葛根粉，属于</w:t>
                  </w:r>
                  <w:r>
                    <w:rPr>
                      <w:color w:val="auto"/>
                      <w:kern w:val="0"/>
                      <w:szCs w:val="21"/>
                      <w:highlight w:val="none"/>
                      <w:lang w:bidi="ar"/>
                    </w:rPr>
                    <w:t>农副食品加工业</w:t>
                  </w:r>
                  <w:r>
                    <w:rPr>
                      <w:rFonts w:hint="eastAsia"/>
                      <w:color w:val="auto"/>
                      <w:kern w:val="0"/>
                      <w:szCs w:val="21"/>
                      <w:highlight w:val="none"/>
                      <w:lang w:bidi="ar"/>
                    </w:rPr>
                    <w:t>，</w:t>
                  </w:r>
                  <w:r>
                    <w:rPr>
                      <w:rFonts w:hint="eastAsia"/>
                      <w:color w:val="auto"/>
                      <w:szCs w:val="21"/>
                      <w:highlight w:val="none"/>
                    </w:rPr>
                    <w:t>不属于上述重点行业。</w:t>
                  </w:r>
                </w:p>
              </w:tc>
              <w:tc>
                <w:tcPr>
                  <w:tcW w:w="531" w:type="pct"/>
                  <w:vAlign w:val="center"/>
                </w:tcPr>
                <w:p w14:paraId="555C994F">
                  <w:pPr>
                    <w:widowControl/>
                    <w:jc w:val="center"/>
                    <w:rPr>
                      <w:color w:val="auto"/>
                      <w:szCs w:val="21"/>
                      <w:highlight w:val="none"/>
                    </w:rPr>
                  </w:pPr>
                  <w:r>
                    <w:rPr>
                      <w:rFonts w:hint="eastAsia"/>
                      <w:color w:val="auto"/>
                      <w:szCs w:val="21"/>
                      <w:highlight w:val="none"/>
                    </w:rPr>
                    <w:t>符合</w:t>
                  </w:r>
                </w:p>
              </w:tc>
            </w:tr>
            <w:tr w14:paraId="49C1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417" w:type="pct"/>
                  <w:vMerge w:val="continue"/>
                  <w:vAlign w:val="center"/>
                </w:tcPr>
                <w:p w14:paraId="0AF0BF0A">
                  <w:pPr>
                    <w:widowControl/>
                    <w:jc w:val="center"/>
                    <w:rPr>
                      <w:color w:val="auto"/>
                      <w:highlight w:val="none"/>
                    </w:rPr>
                  </w:pPr>
                </w:p>
              </w:tc>
              <w:tc>
                <w:tcPr>
                  <w:tcW w:w="499" w:type="pct"/>
                  <w:vMerge w:val="continue"/>
                  <w:vAlign w:val="center"/>
                </w:tcPr>
                <w:p w14:paraId="522DE33B">
                  <w:pPr>
                    <w:widowControl/>
                    <w:jc w:val="center"/>
                    <w:rPr>
                      <w:color w:val="auto"/>
                      <w:highlight w:val="none"/>
                    </w:rPr>
                  </w:pPr>
                </w:p>
              </w:tc>
              <w:tc>
                <w:tcPr>
                  <w:tcW w:w="2091" w:type="pct"/>
                  <w:gridSpan w:val="2"/>
                  <w:vAlign w:val="center"/>
                </w:tcPr>
                <w:p w14:paraId="0DFDAD18">
                  <w:pPr>
                    <w:widowControl/>
                    <w:jc w:val="center"/>
                    <w:rPr>
                      <w:color w:val="auto"/>
                      <w:szCs w:val="21"/>
                      <w:highlight w:val="none"/>
                    </w:rPr>
                  </w:pPr>
                  <w:r>
                    <w:rPr>
                      <w:color w:val="auto"/>
                      <w:szCs w:val="21"/>
                      <w:highlight w:val="none"/>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460" w:type="pct"/>
                  <w:vAlign w:val="center"/>
                </w:tcPr>
                <w:p w14:paraId="20C869BC">
                  <w:pPr>
                    <w:widowControl/>
                    <w:rPr>
                      <w:color w:val="auto"/>
                      <w:szCs w:val="21"/>
                      <w:highlight w:val="none"/>
                    </w:rPr>
                  </w:pPr>
                  <w:r>
                    <w:rPr>
                      <w:rFonts w:hint="eastAsia"/>
                      <w:color w:val="auto"/>
                      <w:szCs w:val="21"/>
                      <w:highlight w:val="none"/>
                    </w:rPr>
                    <w:t>本项目</w:t>
                  </w:r>
                  <w:r>
                    <w:rPr>
                      <w:color w:val="auto"/>
                      <w:szCs w:val="21"/>
                      <w:highlight w:val="none"/>
                    </w:rPr>
                    <w:t>建立健全工业固体废物产生、收集、贮存、运输、利用、处置全过程的污染环境防治责任制度，建立工业固体废物管理台账。</w:t>
                  </w:r>
                </w:p>
              </w:tc>
              <w:tc>
                <w:tcPr>
                  <w:tcW w:w="531" w:type="pct"/>
                  <w:vAlign w:val="center"/>
                </w:tcPr>
                <w:p w14:paraId="17D5428F">
                  <w:pPr>
                    <w:widowControl/>
                    <w:jc w:val="center"/>
                    <w:rPr>
                      <w:color w:val="auto"/>
                      <w:szCs w:val="21"/>
                      <w:highlight w:val="none"/>
                    </w:rPr>
                  </w:pPr>
                  <w:r>
                    <w:rPr>
                      <w:rFonts w:hint="eastAsia"/>
                      <w:color w:val="auto"/>
                      <w:szCs w:val="21"/>
                      <w:highlight w:val="none"/>
                    </w:rPr>
                    <w:t>符合</w:t>
                  </w:r>
                </w:p>
              </w:tc>
            </w:tr>
            <w:tr w14:paraId="0F46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417" w:type="pct"/>
                  <w:vMerge w:val="continue"/>
                  <w:vAlign w:val="center"/>
                </w:tcPr>
                <w:p w14:paraId="7388512B">
                  <w:pPr>
                    <w:widowControl/>
                    <w:jc w:val="center"/>
                    <w:rPr>
                      <w:color w:val="auto"/>
                      <w:szCs w:val="21"/>
                      <w:highlight w:val="none"/>
                    </w:rPr>
                  </w:pPr>
                </w:p>
              </w:tc>
              <w:tc>
                <w:tcPr>
                  <w:tcW w:w="499" w:type="pct"/>
                  <w:vMerge w:val="continue"/>
                  <w:vAlign w:val="center"/>
                </w:tcPr>
                <w:p w14:paraId="5A7A2F14">
                  <w:pPr>
                    <w:widowControl/>
                    <w:jc w:val="center"/>
                    <w:rPr>
                      <w:color w:val="auto"/>
                      <w:szCs w:val="21"/>
                      <w:highlight w:val="none"/>
                    </w:rPr>
                  </w:pPr>
                </w:p>
              </w:tc>
              <w:tc>
                <w:tcPr>
                  <w:tcW w:w="2091" w:type="pct"/>
                  <w:gridSpan w:val="2"/>
                  <w:vAlign w:val="center"/>
                </w:tcPr>
                <w:p w14:paraId="6FC4444A">
                  <w:pPr>
                    <w:widowControl/>
                    <w:jc w:val="center"/>
                    <w:rPr>
                      <w:color w:val="auto"/>
                      <w:szCs w:val="21"/>
                      <w:highlight w:val="none"/>
                    </w:rPr>
                  </w:pPr>
                  <w:r>
                    <w:rPr>
                      <w:color w:val="auto"/>
                      <w:szCs w:val="21"/>
                      <w:highlight w:val="none"/>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460" w:type="pct"/>
                  <w:vAlign w:val="center"/>
                </w:tcPr>
                <w:p w14:paraId="78FC2148">
                  <w:pPr>
                    <w:widowControl/>
                    <w:jc w:val="center"/>
                    <w:rPr>
                      <w:color w:val="auto"/>
                      <w:szCs w:val="21"/>
                      <w:highlight w:val="none"/>
                    </w:rPr>
                  </w:pPr>
                  <w:r>
                    <w:rPr>
                      <w:rFonts w:hint="eastAsia"/>
                      <w:color w:val="auto"/>
                      <w:szCs w:val="21"/>
                      <w:highlight w:val="none"/>
                    </w:rPr>
                    <w:t>本项目所产生的生活垃圾经分类集中收集交由环卫清运</w:t>
                  </w:r>
                </w:p>
              </w:tc>
              <w:tc>
                <w:tcPr>
                  <w:tcW w:w="531" w:type="pct"/>
                  <w:vAlign w:val="center"/>
                </w:tcPr>
                <w:p w14:paraId="703B0044">
                  <w:pPr>
                    <w:widowControl/>
                    <w:jc w:val="center"/>
                    <w:rPr>
                      <w:color w:val="auto"/>
                      <w:szCs w:val="21"/>
                      <w:highlight w:val="none"/>
                    </w:rPr>
                  </w:pPr>
                  <w:r>
                    <w:rPr>
                      <w:rFonts w:hint="eastAsia"/>
                      <w:color w:val="auto"/>
                      <w:szCs w:val="21"/>
                      <w:highlight w:val="none"/>
                    </w:rPr>
                    <w:t>符合</w:t>
                  </w:r>
                </w:p>
              </w:tc>
            </w:tr>
            <w:tr w14:paraId="2376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17" w:type="pct"/>
                  <w:vMerge w:val="continue"/>
                  <w:vAlign w:val="center"/>
                </w:tcPr>
                <w:p w14:paraId="4B3E6C0D">
                  <w:pPr>
                    <w:widowControl/>
                    <w:jc w:val="center"/>
                    <w:rPr>
                      <w:color w:val="auto"/>
                      <w:szCs w:val="21"/>
                      <w:highlight w:val="none"/>
                    </w:rPr>
                  </w:pPr>
                </w:p>
              </w:tc>
              <w:tc>
                <w:tcPr>
                  <w:tcW w:w="499" w:type="pct"/>
                  <w:vMerge w:val="restart"/>
                  <w:vAlign w:val="center"/>
                </w:tcPr>
                <w:p w14:paraId="13514E59">
                  <w:pPr>
                    <w:widowControl/>
                    <w:jc w:val="center"/>
                    <w:rPr>
                      <w:color w:val="auto"/>
                      <w:szCs w:val="21"/>
                      <w:highlight w:val="none"/>
                    </w:rPr>
                  </w:pPr>
                  <w:r>
                    <w:rPr>
                      <w:color w:val="auto"/>
                      <w:szCs w:val="21"/>
                      <w:highlight w:val="none"/>
                    </w:rPr>
                    <w:t>环境风险防控</w:t>
                  </w:r>
                </w:p>
              </w:tc>
              <w:tc>
                <w:tcPr>
                  <w:tcW w:w="2091" w:type="pct"/>
                  <w:gridSpan w:val="2"/>
                  <w:vAlign w:val="center"/>
                </w:tcPr>
                <w:p w14:paraId="1EEB3330">
                  <w:pPr>
                    <w:widowControl/>
                    <w:jc w:val="center"/>
                    <w:rPr>
                      <w:color w:val="auto"/>
                      <w:szCs w:val="21"/>
                      <w:highlight w:val="none"/>
                    </w:rPr>
                  </w:pPr>
                  <w:r>
                    <w:rPr>
                      <w:color w:val="auto"/>
                      <w:szCs w:val="21"/>
                      <w:highlight w:val="none"/>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460" w:type="pct"/>
                  <w:vAlign w:val="center"/>
                </w:tcPr>
                <w:p w14:paraId="79ED518A">
                  <w:pPr>
                    <w:pStyle w:val="5"/>
                    <w:rPr>
                      <w:color w:val="auto"/>
                      <w:sz w:val="21"/>
                      <w:szCs w:val="21"/>
                      <w:highlight w:val="none"/>
                    </w:rPr>
                  </w:pPr>
                  <w:r>
                    <w:rPr>
                      <w:rFonts w:hint="eastAsia"/>
                      <w:color w:val="auto"/>
                      <w:sz w:val="21"/>
                      <w:szCs w:val="16"/>
                      <w:highlight w:val="none"/>
                    </w:rPr>
                    <w:t>本项目位于龙市镇工业组团，不涉及危化品和危险工艺，不产生危险固体废物，发生突发环境事件概率较小。</w:t>
                  </w:r>
                </w:p>
              </w:tc>
              <w:tc>
                <w:tcPr>
                  <w:tcW w:w="531" w:type="pct"/>
                  <w:vAlign w:val="center"/>
                </w:tcPr>
                <w:p w14:paraId="53BE5FE6">
                  <w:pPr>
                    <w:widowControl/>
                    <w:jc w:val="center"/>
                    <w:rPr>
                      <w:color w:val="auto"/>
                      <w:szCs w:val="21"/>
                      <w:highlight w:val="none"/>
                    </w:rPr>
                  </w:pPr>
                  <w:r>
                    <w:rPr>
                      <w:rFonts w:hint="eastAsia"/>
                      <w:color w:val="auto"/>
                      <w:szCs w:val="21"/>
                      <w:highlight w:val="none"/>
                    </w:rPr>
                    <w:t>符合</w:t>
                  </w:r>
                </w:p>
              </w:tc>
            </w:tr>
            <w:tr w14:paraId="7207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17" w:type="pct"/>
                  <w:vMerge w:val="continue"/>
                  <w:vAlign w:val="center"/>
                </w:tcPr>
                <w:p w14:paraId="5339034A">
                  <w:pPr>
                    <w:widowControl/>
                    <w:jc w:val="center"/>
                    <w:rPr>
                      <w:color w:val="auto"/>
                      <w:highlight w:val="none"/>
                    </w:rPr>
                  </w:pPr>
                </w:p>
              </w:tc>
              <w:tc>
                <w:tcPr>
                  <w:tcW w:w="499" w:type="pct"/>
                  <w:vMerge w:val="continue"/>
                  <w:vAlign w:val="center"/>
                </w:tcPr>
                <w:p w14:paraId="0072551D">
                  <w:pPr>
                    <w:widowControl/>
                    <w:jc w:val="center"/>
                    <w:rPr>
                      <w:color w:val="auto"/>
                      <w:highlight w:val="none"/>
                    </w:rPr>
                  </w:pPr>
                </w:p>
              </w:tc>
              <w:tc>
                <w:tcPr>
                  <w:tcW w:w="2091" w:type="pct"/>
                  <w:gridSpan w:val="2"/>
                  <w:vAlign w:val="center"/>
                </w:tcPr>
                <w:p w14:paraId="1DD626BF">
                  <w:pPr>
                    <w:widowControl/>
                    <w:jc w:val="center"/>
                    <w:rPr>
                      <w:color w:val="auto"/>
                      <w:szCs w:val="21"/>
                      <w:highlight w:val="none"/>
                    </w:rPr>
                  </w:pPr>
                  <w:r>
                    <w:rPr>
                      <w:color w:val="auto"/>
                      <w:szCs w:val="21"/>
                      <w:highlight w:val="none"/>
                    </w:rPr>
                    <w:t>第十七条 强化化工园区涉水突发环境事件四级环境风险防范体系建设。持续推进重点化工园区</w:t>
                  </w:r>
                  <w:r>
                    <w:rPr>
                      <w:rFonts w:hint="eastAsia"/>
                      <w:color w:val="auto"/>
                      <w:szCs w:val="21"/>
                      <w:highlight w:val="none"/>
                    </w:rPr>
                    <w:t>（</w:t>
                  </w:r>
                  <w:r>
                    <w:rPr>
                      <w:color w:val="auto"/>
                      <w:szCs w:val="21"/>
                      <w:highlight w:val="none"/>
                    </w:rPr>
                    <w:t>化工集中区</w:t>
                  </w:r>
                  <w:r>
                    <w:rPr>
                      <w:rFonts w:hint="eastAsia"/>
                      <w:color w:val="auto"/>
                      <w:szCs w:val="21"/>
                      <w:highlight w:val="none"/>
                    </w:rPr>
                    <w:t>）</w:t>
                  </w:r>
                  <w:r>
                    <w:rPr>
                      <w:color w:val="auto"/>
                      <w:szCs w:val="21"/>
                      <w:highlight w:val="none"/>
                    </w:rPr>
                    <w:t>建设有毒有害气体监测预警体系和水质生物毒性预警体系。</w:t>
                  </w:r>
                </w:p>
              </w:tc>
              <w:tc>
                <w:tcPr>
                  <w:tcW w:w="1460" w:type="pct"/>
                  <w:vAlign w:val="center"/>
                </w:tcPr>
                <w:p w14:paraId="7FF1C4B8">
                  <w:pPr>
                    <w:widowControl/>
                    <w:jc w:val="center"/>
                    <w:rPr>
                      <w:color w:val="auto"/>
                      <w:szCs w:val="21"/>
                      <w:highlight w:val="none"/>
                    </w:rPr>
                  </w:pPr>
                  <w:r>
                    <w:rPr>
                      <w:rFonts w:hint="eastAsia"/>
                      <w:color w:val="auto"/>
                      <w:szCs w:val="21"/>
                      <w:highlight w:val="none"/>
                    </w:rPr>
                    <w:t>本项目不涉及</w:t>
                  </w:r>
                  <w:r>
                    <w:rPr>
                      <w:color w:val="auto"/>
                      <w:szCs w:val="21"/>
                      <w:highlight w:val="none"/>
                    </w:rPr>
                    <w:t>有毒有害气体</w:t>
                  </w:r>
                  <w:r>
                    <w:rPr>
                      <w:rFonts w:hint="eastAsia"/>
                      <w:color w:val="auto"/>
                      <w:szCs w:val="21"/>
                      <w:highlight w:val="none"/>
                    </w:rPr>
                    <w:t>排放及废水的直接排放。</w:t>
                  </w:r>
                </w:p>
              </w:tc>
              <w:tc>
                <w:tcPr>
                  <w:tcW w:w="531" w:type="pct"/>
                  <w:vAlign w:val="center"/>
                </w:tcPr>
                <w:p w14:paraId="45E865EF">
                  <w:pPr>
                    <w:widowControl/>
                    <w:jc w:val="center"/>
                    <w:rPr>
                      <w:color w:val="auto"/>
                      <w:szCs w:val="21"/>
                      <w:highlight w:val="none"/>
                    </w:rPr>
                  </w:pPr>
                  <w:r>
                    <w:rPr>
                      <w:rFonts w:hint="eastAsia"/>
                      <w:color w:val="auto"/>
                      <w:szCs w:val="21"/>
                      <w:highlight w:val="none"/>
                    </w:rPr>
                    <w:t>符合</w:t>
                  </w:r>
                </w:p>
              </w:tc>
            </w:tr>
            <w:tr w14:paraId="5DD3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417" w:type="pct"/>
                  <w:vMerge w:val="continue"/>
                  <w:vAlign w:val="center"/>
                </w:tcPr>
                <w:p w14:paraId="3AED3001">
                  <w:pPr>
                    <w:widowControl/>
                    <w:jc w:val="center"/>
                    <w:rPr>
                      <w:color w:val="auto"/>
                      <w:szCs w:val="21"/>
                      <w:highlight w:val="none"/>
                    </w:rPr>
                  </w:pPr>
                </w:p>
              </w:tc>
              <w:tc>
                <w:tcPr>
                  <w:tcW w:w="499" w:type="pct"/>
                  <w:vMerge w:val="restart"/>
                  <w:vAlign w:val="center"/>
                </w:tcPr>
                <w:p w14:paraId="068A8F90">
                  <w:pPr>
                    <w:widowControl/>
                    <w:jc w:val="center"/>
                    <w:rPr>
                      <w:color w:val="auto"/>
                      <w:szCs w:val="21"/>
                      <w:highlight w:val="none"/>
                    </w:rPr>
                  </w:pPr>
                  <w:r>
                    <w:rPr>
                      <w:color w:val="auto"/>
                      <w:szCs w:val="21"/>
                      <w:highlight w:val="none"/>
                    </w:rPr>
                    <w:t>资源开发利用效率</w:t>
                  </w:r>
                </w:p>
              </w:tc>
              <w:tc>
                <w:tcPr>
                  <w:tcW w:w="2091" w:type="pct"/>
                  <w:gridSpan w:val="2"/>
                  <w:vAlign w:val="center"/>
                </w:tcPr>
                <w:p w14:paraId="6D5AD655">
                  <w:pPr>
                    <w:widowControl/>
                    <w:jc w:val="center"/>
                    <w:rPr>
                      <w:color w:val="auto"/>
                      <w:szCs w:val="21"/>
                      <w:highlight w:val="none"/>
                    </w:rPr>
                  </w:pPr>
                  <w:r>
                    <w:rPr>
                      <w:color w:val="auto"/>
                      <w:szCs w:val="21"/>
                      <w:highlight w:val="none"/>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1460" w:type="pct"/>
                  <w:vAlign w:val="center"/>
                </w:tcPr>
                <w:p w14:paraId="612ED7A1">
                  <w:pPr>
                    <w:widowControl/>
                    <w:jc w:val="center"/>
                    <w:rPr>
                      <w:color w:val="auto"/>
                      <w:szCs w:val="21"/>
                      <w:highlight w:val="none"/>
                    </w:rPr>
                  </w:pPr>
                  <w:r>
                    <w:rPr>
                      <w:color w:val="auto"/>
                      <w:kern w:val="0"/>
                      <w:szCs w:val="21"/>
                      <w:highlight w:val="none"/>
                    </w:rPr>
                    <w:t>本项目使用电作为能源</w:t>
                  </w:r>
                  <w:r>
                    <w:rPr>
                      <w:rFonts w:hint="eastAsia"/>
                      <w:color w:val="auto"/>
                      <w:kern w:val="0"/>
                      <w:szCs w:val="21"/>
                      <w:highlight w:val="none"/>
                    </w:rPr>
                    <w:t>，属于</w:t>
                  </w:r>
                  <w:r>
                    <w:rPr>
                      <w:color w:val="auto"/>
                      <w:kern w:val="0"/>
                      <w:szCs w:val="21"/>
                      <w:highlight w:val="none"/>
                    </w:rPr>
                    <w:t>清洁</w:t>
                  </w:r>
                  <w:r>
                    <w:rPr>
                      <w:rFonts w:hint="eastAsia"/>
                      <w:color w:val="auto"/>
                      <w:kern w:val="0"/>
                      <w:szCs w:val="21"/>
                      <w:highlight w:val="none"/>
                    </w:rPr>
                    <w:t>能源。</w:t>
                  </w:r>
                </w:p>
              </w:tc>
              <w:tc>
                <w:tcPr>
                  <w:tcW w:w="531" w:type="pct"/>
                  <w:vAlign w:val="center"/>
                </w:tcPr>
                <w:p w14:paraId="74C0E18B">
                  <w:pPr>
                    <w:widowControl/>
                    <w:jc w:val="center"/>
                    <w:rPr>
                      <w:color w:val="auto"/>
                      <w:szCs w:val="21"/>
                      <w:highlight w:val="none"/>
                    </w:rPr>
                  </w:pPr>
                  <w:r>
                    <w:rPr>
                      <w:rFonts w:hint="eastAsia"/>
                      <w:color w:val="auto"/>
                      <w:szCs w:val="21"/>
                      <w:highlight w:val="none"/>
                    </w:rPr>
                    <w:t>符合</w:t>
                  </w:r>
                </w:p>
              </w:tc>
            </w:tr>
            <w:tr w14:paraId="4274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417" w:type="pct"/>
                  <w:vMerge w:val="continue"/>
                  <w:vAlign w:val="center"/>
                </w:tcPr>
                <w:p w14:paraId="12AB6057">
                  <w:pPr>
                    <w:widowControl/>
                    <w:jc w:val="center"/>
                    <w:rPr>
                      <w:color w:val="auto"/>
                      <w:highlight w:val="none"/>
                    </w:rPr>
                  </w:pPr>
                </w:p>
              </w:tc>
              <w:tc>
                <w:tcPr>
                  <w:tcW w:w="499" w:type="pct"/>
                  <w:vMerge w:val="continue"/>
                  <w:vAlign w:val="center"/>
                </w:tcPr>
                <w:p w14:paraId="29A93A72">
                  <w:pPr>
                    <w:widowControl/>
                    <w:jc w:val="center"/>
                    <w:rPr>
                      <w:color w:val="auto"/>
                      <w:highlight w:val="none"/>
                    </w:rPr>
                  </w:pPr>
                </w:p>
              </w:tc>
              <w:tc>
                <w:tcPr>
                  <w:tcW w:w="2091" w:type="pct"/>
                  <w:gridSpan w:val="2"/>
                  <w:vAlign w:val="center"/>
                </w:tcPr>
                <w:p w14:paraId="74B80547">
                  <w:pPr>
                    <w:widowControl/>
                    <w:jc w:val="center"/>
                    <w:rPr>
                      <w:color w:val="auto"/>
                      <w:szCs w:val="21"/>
                      <w:highlight w:val="none"/>
                    </w:rPr>
                  </w:pPr>
                  <w:r>
                    <w:rPr>
                      <w:color w:val="auto"/>
                      <w:szCs w:val="21"/>
                      <w:highlight w:val="none"/>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460" w:type="pct"/>
                  <w:vAlign w:val="center"/>
                </w:tcPr>
                <w:p w14:paraId="5530A6FA">
                  <w:pPr>
                    <w:widowControl/>
                    <w:jc w:val="center"/>
                    <w:rPr>
                      <w:color w:val="auto"/>
                      <w:szCs w:val="21"/>
                      <w:highlight w:val="none"/>
                    </w:rPr>
                  </w:pPr>
                  <w:r>
                    <w:rPr>
                      <w:rFonts w:hint="eastAsia"/>
                      <w:color w:val="auto"/>
                      <w:szCs w:val="21"/>
                      <w:highlight w:val="none"/>
                    </w:rPr>
                    <w:t>本项目不涉及</w:t>
                  </w:r>
                  <w:r>
                    <w:rPr>
                      <w:color w:val="auto"/>
                      <w:szCs w:val="21"/>
                      <w:highlight w:val="none"/>
                    </w:rPr>
                    <w:t>重点用能设备系统</w:t>
                  </w:r>
                  <w:r>
                    <w:rPr>
                      <w:rFonts w:hint="eastAsia"/>
                      <w:color w:val="auto"/>
                      <w:szCs w:val="21"/>
                      <w:highlight w:val="none"/>
                    </w:rPr>
                    <w:t>。</w:t>
                  </w:r>
                </w:p>
              </w:tc>
              <w:tc>
                <w:tcPr>
                  <w:tcW w:w="531" w:type="pct"/>
                  <w:vAlign w:val="center"/>
                </w:tcPr>
                <w:p w14:paraId="332409AF">
                  <w:pPr>
                    <w:widowControl/>
                    <w:jc w:val="center"/>
                    <w:rPr>
                      <w:color w:val="auto"/>
                      <w:szCs w:val="21"/>
                      <w:highlight w:val="none"/>
                    </w:rPr>
                  </w:pPr>
                  <w:r>
                    <w:rPr>
                      <w:rFonts w:hint="eastAsia"/>
                      <w:color w:val="auto"/>
                      <w:szCs w:val="21"/>
                      <w:highlight w:val="none"/>
                    </w:rPr>
                    <w:t>符合</w:t>
                  </w:r>
                </w:p>
              </w:tc>
            </w:tr>
            <w:tr w14:paraId="599D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417" w:type="pct"/>
                  <w:vMerge w:val="continue"/>
                  <w:vAlign w:val="center"/>
                </w:tcPr>
                <w:p w14:paraId="28C409F5">
                  <w:pPr>
                    <w:widowControl/>
                    <w:jc w:val="center"/>
                    <w:rPr>
                      <w:color w:val="auto"/>
                      <w:szCs w:val="21"/>
                      <w:highlight w:val="none"/>
                    </w:rPr>
                  </w:pPr>
                </w:p>
              </w:tc>
              <w:tc>
                <w:tcPr>
                  <w:tcW w:w="499" w:type="pct"/>
                  <w:vMerge w:val="continue"/>
                  <w:vAlign w:val="center"/>
                </w:tcPr>
                <w:p w14:paraId="3933774C">
                  <w:pPr>
                    <w:widowControl/>
                    <w:jc w:val="center"/>
                    <w:rPr>
                      <w:color w:val="auto"/>
                      <w:szCs w:val="21"/>
                      <w:highlight w:val="none"/>
                    </w:rPr>
                  </w:pPr>
                </w:p>
              </w:tc>
              <w:tc>
                <w:tcPr>
                  <w:tcW w:w="2091" w:type="pct"/>
                  <w:gridSpan w:val="2"/>
                  <w:vAlign w:val="center"/>
                </w:tcPr>
                <w:p w14:paraId="675F2883">
                  <w:pPr>
                    <w:widowControl/>
                    <w:jc w:val="center"/>
                    <w:rPr>
                      <w:color w:val="auto"/>
                      <w:szCs w:val="21"/>
                      <w:highlight w:val="none"/>
                    </w:rPr>
                  </w:pPr>
                  <w:r>
                    <w:rPr>
                      <w:color w:val="auto"/>
                      <w:szCs w:val="21"/>
                      <w:highlight w:val="none"/>
                    </w:rPr>
                    <w:t>第二十条 新建、扩建“两高”项目应采用先进适用的工艺技术和装备单位产品物耗、能耗、水耗等达到清洁生产先进水平。</w:t>
                  </w:r>
                </w:p>
              </w:tc>
              <w:tc>
                <w:tcPr>
                  <w:tcW w:w="1460" w:type="pct"/>
                  <w:vAlign w:val="center"/>
                </w:tcPr>
                <w:p w14:paraId="1816E748">
                  <w:pPr>
                    <w:widowControl/>
                    <w:jc w:val="center"/>
                    <w:rPr>
                      <w:color w:val="auto"/>
                      <w:szCs w:val="21"/>
                      <w:highlight w:val="none"/>
                    </w:rPr>
                  </w:pPr>
                  <w:r>
                    <w:rPr>
                      <w:rFonts w:hint="eastAsia"/>
                      <w:color w:val="auto"/>
                      <w:szCs w:val="21"/>
                      <w:highlight w:val="none"/>
                    </w:rPr>
                    <w:t>本项目不属于“两高”项目。</w:t>
                  </w:r>
                </w:p>
              </w:tc>
              <w:tc>
                <w:tcPr>
                  <w:tcW w:w="531" w:type="pct"/>
                  <w:vAlign w:val="center"/>
                </w:tcPr>
                <w:p w14:paraId="6D2862BC">
                  <w:pPr>
                    <w:widowControl/>
                    <w:jc w:val="center"/>
                    <w:rPr>
                      <w:color w:val="auto"/>
                      <w:szCs w:val="21"/>
                      <w:highlight w:val="none"/>
                    </w:rPr>
                  </w:pPr>
                  <w:r>
                    <w:rPr>
                      <w:rFonts w:hint="eastAsia"/>
                      <w:color w:val="auto"/>
                      <w:szCs w:val="21"/>
                      <w:highlight w:val="none"/>
                    </w:rPr>
                    <w:t>符合</w:t>
                  </w:r>
                </w:p>
              </w:tc>
            </w:tr>
            <w:tr w14:paraId="2988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417" w:type="pct"/>
                  <w:vMerge w:val="continue"/>
                  <w:vAlign w:val="center"/>
                </w:tcPr>
                <w:p w14:paraId="1046B22D">
                  <w:pPr>
                    <w:widowControl/>
                    <w:jc w:val="center"/>
                    <w:rPr>
                      <w:color w:val="auto"/>
                      <w:szCs w:val="21"/>
                      <w:highlight w:val="none"/>
                    </w:rPr>
                  </w:pPr>
                </w:p>
              </w:tc>
              <w:tc>
                <w:tcPr>
                  <w:tcW w:w="499" w:type="pct"/>
                  <w:vMerge w:val="continue"/>
                  <w:vAlign w:val="center"/>
                </w:tcPr>
                <w:p w14:paraId="6B8FAA55">
                  <w:pPr>
                    <w:widowControl/>
                    <w:jc w:val="center"/>
                    <w:rPr>
                      <w:color w:val="auto"/>
                      <w:szCs w:val="21"/>
                      <w:highlight w:val="none"/>
                    </w:rPr>
                  </w:pPr>
                </w:p>
              </w:tc>
              <w:tc>
                <w:tcPr>
                  <w:tcW w:w="2091" w:type="pct"/>
                  <w:gridSpan w:val="2"/>
                  <w:vAlign w:val="center"/>
                </w:tcPr>
                <w:p w14:paraId="47577D70">
                  <w:pPr>
                    <w:widowControl/>
                    <w:jc w:val="center"/>
                    <w:rPr>
                      <w:color w:val="auto"/>
                      <w:szCs w:val="21"/>
                      <w:highlight w:val="none"/>
                    </w:rPr>
                  </w:pPr>
                  <w:r>
                    <w:rPr>
                      <w:color w:val="auto"/>
                      <w:szCs w:val="21"/>
                      <w:highlight w:val="none"/>
                    </w:rPr>
                    <w:t>第二十一条 推进企业内部工业用水循环利用、园区内企业间用水系统集成优化。开展火电、石化、有色金属、造纸、印染等高耗水行业工业废水循环利用示范。根据区域水资源</w:t>
                  </w:r>
                  <w:r>
                    <w:rPr>
                      <w:rFonts w:hint="eastAsia"/>
                      <w:color w:val="auto"/>
                      <w:szCs w:val="21"/>
                      <w:highlight w:val="none"/>
                    </w:rPr>
                    <w:t>禀赋</w:t>
                  </w:r>
                  <w:r>
                    <w:rPr>
                      <w:color w:val="auto"/>
                      <w:szCs w:val="21"/>
                      <w:highlight w:val="none"/>
                    </w:rPr>
                    <w:t>和行业特点，结合用水总量控</w:t>
                  </w:r>
                  <w:r>
                    <w:rPr>
                      <w:rFonts w:hint="eastAsia"/>
                      <w:color w:val="auto"/>
                      <w:szCs w:val="21"/>
                      <w:highlight w:val="none"/>
                    </w:rPr>
                    <w:t>制措</w:t>
                  </w:r>
                  <w:r>
                    <w:rPr>
                      <w:color w:val="auto"/>
                      <w:szCs w:val="21"/>
                      <w:highlight w:val="none"/>
                    </w:rPr>
                    <w:t>施，引导区域工业布局和产业结构调整，大力推广工业水循环利用，加快淘汰落后用水工艺和技术。</w:t>
                  </w:r>
                </w:p>
              </w:tc>
              <w:tc>
                <w:tcPr>
                  <w:tcW w:w="1460" w:type="pct"/>
                  <w:vAlign w:val="center"/>
                </w:tcPr>
                <w:p w14:paraId="059D072A">
                  <w:pPr>
                    <w:widowControl/>
                    <w:jc w:val="center"/>
                    <w:rPr>
                      <w:color w:val="auto"/>
                      <w:szCs w:val="21"/>
                      <w:highlight w:val="none"/>
                    </w:rPr>
                  </w:pPr>
                  <w:r>
                    <w:rPr>
                      <w:rFonts w:hint="eastAsia"/>
                      <w:color w:val="auto"/>
                      <w:szCs w:val="21"/>
                      <w:highlight w:val="none"/>
                    </w:rPr>
                    <w:t>本项目不属于高耗水行业项目。</w:t>
                  </w:r>
                </w:p>
              </w:tc>
              <w:tc>
                <w:tcPr>
                  <w:tcW w:w="531" w:type="pct"/>
                  <w:vAlign w:val="center"/>
                </w:tcPr>
                <w:p w14:paraId="47DF7054">
                  <w:pPr>
                    <w:widowControl/>
                    <w:jc w:val="center"/>
                    <w:rPr>
                      <w:color w:val="auto"/>
                      <w:szCs w:val="21"/>
                      <w:highlight w:val="none"/>
                    </w:rPr>
                  </w:pPr>
                  <w:r>
                    <w:rPr>
                      <w:rFonts w:hint="eastAsia"/>
                      <w:color w:val="auto"/>
                      <w:szCs w:val="21"/>
                      <w:highlight w:val="none"/>
                    </w:rPr>
                    <w:t>符合</w:t>
                  </w:r>
                </w:p>
              </w:tc>
            </w:tr>
            <w:tr w14:paraId="18C9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417" w:type="pct"/>
                  <w:vMerge w:val="continue"/>
                  <w:vAlign w:val="center"/>
                </w:tcPr>
                <w:p w14:paraId="76D49445">
                  <w:pPr>
                    <w:widowControl/>
                    <w:jc w:val="center"/>
                    <w:rPr>
                      <w:color w:val="auto"/>
                      <w:szCs w:val="21"/>
                      <w:highlight w:val="none"/>
                    </w:rPr>
                  </w:pPr>
                </w:p>
              </w:tc>
              <w:tc>
                <w:tcPr>
                  <w:tcW w:w="499" w:type="pct"/>
                  <w:vMerge w:val="continue"/>
                  <w:vAlign w:val="center"/>
                </w:tcPr>
                <w:p w14:paraId="4FA83D72">
                  <w:pPr>
                    <w:widowControl/>
                    <w:jc w:val="center"/>
                    <w:rPr>
                      <w:color w:val="auto"/>
                      <w:szCs w:val="21"/>
                      <w:highlight w:val="none"/>
                    </w:rPr>
                  </w:pPr>
                </w:p>
              </w:tc>
              <w:tc>
                <w:tcPr>
                  <w:tcW w:w="2091" w:type="pct"/>
                  <w:gridSpan w:val="2"/>
                  <w:vAlign w:val="center"/>
                </w:tcPr>
                <w:p w14:paraId="19B1DCB4">
                  <w:pPr>
                    <w:widowControl/>
                    <w:jc w:val="center"/>
                    <w:rPr>
                      <w:color w:val="auto"/>
                      <w:szCs w:val="21"/>
                      <w:highlight w:val="none"/>
                    </w:rPr>
                  </w:pPr>
                  <w:r>
                    <w:rPr>
                      <w:rFonts w:hint="eastAsia"/>
                      <w:color w:val="auto"/>
                      <w:highlight w:val="none"/>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460" w:type="pct"/>
                  <w:vAlign w:val="center"/>
                </w:tcPr>
                <w:p w14:paraId="002239B8">
                  <w:pPr>
                    <w:widowControl/>
                    <w:jc w:val="center"/>
                    <w:rPr>
                      <w:color w:val="auto"/>
                      <w:szCs w:val="21"/>
                      <w:highlight w:val="none"/>
                    </w:rPr>
                  </w:pPr>
                  <w:r>
                    <w:rPr>
                      <w:rFonts w:hint="eastAsia"/>
                      <w:bCs/>
                      <w:color w:val="auto"/>
                      <w:highlight w:val="none"/>
                    </w:rPr>
                    <w:t>本项目不涉及</w:t>
                  </w:r>
                </w:p>
              </w:tc>
              <w:tc>
                <w:tcPr>
                  <w:tcW w:w="531" w:type="pct"/>
                  <w:vAlign w:val="center"/>
                </w:tcPr>
                <w:p w14:paraId="611AD8F9">
                  <w:pPr>
                    <w:widowControl/>
                    <w:jc w:val="center"/>
                    <w:rPr>
                      <w:color w:val="auto"/>
                      <w:szCs w:val="21"/>
                      <w:highlight w:val="none"/>
                    </w:rPr>
                  </w:pPr>
                  <w:r>
                    <w:rPr>
                      <w:rFonts w:hint="eastAsia"/>
                      <w:color w:val="auto"/>
                      <w:szCs w:val="21"/>
                      <w:highlight w:val="none"/>
                    </w:rPr>
                    <w:t>符合</w:t>
                  </w:r>
                </w:p>
              </w:tc>
            </w:tr>
            <w:tr w14:paraId="076D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17" w:type="pct"/>
                  <w:vMerge w:val="restart"/>
                  <w:vAlign w:val="center"/>
                </w:tcPr>
                <w:p w14:paraId="1A3A101C">
                  <w:pPr>
                    <w:widowControl/>
                    <w:jc w:val="center"/>
                    <w:rPr>
                      <w:color w:val="auto"/>
                      <w:szCs w:val="21"/>
                      <w:highlight w:val="none"/>
                    </w:rPr>
                  </w:pPr>
                  <w:r>
                    <w:rPr>
                      <w:color w:val="auto"/>
                      <w:szCs w:val="21"/>
                      <w:highlight w:val="none"/>
                    </w:rPr>
                    <w:t>区县总体管控要求</w:t>
                  </w:r>
                </w:p>
              </w:tc>
              <w:tc>
                <w:tcPr>
                  <w:tcW w:w="499" w:type="pct"/>
                  <w:vMerge w:val="restart"/>
                  <w:vAlign w:val="center"/>
                </w:tcPr>
                <w:p w14:paraId="6DE0D07A">
                  <w:pPr>
                    <w:widowControl/>
                    <w:jc w:val="center"/>
                    <w:rPr>
                      <w:color w:val="auto"/>
                      <w:szCs w:val="21"/>
                      <w:highlight w:val="none"/>
                    </w:rPr>
                  </w:pPr>
                  <w:r>
                    <w:rPr>
                      <w:color w:val="auto"/>
                      <w:szCs w:val="21"/>
                      <w:highlight w:val="none"/>
                    </w:rPr>
                    <w:t>空间布局约束</w:t>
                  </w:r>
                </w:p>
              </w:tc>
              <w:tc>
                <w:tcPr>
                  <w:tcW w:w="2091" w:type="pct"/>
                  <w:gridSpan w:val="2"/>
                  <w:vAlign w:val="center"/>
                </w:tcPr>
                <w:p w14:paraId="22C3E32A">
                  <w:pPr>
                    <w:widowControl/>
                    <w:jc w:val="center"/>
                    <w:rPr>
                      <w:color w:val="auto"/>
                      <w:szCs w:val="21"/>
                      <w:highlight w:val="none"/>
                    </w:rPr>
                  </w:pPr>
                  <w:r>
                    <w:rPr>
                      <w:color w:val="auto"/>
                      <w:szCs w:val="21"/>
                      <w:highlight w:val="none"/>
                    </w:rPr>
                    <w:t>第一条 执行重点管控单元市级总体要求第一条、第二条、第三条、第四条、第五条、第六条和第七条。</w:t>
                  </w:r>
                </w:p>
              </w:tc>
              <w:tc>
                <w:tcPr>
                  <w:tcW w:w="1460" w:type="pct"/>
                  <w:vAlign w:val="center"/>
                </w:tcPr>
                <w:p w14:paraId="73529E5B">
                  <w:pPr>
                    <w:widowControl/>
                    <w:jc w:val="center"/>
                    <w:rPr>
                      <w:color w:val="auto"/>
                      <w:szCs w:val="21"/>
                      <w:highlight w:val="none"/>
                    </w:rPr>
                  </w:pPr>
                  <w:r>
                    <w:rPr>
                      <w:rFonts w:hint="eastAsia"/>
                      <w:color w:val="auto"/>
                      <w:szCs w:val="21"/>
                      <w:highlight w:val="none"/>
                    </w:rPr>
                    <w:t>根据上述</w:t>
                  </w:r>
                  <w:r>
                    <w:rPr>
                      <w:color w:val="auto"/>
                      <w:szCs w:val="21"/>
                      <w:highlight w:val="none"/>
                    </w:rPr>
                    <w:t>重点管控单元市级总体要求第一条、第二条、第三条、第四条、第五条、第六条和第七条</w:t>
                  </w:r>
                  <w:r>
                    <w:rPr>
                      <w:rFonts w:hint="eastAsia"/>
                      <w:color w:val="auto"/>
                      <w:szCs w:val="21"/>
                      <w:highlight w:val="none"/>
                    </w:rPr>
                    <w:t>分析可知，本项目符合相关要求</w:t>
                  </w:r>
                </w:p>
              </w:tc>
              <w:tc>
                <w:tcPr>
                  <w:tcW w:w="531" w:type="pct"/>
                  <w:vAlign w:val="center"/>
                </w:tcPr>
                <w:p w14:paraId="3A46A56C">
                  <w:pPr>
                    <w:widowControl/>
                    <w:jc w:val="center"/>
                    <w:rPr>
                      <w:color w:val="auto"/>
                      <w:szCs w:val="21"/>
                      <w:highlight w:val="none"/>
                    </w:rPr>
                  </w:pPr>
                  <w:r>
                    <w:rPr>
                      <w:rFonts w:hint="eastAsia"/>
                      <w:color w:val="auto"/>
                      <w:szCs w:val="21"/>
                      <w:highlight w:val="none"/>
                    </w:rPr>
                    <w:t>符合</w:t>
                  </w:r>
                </w:p>
              </w:tc>
            </w:tr>
            <w:tr w14:paraId="2CD6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17" w:type="pct"/>
                  <w:vMerge w:val="continue"/>
                  <w:vAlign w:val="center"/>
                </w:tcPr>
                <w:p w14:paraId="4CC2FE22">
                  <w:pPr>
                    <w:widowControl/>
                    <w:jc w:val="center"/>
                    <w:rPr>
                      <w:color w:val="auto"/>
                      <w:highlight w:val="none"/>
                    </w:rPr>
                  </w:pPr>
                </w:p>
              </w:tc>
              <w:tc>
                <w:tcPr>
                  <w:tcW w:w="499" w:type="pct"/>
                  <w:vMerge w:val="continue"/>
                  <w:vAlign w:val="center"/>
                </w:tcPr>
                <w:p w14:paraId="09FDC91B">
                  <w:pPr>
                    <w:widowControl/>
                    <w:jc w:val="center"/>
                    <w:rPr>
                      <w:color w:val="auto"/>
                      <w:highlight w:val="none"/>
                    </w:rPr>
                  </w:pPr>
                </w:p>
              </w:tc>
              <w:tc>
                <w:tcPr>
                  <w:tcW w:w="2091" w:type="pct"/>
                  <w:gridSpan w:val="2"/>
                  <w:vAlign w:val="center"/>
                </w:tcPr>
                <w:p w14:paraId="02B20940">
                  <w:pPr>
                    <w:widowControl/>
                    <w:jc w:val="center"/>
                    <w:rPr>
                      <w:color w:val="auto"/>
                      <w:szCs w:val="21"/>
                      <w:highlight w:val="none"/>
                    </w:rPr>
                  </w:pPr>
                  <w:r>
                    <w:rPr>
                      <w:color w:val="auto"/>
                      <w:szCs w:val="21"/>
                      <w:highlight w:val="none"/>
                    </w:rPr>
                    <w:t>第二条 嘉陵江岸线1公里范围内限制布局新建纸浆制造、印染等存在环境风险的项目。</w:t>
                  </w:r>
                </w:p>
              </w:tc>
              <w:tc>
                <w:tcPr>
                  <w:tcW w:w="1460" w:type="pct"/>
                  <w:vAlign w:val="center"/>
                </w:tcPr>
                <w:p w14:paraId="29060D07">
                  <w:pPr>
                    <w:widowControl/>
                    <w:jc w:val="center"/>
                    <w:rPr>
                      <w:color w:val="auto"/>
                      <w:szCs w:val="21"/>
                      <w:highlight w:val="none"/>
                    </w:rPr>
                  </w:pPr>
                  <w:r>
                    <w:rPr>
                      <w:rFonts w:hint="eastAsia"/>
                      <w:color w:val="auto"/>
                      <w:szCs w:val="21"/>
                      <w:highlight w:val="none"/>
                    </w:rPr>
                    <w:t>本项目不涉及</w:t>
                  </w:r>
                  <w:r>
                    <w:rPr>
                      <w:color w:val="auto"/>
                      <w:szCs w:val="21"/>
                      <w:highlight w:val="none"/>
                    </w:rPr>
                    <w:t>嘉陵江岸线1公里范围</w:t>
                  </w:r>
                </w:p>
              </w:tc>
              <w:tc>
                <w:tcPr>
                  <w:tcW w:w="531" w:type="pct"/>
                  <w:vAlign w:val="center"/>
                </w:tcPr>
                <w:p w14:paraId="2E1D05F2">
                  <w:pPr>
                    <w:widowControl/>
                    <w:jc w:val="center"/>
                    <w:rPr>
                      <w:color w:val="auto"/>
                      <w:szCs w:val="21"/>
                      <w:highlight w:val="none"/>
                    </w:rPr>
                  </w:pPr>
                  <w:r>
                    <w:rPr>
                      <w:rFonts w:hint="eastAsia"/>
                      <w:color w:val="auto"/>
                      <w:szCs w:val="21"/>
                      <w:highlight w:val="none"/>
                    </w:rPr>
                    <w:t>符合</w:t>
                  </w:r>
                </w:p>
              </w:tc>
            </w:tr>
            <w:tr w14:paraId="7036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17" w:type="pct"/>
                  <w:vMerge w:val="continue"/>
                  <w:vAlign w:val="center"/>
                </w:tcPr>
                <w:p w14:paraId="27BAB127">
                  <w:pPr>
                    <w:widowControl/>
                    <w:jc w:val="center"/>
                    <w:rPr>
                      <w:color w:val="auto"/>
                      <w:szCs w:val="21"/>
                      <w:highlight w:val="none"/>
                    </w:rPr>
                  </w:pPr>
                </w:p>
              </w:tc>
              <w:tc>
                <w:tcPr>
                  <w:tcW w:w="499" w:type="pct"/>
                  <w:vMerge w:val="restart"/>
                  <w:vAlign w:val="center"/>
                </w:tcPr>
                <w:p w14:paraId="56913B84">
                  <w:pPr>
                    <w:widowControl/>
                    <w:jc w:val="center"/>
                    <w:rPr>
                      <w:color w:val="auto"/>
                      <w:szCs w:val="21"/>
                      <w:highlight w:val="none"/>
                    </w:rPr>
                  </w:pPr>
                  <w:r>
                    <w:rPr>
                      <w:color w:val="auto"/>
                      <w:szCs w:val="21"/>
                      <w:highlight w:val="none"/>
                    </w:rPr>
                    <w:t>污染物排放管控</w:t>
                  </w:r>
                </w:p>
              </w:tc>
              <w:tc>
                <w:tcPr>
                  <w:tcW w:w="2091" w:type="pct"/>
                  <w:gridSpan w:val="2"/>
                  <w:vAlign w:val="center"/>
                </w:tcPr>
                <w:p w14:paraId="543EF8B9">
                  <w:pPr>
                    <w:widowControl/>
                    <w:jc w:val="center"/>
                    <w:rPr>
                      <w:color w:val="auto"/>
                      <w:szCs w:val="21"/>
                      <w:highlight w:val="none"/>
                    </w:rPr>
                  </w:pPr>
                  <w:r>
                    <w:rPr>
                      <w:color w:val="auto"/>
                      <w:szCs w:val="21"/>
                      <w:highlight w:val="none"/>
                    </w:rPr>
                    <w:t>第三条 执行重点管控单元市级总体要求第八条、第九条、第十条、第十一条、第十二条、第十三条、第十四条和第十五条。</w:t>
                  </w:r>
                </w:p>
              </w:tc>
              <w:tc>
                <w:tcPr>
                  <w:tcW w:w="1460" w:type="pct"/>
                  <w:vAlign w:val="center"/>
                </w:tcPr>
                <w:p w14:paraId="44514134">
                  <w:pPr>
                    <w:widowControl/>
                    <w:jc w:val="center"/>
                    <w:rPr>
                      <w:color w:val="auto"/>
                      <w:szCs w:val="21"/>
                      <w:highlight w:val="none"/>
                    </w:rPr>
                  </w:pPr>
                  <w:r>
                    <w:rPr>
                      <w:rFonts w:hint="eastAsia"/>
                      <w:color w:val="auto"/>
                      <w:szCs w:val="21"/>
                      <w:highlight w:val="none"/>
                    </w:rPr>
                    <w:t>根据上述</w:t>
                  </w:r>
                  <w:r>
                    <w:rPr>
                      <w:color w:val="auto"/>
                      <w:szCs w:val="21"/>
                      <w:highlight w:val="none"/>
                    </w:rPr>
                    <w:t>重点管控单元市级总体要求第八条、第九条、第十条、第十一条、第十二条、第十三条、第十四条和第十五条</w:t>
                  </w:r>
                  <w:r>
                    <w:rPr>
                      <w:rFonts w:hint="eastAsia"/>
                      <w:color w:val="auto"/>
                      <w:szCs w:val="21"/>
                      <w:highlight w:val="none"/>
                    </w:rPr>
                    <w:t>分析可知，本项目符合相关要求</w:t>
                  </w:r>
                </w:p>
              </w:tc>
              <w:tc>
                <w:tcPr>
                  <w:tcW w:w="531" w:type="pct"/>
                  <w:vAlign w:val="center"/>
                </w:tcPr>
                <w:p w14:paraId="5B5A9860">
                  <w:pPr>
                    <w:widowControl/>
                    <w:jc w:val="center"/>
                    <w:rPr>
                      <w:color w:val="auto"/>
                      <w:szCs w:val="21"/>
                      <w:highlight w:val="none"/>
                    </w:rPr>
                  </w:pPr>
                  <w:r>
                    <w:rPr>
                      <w:rFonts w:hint="eastAsia"/>
                      <w:color w:val="auto"/>
                      <w:szCs w:val="21"/>
                      <w:highlight w:val="none"/>
                    </w:rPr>
                    <w:t>符合</w:t>
                  </w:r>
                </w:p>
              </w:tc>
            </w:tr>
            <w:tr w14:paraId="5246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17" w:type="pct"/>
                  <w:vMerge w:val="continue"/>
                  <w:vAlign w:val="center"/>
                </w:tcPr>
                <w:p w14:paraId="73F1462C">
                  <w:pPr>
                    <w:widowControl/>
                    <w:jc w:val="center"/>
                    <w:rPr>
                      <w:color w:val="auto"/>
                      <w:highlight w:val="none"/>
                    </w:rPr>
                  </w:pPr>
                </w:p>
              </w:tc>
              <w:tc>
                <w:tcPr>
                  <w:tcW w:w="499" w:type="pct"/>
                  <w:vMerge w:val="continue"/>
                  <w:vAlign w:val="center"/>
                </w:tcPr>
                <w:p w14:paraId="7DC0DB87">
                  <w:pPr>
                    <w:widowControl/>
                    <w:jc w:val="center"/>
                    <w:rPr>
                      <w:color w:val="auto"/>
                      <w:highlight w:val="none"/>
                    </w:rPr>
                  </w:pPr>
                </w:p>
              </w:tc>
              <w:tc>
                <w:tcPr>
                  <w:tcW w:w="2091" w:type="pct"/>
                  <w:gridSpan w:val="2"/>
                  <w:vAlign w:val="center"/>
                </w:tcPr>
                <w:p w14:paraId="619FCED6">
                  <w:pPr>
                    <w:widowControl/>
                    <w:jc w:val="center"/>
                    <w:rPr>
                      <w:color w:val="auto"/>
                      <w:szCs w:val="21"/>
                      <w:highlight w:val="none"/>
                    </w:rPr>
                  </w:pPr>
                  <w:r>
                    <w:rPr>
                      <w:color w:val="auto"/>
                      <w:szCs w:val="21"/>
                      <w:highlight w:val="none"/>
                    </w:rPr>
                    <w:t>第四条 持续推进农村人居环境整治，巩固拓展农村厕所革命成果，引导农村新建住房配套建设卫生厕所，推进人口规模较大村庄配套建设公共厕所</w:t>
                  </w:r>
                  <w:r>
                    <w:rPr>
                      <w:rFonts w:hint="eastAsia"/>
                      <w:color w:val="auto"/>
                      <w:szCs w:val="21"/>
                      <w:highlight w:val="none"/>
                    </w:rPr>
                    <w:t>；</w:t>
                  </w:r>
                  <w:r>
                    <w:rPr>
                      <w:color w:val="auto"/>
                      <w:szCs w:val="21"/>
                      <w:highlight w:val="none"/>
                    </w:rPr>
                    <w:t>强化畜禽粪污资源化利用，加强散养畜管理</w:t>
                  </w:r>
                  <w:r>
                    <w:rPr>
                      <w:rFonts w:hint="eastAsia"/>
                      <w:color w:val="auto"/>
                      <w:szCs w:val="21"/>
                      <w:highlight w:val="none"/>
                    </w:rPr>
                    <w:t>；</w:t>
                  </w:r>
                  <w:r>
                    <w:rPr>
                      <w:color w:val="auto"/>
                      <w:szCs w:val="21"/>
                      <w:highlight w:val="none"/>
                    </w:rPr>
                    <w:t>推进农药化肥减量增效</w:t>
                  </w:r>
                  <w:r>
                    <w:rPr>
                      <w:rFonts w:hint="eastAsia"/>
                      <w:color w:val="auto"/>
                      <w:szCs w:val="21"/>
                      <w:highlight w:val="none"/>
                    </w:rPr>
                    <w:t>；</w:t>
                  </w:r>
                  <w:r>
                    <w:rPr>
                      <w:color w:val="auto"/>
                      <w:szCs w:val="21"/>
                      <w:highlight w:val="none"/>
                    </w:rPr>
                    <w:t>加强水产养殖污染专项治理，在养殖区内新建、改扩建水产专用养殖场</w:t>
                  </w:r>
                  <w:r>
                    <w:rPr>
                      <w:rFonts w:hint="eastAsia"/>
                      <w:color w:val="auto"/>
                      <w:szCs w:val="21"/>
                      <w:highlight w:val="none"/>
                    </w:rPr>
                    <w:t>（</w:t>
                  </w:r>
                  <w:r>
                    <w:rPr>
                      <w:color w:val="auto"/>
                      <w:szCs w:val="21"/>
                      <w:highlight w:val="none"/>
                    </w:rPr>
                    <w:t>池</w:t>
                  </w:r>
                  <w:r>
                    <w:rPr>
                      <w:rFonts w:hint="eastAsia"/>
                      <w:color w:val="auto"/>
                      <w:szCs w:val="21"/>
                      <w:highlight w:val="none"/>
                    </w:rPr>
                    <w:t>）</w:t>
                  </w:r>
                  <w:r>
                    <w:rPr>
                      <w:color w:val="auto"/>
                      <w:szCs w:val="21"/>
                      <w:highlight w:val="none"/>
                    </w:rPr>
                    <w:t>应配套建设养殖尾水治理设施，实现养殖尾水达标排放、循环使用或资源化利用。</w:t>
                  </w:r>
                </w:p>
              </w:tc>
              <w:tc>
                <w:tcPr>
                  <w:tcW w:w="1460" w:type="pct"/>
                  <w:vAlign w:val="center"/>
                </w:tcPr>
                <w:p w14:paraId="534F8338">
                  <w:pPr>
                    <w:widowControl/>
                    <w:jc w:val="center"/>
                    <w:rPr>
                      <w:color w:val="auto"/>
                      <w:szCs w:val="21"/>
                      <w:highlight w:val="none"/>
                    </w:rPr>
                  </w:pPr>
                  <w:r>
                    <w:rPr>
                      <w:rFonts w:hint="eastAsia"/>
                      <w:color w:val="auto"/>
                      <w:szCs w:val="21"/>
                      <w:highlight w:val="none"/>
                    </w:rPr>
                    <w:t>本项目位于工业用地，不涉及农村人居环境</w:t>
                  </w:r>
                </w:p>
              </w:tc>
              <w:tc>
                <w:tcPr>
                  <w:tcW w:w="531" w:type="pct"/>
                  <w:vAlign w:val="center"/>
                </w:tcPr>
                <w:p w14:paraId="50C1E19F">
                  <w:pPr>
                    <w:widowControl/>
                    <w:jc w:val="center"/>
                    <w:rPr>
                      <w:color w:val="auto"/>
                      <w:szCs w:val="21"/>
                      <w:highlight w:val="none"/>
                    </w:rPr>
                  </w:pPr>
                  <w:r>
                    <w:rPr>
                      <w:rFonts w:hint="eastAsia"/>
                      <w:color w:val="auto"/>
                      <w:szCs w:val="21"/>
                      <w:highlight w:val="none"/>
                    </w:rPr>
                    <w:t>符合</w:t>
                  </w:r>
                </w:p>
              </w:tc>
            </w:tr>
            <w:tr w14:paraId="3273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17" w:type="pct"/>
                  <w:vMerge w:val="continue"/>
                  <w:vAlign w:val="center"/>
                </w:tcPr>
                <w:p w14:paraId="19EF8DB6">
                  <w:pPr>
                    <w:widowControl/>
                    <w:jc w:val="center"/>
                    <w:rPr>
                      <w:color w:val="auto"/>
                      <w:szCs w:val="21"/>
                      <w:highlight w:val="none"/>
                    </w:rPr>
                  </w:pPr>
                </w:p>
              </w:tc>
              <w:tc>
                <w:tcPr>
                  <w:tcW w:w="499" w:type="pct"/>
                  <w:vMerge w:val="continue"/>
                  <w:vAlign w:val="center"/>
                </w:tcPr>
                <w:p w14:paraId="0D79483D">
                  <w:pPr>
                    <w:widowControl/>
                    <w:jc w:val="center"/>
                    <w:rPr>
                      <w:color w:val="auto"/>
                      <w:szCs w:val="21"/>
                      <w:highlight w:val="none"/>
                    </w:rPr>
                  </w:pPr>
                </w:p>
              </w:tc>
              <w:tc>
                <w:tcPr>
                  <w:tcW w:w="2091" w:type="pct"/>
                  <w:gridSpan w:val="2"/>
                  <w:vAlign w:val="center"/>
                </w:tcPr>
                <w:p w14:paraId="2BDDE116">
                  <w:pPr>
                    <w:widowControl/>
                    <w:jc w:val="center"/>
                    <w:rPr>
                      <w:color w:val="auto"/>
                      <w:szCs w:val="21"/>
                      <w:highlight w:val="none"/>
                    </w:rPr>
                  </w:pPr>
                  <w:r>
                    <w:rPr>
                      <w:color w:val="auto"/>
                      <w:szCs w:val="21"/>
                      <w:highlight w:val="none"/>
                    </w:rPr>
                    <w:t>第五条 持续推进水泥等高排放重点管控企业超低排放改造</w:t>
                  </w:r>
                  <w:r>
                    <w:rPr>
                      <w:rFonts w:hint="eastAsia"/>
                      <w:color w:val="auto"/>
                      <w:szCs w:val="21"/>
                      <w:highlight w:val="none"/>
                    </w:rPr>
                    <w:t>；</w:t>
                  </w:r>
                  <w:r>
                    <w:rPr>
                      <w:color w:val="auto"/>
                      <w:szCs w:val="21"/>
                      <w:highlight w:val="none"/>
                    </w:rPr>
                    <w:t>加大新型干法水泥窑、玻璃行业废气深度治理力度深化烧结砖瓦窑生产企业深度治理，推进烧结砖瓦窑脱硫脱硝除尘改造</w:t>
                  </w:r>
                  <w:r>
                    <w:rPr>
                      <w:rFonts w:hint="eastAsia"/>
                      <w:color w:val="auto"/>
                      <w:szCs w:val="21"/>
                      <w:highlight w:val="none"/>
                    </w:rPr>
                    <w:t>；</w:t>
                  </w:r>
                  <w:r>
                    <w:rPr>
                      <w:color w:val="auto"/>
                      <w:szCs w:val="21"/>
                      <w:highlight w:val="none"/>
                    </w:rPr>
                    <w:t>新建燃煤机组实施超低排放</w:t>
                  </w:r>
                  <w:r>
                    <w:rPr>
                      <w:rFonts w:hint="eastAsia"/>
                      <w:color w:val="auto"/>
                      <w:szCs w:val="21"/>
                      <w:highlight w:val="none"/>
                    </w:rPr>
                    <w:t>；</w:t>
                  </w:r>
                  <w:r>
                    <w:rPr>
                      <w:color w:val="auto"/>
                      <w:szCs w:val="21"/>
                      <w:highlight w:val="none"/>
                    </w:rPr>
                    <w:t>燃气锅炉实施低氨改造。</w:t>
                  </w:r>
                </w:p>
              </w:tc>
              <w:tc>
                <w:tcPr>
                  <w:tcW w:w="1460" w:type="pct"/>
                  <w:vAlign w:val="center"/>
                </w:tcPr>
                <w:p w14:paraId="7F86976B">
                  <w:pPr>
                    <w:widowControl/>
                    <w:jc w:val="center"/>
                    <w:rPr>
                      <w:color w:val="auto"/>
                      <w:szCs w:val="21"/>
                      <w:highlight w:val="none"/>
                    </w:rPr>
                  </w:pPr>
                  <w:r>
                    <w:rPr>
                      <w:rFonts w:hint="eastAsia"/>
                      <w:color w:val="auto"/>
                      <w:szCs w:val="21"/>
                      <w:highlight w:val="none"/>
                    </w:rPr>
                    <w:t>本项目不属于高排放重点管控企业，</w:t>
                  </w:r>
                  <w:r>
                    <w:rPr>
                      <w:color w:val="auto"/>
                      <w:szCs w:val="21"/>
                      <w:highlight w:val="none"/>
                    </w:rPr>
                    <w:t>新型干法水泥窑、玻璃行业</w:t>
                  </w:r>
                  <w:r>
                    <w:rPr>
                      <w:rFonts w:hint="eastAsia"/>
                      <w:color w:val="auto"/>
                      <w:szCs w:val="21"/>
                      <w:highlight w:val="none"/>
                    </w:rPr>
                    <w:t>项目，不涉及</w:t>
                  </w:r>
                  <w:r>
                    <w:rPr>
                      <w:color w:val="auto"/>
                      <w:szCs w:val="21"/>
                      <w:highlight w:val="none"/>
                    </w:rPr>
                    <w:t>新建燃煤机组</w:t>
                  </w:r>
                  <w:r>
                    <w:rPr>
                      <w:rFonts w:hint="eastAsia"/>
                      <w:color w:val="auto"/>
                      <w:szCs w:val="21"/>
                      <w:highlight w:val="none"/>
                    </w:rPr>
                    <w:t>及</w:t>
                  </w:r>
                  <w:r>
                    <w:rPr>
                      <w:color w:val="auto"/>
                      <w:szCs w:val="21"/>
                      <w:highlight w:val="none"/>
                    </w:rPr>
                    <w:t>燃气锅炉</w:t>
                  </w:r>
                  <w:r>
                    <w:rPr>
                      <w:rFonts w:hint="eastAsia"/>
                      <w:color w:val="auto"/>
                      <w:szCs w:val="21"/>
                      <w:highlight w:val="none"/>
                    </w:rPr>
                    <w:t>。</w:t>
                  </w:r>
                </w:p>
              </w:tc>
              <w:tc>
                <w:tcPr>
                  <w:tcW w:w="531" w:type="pct"/>
                  <w:vAlign w:val="center"/>
                </w:tcPr>
                <w:p w14:paraId="51ABDC89">
                  <w:pPr>
                    <w:widowControl/>
                    <w:jc w:val="center"/>
                    <w:rPr>
                      <w:color w:val="auto"/>
                      <w:szCs w:val="21"/>
                      <w:highlight w:val="none"/>
                    </w:rPr>
                  </w:pPr>
                  <w:r>
                    <w:rPr>
                      <w:rFonts w:hint="eastAsia"/>
                      <w:color w:val="auto"/>
                      <w:szCs w:val="21"/>
                      <w:highlight w:val="none"/>
                    </w:rPr>
                    <w:t>符合</w:t>
                  </w:r>
                </w:p>
              </w:tc>
            </w:tr>
            <w:tr w14:paraId="05FD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17" w:type="pct"/>
                  <w:vMerge w:val="continue"/>
                  <w:vAlign w:val="center"/>
                </w:tcPr>
                <w:p w14:paraId="058A3C06">
                  <w:pPr>
                    <w:widowControl/>
                    <w:jc w:val="center"/>
                    <w:rPr>
                      <w:color w:val="auto"/>
                      <w:szCs w:val="21"/>
                      <w:highlight w:val="none"/>
                    </w:rPr>
                  </w:pPr>
                </w:p>
              </w:tc>
              <w:tc>
                <w:tcPr>
                  <w:tcW w:w="499" w:type="pct"/>
                  <w:vMerge w:val="continue"/>
                  <w:vAlign w:val="center"/>
                </w:tcPr>
                <w:p w14:paraId="710D66FC">
                  <w:pPr>
                    <w:widowControl/>
                    <w:jc w:val="center"/>
                    <w:rPr>
                      <w:color w:val="auto"/>
                      <w:szCs w:val="21"/>
                      <w:highlight w:val="none"/>
                    </w:rPr>
                  </w:pPr>
                </w:p>
              </w:tc>
              <w:tc>
                <w:tcPr>
                  <w:tcW w:w="2091" w:type="pct"/>
                  <w:gridSpan w:val="2"/>
                  <w:vAlign w:val="center"/>
                </w:tcPr>
                <w:p w14:paraId="10631CA2">
                  <w:pPr>
                    <w:widowControl/>
                    <w:jc w:val="center"/>
                    <w:rPr>
                      <w:color w:val="auto"/>
                      <w:szCs w:val="21"/>
                      <w:highlight w:val="none"/>
                    </w:rPr>
                  </w:pPr>
                  <w:r>
                    <w:rPr>
                      <w:color w:val="auto"/>
                      <w:szCs w:val="21"/>
                      <w:highlight w:val="none"/>
                    </w:rPr>
                    <w:t>第六条 严格施工扬尘管理，建筑面积8万平方米以上工地全部安装扬尘在线监测系统并联网。加强道路扬尘控制</w:t>
                  </w:r>
                  <w:r>
                    <w:rPr>
                      <w:rFonts w:hint="eastAsia"/>
                      <w:color w:val="auto"/>
                      <w:szCs w:val="21"/>
                      <w:highlight w:val="none"/>
                    </w:rPr>
                    <w:t>，</w:t>
                  </w:r>
                  <w:r>
                    <w:rPr>
                      <w:color w:val="auto"/>
                      <w:szCs w:val="21"/>
                      <w:highlight w:val="none"/>
                    </w:rPr>
                    <w:t>强化运渣车辆冒装撒漏监管。推进混凝土搅拌站和非煤矿山物料储运系统密闭化改造。</w:t>
                  </w:r>
                </w:p>
              </w:tc>
              <w:tc>
                <w:tcPr>
                  <w:tcW w:w="1460" w:type="pct"/>
                  <w:vAlign w:val="center"/>
                </w:tcPr>
                <w:p w14:paraId="41E51015">
                  <w:pPr>
                    <w:pStyle w:val="5"/>
                    <w:rPr>
                      <w:color w:val="auto"/>
                      <w:sz w:val="21"/>
                      <w:szCs w:val="21"/>
                      <w:highlight w:val="none"/>
                    </w:rPr>
                  </w:pPr>
                  <w:r>
                    <w:rPr>
                      <w:rFonts w:hint="eastAsia"/>
                      <w:color w:val="auto"/>
                      <w:sz w:val="21"/>
                      <w:szCs w:val="21"/>
                      <w:highlight w:val="none"/>
                    </w:rPr>
                    <w:t>本项目拟租赁重庆市厨鼎食品有限公司厂区1#闲置厂房进行项目建设，</w:t>
                  </w:r>
                  <w:r>
                    <w:rPr>
                      <w:rFonts w:hint="eastAsia"/>
                      <w:color w:val="auto"/>
                      <w:sz w:val="21"/>
                      <w:szCs w:val="16"/>
                      <w:highlight w:val="none"/>
                    </w:rPr>
                    <w:t>施工期仅涉及装修和设备安装等，不涉及施工道路扬尘污染及混</w:t>
                  </w:r>
                  <w:r>
                    <w:rPr>
                      <w:color w:val="auto"/>
                      <w:sz w:val="21"/>
                      <w:szCs w:val="21"/>
                      <w:highlight w:val="none"/>
                    </w:rPr>
                    <w:t>凝土搅拌站和非煤矿山物料储运系统</w:t>
                  </w:r>
                  <w:r>
                    <w:rPr>
                      <w:rFonts w:hint="eastAsia"/>
                      <w:color w:val="auto"/>
                      <w:sz w:val="21"/>
                      <w:szCs w:val="21"/>
                      <w:highlight w:val="none"/>
                    </w:rPr>
                    <w:t>。</w:t>
                  </w:r>
                </w:p>
              </w:tc>
              <w:tc>
                <w:tcPr>
                  <w:tcW w:w="531" w:type="pct"/>
                  <w:vAlign w:val="center"/>
                </w:tcPr>
                <w:p w14:paraId="10552454">
                  <w:pPr>
                    <w:widowControl/>
                    <w:jc w:val="center"/>
                    <w:rPr>
                      <w:color w:val="auto"/>
                      <w:szCs w:val="21"/>
                      <w:highlight w:val="none"/>
                    </w:rPr>
                  </w:pPr>
                  <w:r>
                    <w:rPr>
                      <w:rFonts w:hint="eastAsia"/>
                      <w:color w:val="auto"/>
                      <w:szCs w:val="21"/>
                      <w:highlight w:val="none"/>
                    </w:rPr>
                    <w:t>符合</w:t>
                  </w:r>
                </w:p>
              </w:tc>
            </w:tr>
            <w:tr w14:paraId="37AF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17" w:type="pct"/>
                  <w:vMerge w:val="continue"/>
                  <w:vAlign w:val="center"/>
                </w:tcPr>
                <w:p w14:paraId="782AEC54">
                  <w:pPr>
                    <w:widowControl/>
                    <w:jc w:val="center"/>
                    <w:rPr>
                      <w:color w:val="auto"/>
                      <w:szCs w:val="21"/>
                      <w:highlight w:val="none"/>
                    </w:rPr>
                  </w:pPr>
                </w:p>
              </w:tc>
              <w:tc>
                <w:tcPr>
                  <w:tcW w:w="499" w:type="pct"/>
                  <w:vMerge w:val="continue"/>
                  <w:vAlign w:val="center"/>
                </w:tcPr>
                <w:p w14:paraId="2B04EE39">
                  <w:pPr>
                    <w:widowControl/>
                    <w:jc w:val="center"/>
                    <w:rPr>
                      <w:color w:val="auto"/>
                      <w:szCs w:val="21"/>
                      <w:highlight w:val="none"/>
                    </w:rPr>
                  </w:pPr>
                </w:p>
              </w:tc>
              <w:tc>
                <w:tcPr>
                  <w:tcW w:w="2091" w:type="pct"/>
                  <w:gridSpan w:val="2"/>
                  <w:vAlign w:val="center"/>
                </w:tcPr>
                <w:p w14:paraId="4B3D951B">
                  <w:pPr>
                    <w:widowControl/>
                    <w:jc w:val="center"/>
                    <w:rPr>
                      <w:color w:val="auto"/>
                      <w:szCs w:val="21"/>
                      <w:highlight w:val="none"/>
                    </w:rPr>
                  </w:pPr>
                  <w:r>
                    <w:rPr>
                      <w:color w:val="auto"/>
                      <w:szCs w:val="21"/>
                      <w:highlight w:val="none"/>
                    </w:rPr>
                    <w:t>第七条 加快大宗货物和中长途货物运输“公转铁、公转水”，大力发展铁水、公铁、公水等多式联运，大宗物料优先采用铁路、管道或水路运输，短途接驳优先使用新能源车辆运输</w:t>
                  </w:r>
                  <w:r>
                    <w:rPr>
                      <w:rFonts w:hint="eastAsia"/>
                      <w:color w:val="auto"/>
                      <w:szCs w:val="21"/>
                      <w:highlight w:val="none"/>
                    </w:rPr>
                    <w:t>；</w:t>
                  </w:r>
                  <w:r>
                    <w:rPr>
                      <w:color w:val="auto"/>
                      <w:szCs w:val="21"/>
                      <w:highlight w:val="none"/>
                    </w:rPr>
                    <w:t>加强船舶和非道路移动机械排气污染防治，提高燃油车船能效标准，健全交通运输装备能效标识制度，加快淘汰高耗能高排放老旧车船。全面实施汽车国六排放标准和非道路移动柴油机械国四排放标准。</w:t>
                  </w:r>
                </w:p>
              </w:tc>
              <w:tc>
                <w:tcPr>
                  <w:tcW w:w="1460" w:type="pct"/>
                  <w:vAlign w:val="center"/>
                </w:tcPr>
                <w:p w14:paraId="2CA50888">
                  <w:pPr>
                    <w:widowControl/>
                    <w:jc w:val="center"/>
                    <w:rPr>
                      <w:color w:val="auto"/>
                      <w:szCs w:val="21"/>
                      <w:highlight w:val="none"/>
                    </w:rPr>
                  </w:pPr>
                  <w:r>
                    <w:rPr>
                      <w:rFonts w:hint="eastAsia"/>
                      <w:color w:val="auto"/>
                      <w:szCs w:val="21"/>
                      <w:highlight w:val="none"/>
                    </w:rPr>
                    <w:t>本项目不涉及</w:t>
                  </w:r>
                  <w:r>
                    <w:rPr>
                      <w:color w:val="auto"/>
                      <w:szCs w:val="21"/>
                      <w:highlight w:val="none"/>
                    </w:rPr>
                    <w:t>大宗货物和中长途货物运输</w:t>
                  </w:r>
                  <w:r>
                    <w:rPr>
                      <w:rFonts w:hint="eastAsia"/>
                      <w:color w:val="auto"/>
                      <w:szCs w:val="21"/>
                      <w:highlight w:val="none"/>
                    </w:rPr>
                    <w:t>，不涉及</w:t>
                  </w:r>
                  <w:r>
                    <w:rPr>
                      <w:color w:val="auto"/>
                      <w:szCs w:val="21"/>
                      <w:highlight w:val="none"/>
                    </w:rPr>
                    <w:t>船舶和非道路移动机械</w:t>
                  </w:r>
                  <w:r>
                    <w:rPr>
                      <w:rFonts w:hint="eastAsia"/>
                      <w:color w:val="auto"/>
                      <w:szCs w:val="21"/>
                      <w:highlight w:val="none"/>
                    </w:rPr>
                    <w:t>。</w:t>
                  </w:r>
                </w:p>
              </w:tc>
              <w:tc>
                <w:tcPr>
                  <w:tcW w:w="531" w:type="pct"/>
                  <w:vAlign w:val="center"/>
                </w:tcPr>
                <w:p w14:paraId="2D5D8301">
                  <w:pPr>
                    <w:widowControl/>
                    <w:jc w:val="center"/>
                    <w:rPr>
                      <w:color w:val="auto"/>
                      <w:szCs w:val="21"/>
                      <w:highlight w:val="none"/>
                    </w:rPr>
                  </w:pPr>
                  <w:r>
                    <w:rPr>
                      <w:rFonts w:hint="eastAsia"/>
                      <w:color w:val="auto"/>
                      <w:szCs w:val="21"/>
                      <w:highlight w:val="none"/>
                    </w:rPr>
                    <w:t>符合</w:t>
                  </w:r>
                </w:p>
              </w:tc>
            </w:tr>
            <w:tr w14:paraId="2AEC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17" w:type="pct"/>
                  <w:vMerge w:val="continue"/>
                  <w:vAlign w:val="center"/>
                </w:tcPr>
                <w:p w14:paraId="3B8831E2">
                  <w:pPr>
                    <w:widowControl/>
                    <w:jc w:val="center"/>
                    <w:rPr>
                      <w:color w:val="auto"/>
                      <w:szCs w:val="21"/>
                      <w:highlight w:val="none"/>
                    </w:rPr>
                  </w:pPr>
                </w:p>
              </w:tc>
              <w:tc>
                <w:tcPr>
                  <w:tcW w:w="499" w:type="pct"/>
                  <w:vMerge w:val="continue"/>
                  <w:vAlign w:val="center"/>
                </w:tcPr>
                <w:p w14:paraId="5290F145">
                  <w:pPr>
                    <w:widowControl/>
                    <w:jc w:val="center"/>
                    <w:rPr>
                      <w:color w:val="auto"/>
                      <w:szCs w:val="21"/>
                      <w:highlight w:val="none"/>
                    </w:rPr>
                  </w:pPr>
                </w:p>
              </w:tc>
              <w:tc>
                <w:tcPr>
                  <w:tcW w:w="2091" w:type="pct"/>
                  <w:gridSpan w:val="2"/>
                  <w:vAlign w:val="center"/>
                </w:tcPr>
                <w:p w14:paraId="258909A0">
                  <w:pPr>
                    <w:widowControl/>
                    <w:jc w:val="center"/>
                    <w:rPr>
                      <w:color w:val="auto"/>
                      <w:szCs w:val="21"/>
                      <w:highlight w:val="none"/>
                    </w:rPr>
                  </w:pPr>
                  <w:r>
                    <w:rPr>
                      <w:color w:val="auto"/>
                      <w:szCs w:val="21"/>
                      <w:highlight w:val="none"/>
                    </w:rPr>
                    <w:t>第八条 推动新建小区公共烟道建设油烟集中处置设施，实现居民生活油烟达标排放，减少生活有机溶剂使用，针对建筑装修、汽修喷涂作业、干洗等行业，严格执行有机溶剂 VOCs 含量限值标准，鼓励使用低毒、低挥发性溶剂。</w:t>
                  </w:r>
                </w:p>
              </w:tc>
              <w:tc>
                <w:tcPr>
                  <w:tcW w:w="1460" w:type="pct"/>
                  <w:vAlign w:val="center"/>
                </w:tcPr>
                <w:p w14:paraId="6FB99B56">
                  <w:pPr>
                    <w:widowControl/>
                    <w:jc w:val="center"/>
                    <w:rPr>
                      <w:color w:val="auto"/>
                      <w:szCs w:val="21"/>
                      <w:highlight w:val="none"/>
                    </w:rPr>
                  </w:pPr>
                  <w:r>
                    <w:rPr>
                      <w:rFonts w:hint="eastAsia"/>
                      <w:color w:val="auto"/>
                      <w:szCs w:val="21"/>
                      <w:highlight w:val="none"/>
                    </w:rPr>
                    <w:t>本项目位于龙市镇工业组团，不涉及新建小区</w:t>
                  </w:r>
                </w:p>
              </w:tc>
              <w:tc>
                <w:tcPr>
                  <w:tcW w:w="531" w:type="pct"/>
                  <w:vAlign w:val="center"/>
                </w:tcPr>
                <w:p w14:paraId="5DDBAD8E">
                  <w:pPr>
                    <w:widowControl/>
                    <w:jc w:val="center"/>
                    <w:rPr>
                      <w:color w:val="auto"/>
                      <w:szCs w:val="21"/>
                      <w:highlight w:val="none"/>
                    </w:rPr>
                  </w:pPr>
                  <w:r>
                    <w:rPr>
                      <w:rFonts w:hint="eastAsia"/>
                      <w:color w:val="auto"/>
                      <w:szCs w:val="21"/>
                      <w:highlight w:val="none"/>
                    </w:rPr>
                    <w:t>符合</w:t>
                  </w:r>
                </w:p>
              </w:tc>
            </w:tr>
            <w:tr w14:paraId="3914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7" w:type="pct"/>
                  <w:vMerge w:val="continue"/>
                  <w:vAlign w:val="center"/>
                </w:tcPr>
                <w:p w14:paraId="13FB12CE">
                  <w:pPr>
                    <w:widowControl/>
                    <w:jc w:val="center"/>
                    <w:rPr>
                      <w:color w:val="auto"/>
                      <w:szCs w:val="21"/>
                      <w:highlight w:val="none"/>
                    </w:rPr>
                  </w:pPr>
                </w:p>
              </w:tc>
              <w:tc>
                <w:tcPr>
                  <w:tcW w:w="499" w:type="pct"/>
                  <w:vMerge w:val="restart"/>
                  <w:vAlign w:val="center"/>
                </w:tcPr>
                <w:p w14:paraId="061ECBB6">
                  <w:pPr>
                    <w:widowControl/>
                    <w:jc w:val="center"/>
                    <w:rPr>
                      <w:color w:val="auto"/>
                      <w:szCs w:val="21"/>
                      <w:highlight w:val="none"/>
                    </w:rPr>
                  </w:pPr>
                  <w:r>
                    <w:rPr>
                      <w:color w:val="auto"/>
                      <w:szCs w:val="21"/>
                      <w:highlight w:val="none"/>
                    </w:rPr>
                    <w:t>环境风险防控</w:t>
                  </w:r>
                </w:p>
              </w:tc>
              <w:tc>
                <w:tcPr>
                  <w:tcW w:w="2091" w:type="pct"/>
                  <w:gridSpan w:val="2"/>
                  <w:vAlign w:val="center"/>
                </w:tcPr>
                <w:p w14:paraId="000B1E75">
                  <w:pPr>
                    <w:widowControl/>
                    <w:jc w:val="center"/>
                    <w:rPr>
                      <w:color w:val="auto"/>
                      <w:szCs w:val="21"/>
                      <w:highlight w:val="none"/>
                    </w:rPr>
                  </w:pPr>
                  <w:r>
                    <w:rPr>
                      <w:color w:val="auto"/>
                      <w:szCs w:val="21"/>
                      <w:highlight w:val="none"/>
                    </w:rPr>
                    <w:t>第九条 执行重点管控单元市级总体要求第十六条。</w:t>
                  </w:r>
                </w:p>
              </w:tc>
              <w:tc>
                <w:tcPr>
                  <w:tcW w:w="1460" w:type="pct"/>
                  <w:vAlign w:val="center"/>
                </w:tcPr>
                <w:p w14:paraId="68CFD26C">
                  <w:pPr>
                    <w:pStyle w:val="5"/>
                    <w:rPr>
                      <w:color w:val="auto"/>
                      <w:sz w:val="21"/>
                      <w:szCs w:val="21"/>
                      <w:highlight w:val="none"/>
                    </w:rPr>
                  </w:pPr>
                  <w:r>
                    <w:rPr>
                      <w:rFonts w:hint="eastAsia"/>
                      <w:color w:val="auto"/>
                      <w:sz w:val="21"/>
                      <w:szCs w:val="16"/>
                      <w:highlight w:val="none"/>
                    </w:rPr>
                    <w:t>本项目位于龙市镇工业组团，不涉及危化品和危险工艺，不产生危险固体废物，发生突发环境事件概率较小。</w:t>
                  </w:r>
                </w:p>
              </w:tc>
              <w:tc>
                <w:tcPr>
                  <w:tcW w:w="531" w:type="pct"/>
                  <w:vAlign w:val="center"/>
                </w:tcPr>
                <w:p w14:paraId="527DC952">
                  <w:pPr>
                    <w:widowControl/>
                    <w:jc w:val="center"/>
                    <w:rPr>
                      <w:color w:val="auto"/>
                      <w:szCs w:val="21"/>
                      <w:highlight w:val="none"/>
                    </w:rPr>
                  </w:pPr>
                  <w:r>
                    <w:rPr>
                      <w:rFonts w:hint="eastAsia"/>
                      <w:color w:val="auto"/>
                      <w:szCs w:val="21"/>
                      <w:highlight w:val="none"/>
                    </w:rPr>
                    <w:t>符合</w:t>
                  </w:r>
                </w:p>
              </w:tc>
            </w:tr>
            <w:tr w14:paraId="695C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7" w:type="pct"/>
                  <w:vMerge w:val="continue"/>
                  <w:vAlign w:val="center"/>
                </w:tcPr>
                <w:p w14:paraId="53D81FC3">
                  <w:pPr>
                    <w:widowControl/>
                    <w:jc w:val="center"/>
                    <w:rPr>
                      <w:color w:val="auto"/>
                      <w:highlight w:val="none"/>
                    </w:rPr>
                  </w:pPr>
                </w:p>
              </w:tc>
              <w:tc>
                <w:tcPr>
                  <w:tcW w:w="499" w:type="pct"/>
                  <w:vMerge w:val="continue"/>
                  <w:vAlign w:val="center"/>
                </w:tcPr>
                <w:p w14:paraId="7B128218">
                  <w:pPr>
                    <w:widowControl/>
                    <w:jc w:val="center"/>
                    <w:rPr>
                      <w:color w:val="auto"/>
                      <w:highlight w:val="none"/>
                    </w:rPr>
                  </w:pPr>
                </w:p>
              </w:tc>
              <w:tc>
                <w:tcPr>
                  <w:tcW w:w="2091" w:type="pct"/>
                  <w:gridSpan w:val="2"/>
                  <w:vAlign w:val="center"/>
                </w:tcPr>
                <w:p w14:paraId="6B19A39B">
                  <w:pPr>
                    <w:widowControl/>
                    <w:jc w:val="center"/>
                    <w:rPr>
                      <w:color w:val="auto"/>
                      <w:szCs w:val="21"/>
                      <w:highlight w:val="none"/>
                    </w:rPr>
                  </w:pPr>
                  <w:r>
                    <w:rPr>
                      <w:color w:val="auto"/>
                      <w:szCs w:val="21"/>
                      <w:highlight w:val="none"/>
                    </w:rPr>
                    <w:t>第十条 强化工业园区环境风险管控。完善工业园区现有重大风险源的风险防范体系和应急预案，定期开展应急事故演练，并加强监管</w:t>
                  </w:r>
                  <w:r>
                    <w:rPr>
                      <w:rFonts w:hint="eastAsia"/>
                      <w:color w:val="auto"/>
                      <w:szCs w:val="21"/>
                      <w:highlight w:val="none"/>
                    </w:rPr>
                    <w:t>；</w:t>
                  </w:r>
                  <w:r>
                    <w:rPr>
                      <w:color w:val="auto"/>
                      <w:szCs w:val="21"/>
                      <w:highlight w:val="none"/>
                    </w:rPr>
                    <w:t>实施技术、工艺、设备等生态化、循环化改造，加快布局分散的企业向园区集中，按要求设置生态隔离带，建设相应的防护工程。强化环境应急队伍建设和物资储备</w:t>
                  </w:r>
                </w:p>
              </w:tc>
              <w:tc>
                <w:tcPr>
                  <w:tcW w:w="1460" w:type="pct"/>
                  <w:vAlign w:val="center"/>
                </w:tcPr>
                <w:p w14:paraId="1F8AFDCC">
                  <w:pPr>
                    <w:widowControl/>
                    <w:jc w:val="center"/>
                    <w:rPr>
                      <w:color w:val="auto"/>
                      <w:szCs w:val="21"/>
                      <w:highlight w:val="none"/>
                    </w:rPr>
                  </w:pPr>
                  <w:r>
                    <w:rPr>
                      <w:rFonts w:hint="eastAsia" w:hAnsi="宋体"/>
                      <w:color w:val="auto"/>
                      <w:spacing w:val="-6"/>
                      <w:kern w:val="0"/>
                      <w:szCs w:val="21"/>
                      <w:highlight w:val="none"/>
                    </w:rPr>
                    <w:t>本</w:t>
                  </w:r>
                  <w:r>
                    <w:rPr>
                      <w:rFonts w:hAnsi="宋体"/>
                      <w:color w:val="auto"/>
                      <w:spacing w:val="-6"/>
                      <w:kern w:val="0"/>
                      <w:szCs w:val="21"/>
                      <w:highlight w:val="none"/>
                    </w:rPr>
                    <w:t>项目位于</w:t>
                  </w:r>
                  <w:r>
                    <w:rPr>
                      <w:rFonts w:hint="eastAsia" w:hAnsi="宋体"/>
                      <w:color w:val="auto"/>
                      <w:spacing w:val="-6"/>
                      <w:kern w:val="0"/>
                      <w:szCs w:val="21"/>
                      <w:highlight w:val="none"/>
                    </w:rPr>
                    <w:t>合川区龙市镇工业组团，不属于化工园区，不涉及该条要求</w:t>
                  </w:r>
                </w:p>
              </w:tc>
              <w:tc>
                <w:tcPr>
                  <w:tcW w:w="531" w:type="pct"/>
                  <w:vAlign w:val="center"/>
                </w:tcPr>
                <w:p w14:paraId="1CAAE7FC">
                  <w:pPr>
                    <w:widowControl/>
                    <w:jc w:val="center"/>
                    <w:rPr>
                      <w:color w:val="auto"/>
                      <w:szCs w:val="21"/>
                      <w:highlight w:val="none"/>
                    </w:rPr>
                  </w:pPr>
                  <w:r>
                    <w:rPr>
                      <w:rFonts w:hint="eastAsia"/>
                      <w:color w:val="auto"/>
                      <w:szCs w:val="21"/>
                      <w:highlight w:val="none"/>
                    </w:rPr>
                    <w:t>符合</w:t>
                  </w:r>
                </w:p>
              </w:tc>
            </w:tr>
            <w:tr w14:paraId="2154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7" w:type="pct"/>
                  <w:vMerge w:val="continue"/>
                  <w:vAlign w:val="center"/>
                </w:tcPr>
                <w:p w14:paraId="58EB36B1">
                  <w:pPr>
                    <w:widowControl/>
                    <w:jc w:val="center"/>
                    <w:rPr>
                      <w:color w:val="auto"/>
                      <w:szCs w:val="21"/>
                      <w:highlight w:val="none"/>
                    </w:rPr>
                  </w:pPr>
                </w:p>
              </w:tc>
              <w:tc>
                <w:tcPr>
                  <w:tcW w:w="499" w:type="pct"/>
                  <w:vMerge w:val="continue"/>
                  <w:vAlign w:val="center"/>
                </w:tcPr>
                <w:p w14:paraId="12A5FE35">
                  <w:pPr>
                    <w:widowControl/>
                    <w:jc w:val="center"/>
                    <w:rPr>
                      <w:color w:val="auto"/>
                      <w:szCs w:val="21"/>
                      <w:highlight w:val="none"/>
                    </w:rPr>
                  </w:pPr>
                </w:p>
              </w:tc>
              <w:tc>
                <w:tcPr>
                  <w:tcW w:w="2091" w:type="pct"/>
                  <w:gridSpan w:val="2"/>
                  <w:vAlign w:val="center"/>
                </w:tcPr>
                <w:p w14:paraId="586636EE">
                  <w:pPr>
                    <w:widowControl/>
                    <w:jc w:val="center"/>
                    <w:rPr>
                      <w:color w:val="auto"/>
                      <w:szCs w:val="21"/>
                      <w:highlight w:val="none"/>
                    </w:rPr>
                  </w:pPr>
                  <w:r>
                    <w:rPr>
                      <w:color w:val="auto"/>
                      <w:szCs w:val="21"/>
                      <w:highlight w:val="none"/>
                    </w:rPr>
                    <w:t>第十一条 工业集聚区内的项目对水环境存在安全隐患的，应当建立车间、工厂和集聚区三级环境风险防范体系。</w:t>
                  </w:r>
                </w:p>
              </w:tc>
              <w:tc>
                <w:tcPr>
                  <w:tcW w:w="1460" w:type="pct"/>
                  <w:vAlign w:val="center"/>
                </w:tcPr>
                <w:p w14:paraId="560E5C37">
                  <w:pPr>
                    <w:widowControl/>
                    <w:jc w:val="center"/>
                    <w:rPr>
                      <w:color w:val="auto"/>
                      <w:szCs w:val="21"/>
                      <w:highlight w:val="none"/>
                    </w:rPr>
                  </w:pPr>
                  <w:r>
                    <w:rPr>
                      <w:rFonts w:hint="eastAsia"/>
                      <w:color w:val="auto"/>
                      <w:szCs w:val="21"/>
                      <w:highlight w:val="none"/>
                    </w:rPr>
                    <w:t>本项目不涉及废水的直接排放，对水环境不存在安全隐患</w:t>
                  </w:r>
                </w:p>
              </w:tc>
              <w:tc>
                <w:tcPr>
                  <w:tcW w:w="531" w:type="pct"/>
                  <w:vAlign w:val="center"/>
                </w:tcPr>
                <w:p w14:paraId="77FFEB98">
                  <w:pPr>
                    <w:widowControl/>
                    <w:jc w:val="center"/>
                    <w:rPr>
                      <w:color w:val="auto"/>
                      <w:szCs w:val="21"/>
                      <w:highlight w:val="none"/>
                    </w:rPr>
                  </w:pPr>
                  <w:r>
                    <w:rPr>
                      <w:rFonts w:hint="eastAsia"/>
                      <w:color w:val="auto"/>
                      <w:szCs w:val="21"/>
                      <w:highlight w:val="none"/>
                    </w:rPr>
                    <w:t>符合</w:t>
                  </w:r>
                </w:p>
              </w:tc>
            </w:tr>
            <w:tr w14:paraId="56DB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7" w:type="pct"/>
                  <w:vMerge w:val="continue"/>
                  <w:vAlign w:val="center"/>
                </w:tcPr>
                <w:p w14:paraId="6A53E37A">
                  <w:pPr>
                    <w:widowControl/>
                    <w:jc w:val="center"/>
                    <w:rPr>
                      <w:color w:val="auto"/>
                      <w:szCs w:val="21"/>
                      <w:highlight w:val="none"/>
                    </w:rPr>
                  </w:pPr>
                </w:p>
              </w:tc>
              <w:tc>
                <w:tcPr>
                  <w:tcW w:w="499" w:type="pct"/>
                  <w:vMerge w:val="continue"/>
                  <w:vAlign w:val="center"/>
                </w:tcPr>
                <w:p w14:paraId="53371BC6">
                  <w:pPr>
                    <w:widowControl/>
                    <w:jc w:val="center"/>
                    <w:rPr>
                      <w:color w:val="auto"/>
                      <w:szCs w:val="21"/>
                      <w:highlight w:val="none"/>
                    </w:rPr>
                  </w:pPr>
                </w:p>
              </w:tc>
              <w:tc>
                <w:tcPr>
                  <w:tcW w:w="2091" w:type="pct"/>
                  <w:gridSpan w:val="2"/>
                  <w:vAlign w:val="center"/>
                </w:tcPr>
                <w:p w14:paraId="0F942427">
                  <w:pPr>
                    <w:widowControl/>
                    <w:jc w:val="center"/>
                    <w:rPr>
                      <w:color w:val="auto"/>
                      <w:szCs w:val="21"/>
                      <w:highlight w:val="none"/>
                    </w:rPr>
                  </w:pPr>
                  <w:r>
                    <w:rPr>
                      <w:color w:val="auto"/>
                      <w:szCs w:val="21"/>
                      <w:highlight w:val="none"/>
                    </w:rPr>
                    <w:t>第十二条 深化区域联防联控机制，进一步健全与遂宁、广安、潼南、铜梁、北碚等地突发环境事件应急响应机制</w:t>
                  </w:r>
                  <w:r>
                    <w:rPr>
                      <w:rFonts w:hint="eastAsia"/>
                      <w:color w:val="auto"/>
                      <w:szCs w:val="21"/>
                      <w:highlight w:val="none"/>
                    </w:rPr>
                    <w:t>，</w:t>
                  </w:r>
                  <w:r>
                    <w:rPr>
                      <w:color w:val="auto"/>
                      <w:szCs w:val="21"/>
                      <w:highlight w:val="none"/>
                    </w:rPr>
                    <w:t>有效预防和应对跨区域的突发环境风险事件。</w:t>
                  </w:r>
                </w:p>
              </w:tc>
              <w:tc>
                <w:tcPr>
                  <w:tcW w:w="1460" w:type="pct"/>
                  <w:vAlign w:val="center"/>
                </w:tcPr>
                <w:p w14:paraId="017F9360">
                  <w:pPr>
                    <w:widowControl/>
                    <w:jc w:val="center"/>
                    <w:rPr>
                      <w:color w:val="auto"/>
                      <w:szCs w:val="21"/>
                      <w:highlight w:val="none"/>
                    </w:rPr>
                  </w:pPr>
                  <w:r>
                    <w:rPr>
                      <w:rFonts w:hint="eastAsia"/>
                      <w:color w:val="auto"/>
                      <w:szCs w:val="21"/>
                      <w:highlight w:val="none"/>
                    </w:rPr>
                    <w:t>本项目不涉及</w:t>
                  </w:r>
                  <w:r>
                    <w:rPr>
                      <w:color w:val="auto"/>
                      <w:szCs w:val="21"/>
                      <w:highlight w:val="none"/>
                    </w:rPr>
                    <w:t>跨区域的突发环境风险事件</w:t>
                  </w:r>
                  <w:r>
                    <w:rPr>
                      <w:rFonts w:hint="eastAsia"/>
                      <w:color w:val="auto"/>
                      <w:szCs w:val="21"/>
                      <w:highlight w:val="none"/>
                    </w:rPr>
                    <w:t>响应机制</w:t>
                  </w:r>
                  <w:r>
                    <w:rPr>
                      <w:color w:val="auto"/>
                      <w:szCs w:val="21"/>
                      <w:highlight w:val="none"/>
                    </w:rPr>
                    <w:t>。</w:t>
                  </w:r>
                </w:p>
              </w:tc>
              <w:tc>
                <w:tcPr>
                  <w:tcW w:w="531" w:type="pct"/>
                  <w:vAlign w:val="center"/>
                </w:tcPr>
                <w:p w14:paraId="5461A39D">
                  <w:pPr>
                    <w:widowControl/>
                    <w:jc w:val="center"/>
                    <w:rPr>
                      <w:color w:val="auto"/>
                      <w:szCs w:val="21"/>
                      <w:highlight w:val="none"/>
                    </w:rPr>
                  </w:pPr>
                </w:p>
              </w:tc>
            </w:tr>
            <w:tr w14:paraId="24F6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17" w:type="pct"/>
                  <w:vMerge w:val="continue"/>
                  <w:vAlign w:val="center"/>
                </w:tcPr>
                <w:p w14:paraId="368C267F">
                  <w:pPr>
                    <w:widowControl/>
                    <w:jc w:val="center"/>
                    <w:rPr>
                      <w:color w:val="auto"/>
                      <w:szCs w:val="21"/>
                      <w:highlight w:val="none"/>
                    </w:rPr>
                  </w:pPr>
                </w:p>
              </w:tc>
              <w:tc>
                <w:tcPr>
                  <w:tcW w:w="499" w:type="pct"/>
                  <w:vMerge w:val="restart"/>
                  <w:vAlign w:val="center"/>
                </w:tcPr>
                <w:p w14:paraId="13CFD927">
                  <w:pPr>
                    <w:widowControl/>
                    <w:jc w:val="center"/>
                    <w:rPr>
                      <w:color w:val="auto"/>
                      <w:szCs w:val="21"/>
                      <w:highlight w:val="none"/>
                    </w:rPr>
                  </w:pPr>
                  <w:r>
                    <w:rPr>
                      <w:color w:val="auto"/>
                      <w:szCs w:val="21"/>
                      <w:highlight w:val="none"/>
                    </w:rPr>
                    <w:t>资源开发利用效率</w:t>
                  </w:r>
                </w:p>
              </w:tc>
              <w:tc>
                <w:tcPr>
                  <w:tcW w:w="2091" w:type="pct"/>
                  <w:gridSpan w:val="2"/>
                  <w:vAlign w:val="center"/>
                </w:tcPr>
                <w:p w14:paraId="3763EC6C">
                  <w:pPr>
                    <w:widowControl/>
                    <w:jc w:val="center"/>
                    <w:rPr>
                      <w:color w:val="auto"/>
                      <w:szCs w:val="21"/>
                      <w:highlight w:val="none"/>
                    </w:rPr>
                  </w:pPr>
                  <w:r>
                    <w:rPr>
                      <w:color w:val="auto"/>
                      <w:szCs w:val="21"/>
                      <w:highlight w:val="none"/>
                    </w:rPr>
                    <w:t>第十三条 执行重点管控单元市级总体要求第十八条、第十九条、第二十条、第二十一条和第二十二条。</w:t>
                  </w:r>
                </w:p>
              </w:tc>
              <w:tc>
                <w:tcPr>
                  <w:tcW w:w="1460" w:type="pct"/>
                  <w:vAlign w:val="center"/>
                </w:tcPr>
                <w:p w14:paraId="2F1A2C0B">
                  <w:pPr>
                    <w:widowControl/>
                    <w:jc w:val="center"/>
                    <w:rPr>
                      <w:color w:val="auto"/>
                      <w:szCs w:val="21"/>
                      <w:highlight w:val="none"/>
                    </w:rPr>
                  </w:pPr>
                  <w:r>
                    <w:rPr>
                      <w:rFonts w:hint="eastAsia"/>
                      <w:color w:val="auto"/>
                      <w:szCs w:val="21"/>
                      <w:highlight w:val="none"/>
                    </w:rPr>
                    <w:t>根据上述</w:t>
                  </w:r>
                  <w:r>
                    <w:rPr>
                      <w:color w:val="auto"/>
                      <w:szCs w:val="21"/>
                      <w:highlight w:val="none"/>
                    </w:rPr>
                    <w:t>重点管控单元市级总体要求第十八条、第十九条、第二十条、第二十一条和第二十二条</w:t>
                  </w:r>
                  <w:r>
                    <w:rPr>
                      <w:rFonts w:hint="eastAsia"/>
                      <w:color w:val="auto"/>
                      <w:szCs w:val="21"/>
                      <w:highlight w:val="none"/>
                    </w:rPr>
                    <w:t>分析可知，本项目符合相关要求</w:t>
                  </w:r>
                </w:p>
              </w:tc>
              <w:tc>
                <w:tcPr>
                  <w:tcW w:w="531" w:type="pct"/>
                  <w:vAlign w:val="center"/>
                </w:tcPr>
                <w:p w14:paraId="187DE0C0">
                  <w:pPr>
                    <w:widowControl/>
                    <w:jc w:val="center"/>
                    <w:rPr>
                      <w:color w:val="auto"/>
                      <w:szCs w:val="21"/>
                      <w:highlight w:val="none"/>
                    </w:rPr>
                  </w:pPr>
                  <w:r>
                    <w:rPr>
                      <w:rFonts w:hint="eastAsia"/>
                      <w:color w:val="auto"/>
                      <w:szCs w:val="21"/>
                      <w:highlight w:val="none"/>
                    </w:rPr>
                    <w:t>符合</w:t>
                  </w:r>
                </w:p>
              </w:tc>
            </w:tr>
            <w:tr w14:paraId="200F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17" w:type="pct"/>
                  <w:vMerge w:val="continue"/>
                  <w:vAlign w:val="center"/>
                </w:tcPr>
                <w:p w14:paraId="2E677484">
                  <w:pPr>
                    <w:widowControl/>
                    <w:jc w:val="center"/>
                    <w:rPr>
                      <w:color w:val="auto"/>
                      <w:highlight w:val="none"/>
                    </w:rPr>
                  </w:pPr>
                </w:p>
              </w:tc>
              <w:tc>
                <w:tcPr>
                  <w:tcW w:w="499" w:type="pct"/>
                  <w:vMerge w:val="continue"/>
                  <w:vAlign w:val="center"/>
                </w:tcPr>
                <w:p w14:paraId="3406AD4B">
                  <w:pPr>
                    <w:widowControl/>
                    <w:jc w:val="center"/>
                    <w:rPr>
                      <w:color w:val="auto"/>
                      <w:highlight w:val="none"/>
                    </w:rPr>
                  </w:pPr>
                </w:p>
              </w:tc>
              <w:tc>
                <w:tcPr>
                  <w:tcW w:w="2091" w:type="pct"/>
                  <w:gridSpan w:val="2"/>
                  <w:vAlign w:val="center"/>
                </w:tcPr>
                <w:p w14:paraId="6EF2E5D1">
                  <w:pPr>
                    <w:widowControl/>
                    <w:jc w:val="center"/>
                    <w:rPr>
                      <w:color w:val="auto"/>
                      <w:szCs w:val="21"/>
                      <w:highlight w:val="none"/>
                    </w:rPr>
                  </w:pPr>
                  <w:r>
                    <w:rPr>
                      <w:color w:val="auto"/>
                      <w:szCs w:val="21"/>
                      <w:highlight w:val="none"/>
                    </w:rPr>
                    <w:t>第十四条 严控煤炭消费总量，逐步降低煤炭消费比重，新建耗煤项目实行煤炭减量替代，逐步推进天然气、电力及可再生能源替代，持续推进煤炭消费总量及比重持续下降。推进水泥、玻璃等行业开展煤炭清洁高效利用。</w:t>
                  </w:r>
                </w:p>
              </w:tc>
              <w:tc>
                <w:tcPr>
                  <w:tcW w:w="1460" w:type="pct"/>
                  <w:vAlign w:val="center"/>
                </w:tcPr>
                <w:p w14:paraId="31CD9B85">
                  <w:pPr>
                    <w:widowControl/>
                    <w:jc w:val="center"/>
                    <w:rPr>
                      <w:color w:val="auto"/>
                      <w:szCs w:val="21"/>
                      <w:highlight w:val="none"/>
                    </w:rPr>
                  </w:pPr>
                  <w:r>
                    <w:rPr>
                      <w:rFonts w:hint="eastAsia"/>
                      <w:color w:val="auto"/>
                      <w:szCs w:val="21"/>
                      <w:highlight w:val="none"/>
                    </w:rPr>
                    <w:t>本项目使用电作为能源，不属于耗煤项目。</w:t>
                  </w:r>
                </w:p>
              </w:tc>
              <w:tc>
                <w:tcPr>
                  <w:tcW w:w="531" w:type="pct"/>
                  <w:vAlign w:val="center"/>
                </w:tcPr>
                <w:p w14:paraId="4630A9F8">
                  <w:pPr>
                    <w:widowControl/>
                    <w:jc w:val="center"/>
                    <w:rPr>
                      <w:color w:val="auto"/>
                      <w:szCs w:val="21"/>
                      <w:highlight w:val="none"/>
                    </w:rPr>
                  </w:pPr>
                  <w:r>
                    <w:rPr>
                      <w:rFonts w:hint="eastAsia"/>
                      <w:color w:val="auto"/>
                      <w:szCs w:val="21"/>
                      <w:highlight w:val="none"/>
                    </w:rPr>
                    <w:t>符合</w:t>
                  </w:r>
                </w:p>
              </w:tc>
            </w:tr>
            <w:tr w14:paraId="029F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17" w:type="pct"/>
                  <w:vMerge w:val="continue"/>
                  <w:vAlign w:val="center"/>
                </w:tcPr>
                <w:p w14:paraId="418AD619">
                  <w:pPr>
                    <w:widowControl/>
                    <w:jc w:val="center"/>
                    <w:rPr>
                      <w:color w:val="auto"/>
                      <w:szCs w:val="21"/>
                      <w:highlight w:val="none"/>
                    </w:rPr>
                  </w:pPr>
                </w:p>
              </w:tc>
              <w:tc>
                <w:tcPr>
                  <w:tcW w:w="499" w:type="pct"/>
                  <w:vMerge w:val="continue"/>
                  <w:vAlign w:val="center"/>
                </w:tcPr>
                <w:p w14:paraId="425642C3">
                  <w:pPr>
                    <w:widowControl/>
                    <w:jc w:val="center"/>
                    <w:rPr>
                      <w:color w:val="auto"/>
                      <w:szCs w:val="21"/>
                      <w:highlight w:val="none"/>
                    </w:rPr>
                  </w:pPr>
                </w:p>
              </w:tc>
              <w:tc>
                <w:tcPr>
                  <w:tcW w:w="2091" w:type="pct"/>
                  <w:gridSpan w:val="2"/>
                  <w:vAlign w:val="center"/>
                </w:tcPr>
                <w:p w14:paraId="26A69F8D">
                  <w:pPr>
                    <w:widowControl/>
                    <w:jc w:val="center"/>
                    <w:rPr>
                      <w:color w:val="auto"/>
                      <w:szCs w:val="21"/>
                      <w:highlight w:val="none"/>
                    </w:rPr>
                  </w:pPr>
                  <w:r>
                    <w:rPr>
                      <w:color w:val="auto"/>
                      <w:szCs w:val="21"/>
                      <w:highlight w:val="none"/>
                    </w:rPr>
                    <w:t>第十五条 持续开展重点河流和水库富营养化监测预警及控制，科学实施梯级航电工程生态调度，保证生态基流。</w:t>
                  </w:r>
                </w:p>
              </w:tc>
              <w:tc>
                <w:tcPr>
                  <w:tcW w:w="1460" w:type="pct"/>
                  <w:vAlign w:val="center"/>
                </w:tcPr>
                <w:p w14:paraId="043943E3">
                  <w:pPr>
                    <w:widowControl/>
                    <w:jc w:val="center"/>
                    <w:rPr>
                      <w:color w:val="auto"/>
                      <w:szCs w:val="21"/>
                      <w:highlight w:val="none"/>
                    </w:rPr>
                  </w:pPr>
                  <w:r>
                    <w:rPr>
                      <w:rFonts w:hint="eastAsia"/>
                      <w:color w:val="auto"/>
                      <w:szCs w:val="21"/>
                      <w:highlight w:val="none"/>
                    </w:rPr>
                    <w:t>本项目不涉及</w:t>
                  </w:r>
                  <w:r>
                    <w:rPr>
                      <w:color w:val="auto"/>
                      <w:szCs w:val="21"/>
                      <w:highlight w:val="none"/>
                    </w:rPr>
                    <w:t>重点河流和水库</w:t>
                  </w:r>
                </w:p>
              </w:tc>
              <w:tc>
                <w:tcPr>
                  <w:tcW w:w="531" w:type="pct"/>
                  <w:vAlign w:val="center"/>
                </w:tcPr>
                <w:p w14:paraId="1D796412">
                  <w:pPr>
                    <w:widowControl/>
                    <w:jc w:val="center"/>
                    <w:rPr>
                      <w:color w:val="auto"/>
                      <w:szCs w:val="21"/>
                      <w:highlight w:val="none"/>
                    </w:rPr>
                  </w:pPr>
                  <w:r>
                    <w:rPr>
                      <w:rFonts w:hint="eastAsia"/>
                      <w:color w:val="auto"/>
                      <w:szCs w:val="21"/>
                      <w:highlight w:val="none"/>
                    </w:rPr>
                    <w:t>符合</w:t>
                  </w:r>
                </w:p>
              </w:tc>
            </w:tr>
            <w:tr w14:paraId="020F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17" w:type="pct"/>
                  <w:vMerge w:val="continue"/>
                  <w:vAlign w:val="center"/>
                </w:tcPr>
                <w:p w14:paraId="4B816A9C">
                  <w:pPr>
                    <w:widowControl/>
                    <w:jc w:val="center"/>
                    <w:rPr>
                      <w:color w:val="auto"/>
                      <w:szCs w:val="21"/>
                      <w:highlight w:val="none"/>
                    </w:rPr>
                  </w:pPr>
                </w:p>
              </w:tc>
              <w:tc>
                <w:tcPr>
                  <w:tcW w:w="499" w:type="pct"/>
                  <w:vMerge w:val="continue"/>
                  <w:vAlign w:val="center"/>
                </w:tcPr>
                <w:p w14:paraId="601A6F90">
                  <w:pPr>
                    <w:widowControl/>
                    <w:jc w:val="center"/>
                    <w:rPr>
                      <w:color w:val="auto"/>
                      <w:szCs w:val="21"/>
                      <w:highlight w:val="none"/>
                    </w:rPr>
                  </w:pPr>
                </w:p>
              </w:tc>
              <w:tc>
                <w:tcPr>
                  <w:tcW w:w="2091" w:type="pct"/>
                  <w:gridSpan w:val="2"/>
                  <w:vAlign w:val="center"/>
                </w:tcPr>
                <w:p w14:paraId="598416C6">
                  <w:pPr>
                    <w:widowControl/>
                    <w:jc w:val="center"/>
                    <w:rPr>
                      <w:color w:val="auto"/>
                      <w:szCs w:val="21"/>
                      <w:highlight w:val="none"/>
                    </w:rPr>
                  </w:pPr>
                  <w:r>
                    <w:rPr>
                      <w:color w:val="auto"/>
                      <w:szCs w:val="21"/>
                      <w:highlight w:val="none"/>
                    </w:rPr>
                    <w:t>第十六条 划定的高污染燃料区内禁止销售、燃用高污染燃料，在禁燃区内，禁止新建、改建、扩建燃用高污染燃料的项目和设备。在禁燃区内已建成燃用高污染燃料的项目和设备，限于规定日期之前淘汰或改用天然气、液化石油气、</w:t>
                  </w:r>
                  <w:r>
                    <w:rPr>
                      <w:rFonts w:hint="eastAsia"/>
                      <w:color w:val="auto"/>
                      <w:szCs w:val="21"/>
                      <w:highlight w:val="none"/>
                    </w:rPr>
                    <w:t>电力</w:t>
                  </w:r>
                  <w:r>
                    <w:rPr>
                      <w:color w:val="auto"/>
                      <w:szCs w:val="21"/>
                      <w:highlight w:val="none"/>
                    </w:rPr>
                    <w:t>或者其他清洁能源。</w:t>
                  </w:r>
                </w:p>
              </w:tc>
              <w:tc>
                <w:tcPr>
                  <w:tcW w:w="1460" w:type="pct"/>
                  <w:vAlign w:val="center"/>
                </w:tcPr>
                <w:p w14:paraId="27E16DFF">
                  <w:pPr>
                    <w:widowControl/>
                    <w:jc w:val="center"/>
                    <w:rPr>
                      <w:color w:val="auto"/>
                      <w:szCs w:val="21"/>
                      <w:highlight w:val="none"/>
                    </w:rPr>
                  </w:pPr>
                  <w:r>
                    <w:rPr>
                      <w:rFonts w:hint="eastAsia"/>
                      <w:color w:val="auto"/>
                      <w:szCs w:val="21"/>
                      <w:highlight w:val="none"/>
                    </w:rPr>
                    <w:t>本项目不涉及高污染燃料区及禁燃区；不属于高污染燃料项目</w:t>
                  </w:r>
                </w:p>
              </w:tc>
              <w:tc>
                <w:tcPr>
                  <w:tcW w:w="531" w:type="pct"/>
                  <w:vAlign w:val="center"/>
                </w:tcPr>
                <w:p w14:paraId="16BC3E18">
                  <w:pPr>
                    <w:widowControl/>
                    <w:jc w:val="center"/>
                    <w:rPr>
                      <w:color w:val="auto"/>
                      <w:szCs w:val="21"/>
                      <w:highlight w:val="none"/>
                    </w:rPr>
                  </w:pPr>
                  <w:r>
                    <w:rPr>
                      <w:rFonts w:hint="eastAsia"/>
                      <w:color w:val="auto"/>
                      <w:szCs w:val="21"/>
                      <w:highlight w:val="none"/>
                    </w:rPr>
                    <w:t>符合</w:t>
                  </w:r>
                </w:p>
              </w:tc>
            </w:tr>
            <w:tr w14:paraId="4892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vAlign w:val="center"/>
                </w:tcPr>
                <w:p w14:paraId="10DF0053">
                  <w:pPr>
                    <w:widowControl/>
                    <w:jc w:val="center"/>
                    <w:rPr>
                      <w:color w:val="auto"/>
                      <w:highlight w:val="none"/>
                    </w:rPr>
                  </w:pPr>
                </w:p>
              </w:tc>
              <w:tc>
                <w:tcPr>
                  <w:tcW w:w="499" w:type="pct"/>
                  <w:vMerge w:val="continue"/>
                  <w:vAlign w:val="center"/>
                </w:tcPr>
                <w:p w14:paraId="25D35039">
                  <w:pPr>
                    <w:widowControl/>
                    <w:jc w:val="center"/>
                    <w:rPr>
                      <w:color w:val="auto"/>
                      <w:highlight w:val="none"/>
                    </w:rPr>
                  </w:pPr>
                </w:p>
              </w:tc>
              <w:tc>
                <w:tcPr>
                  <w:tcW w:w="2091" w:type="pct"/>
                  <w:gridSpan w:val="2"/>
                  <w:vAlign w:val="center"/>
                </w:tcPr>
                <w:p w14:paraId="6BAE3B49">
                  <w:pPr>
                    <w:widowControl/>
                    <w:jc w:val="center"/>
                    <w:rPr>
                      <w:color w:val="auto"/>
                      <w:szCs w:val="21"/>
                      <w:highlight w:val="none"/>
                    </w:rPr>
                  </w:pPr>
                  <w:r>
                    <w:rPr>
                      <w:color w:val="auto"/>
                      <w:szCs w:val="21"/>
                      <w:highlight w:val="none"/>
                    </w:rPr>
                    <w:t>第十七条 禁止违法利用、占用长江流域河湖岸线。禁止《长江岸线保护和开发利用总体规划》划定的岸线保护区和岸线保留区内投资建设除公共安全及公众利益的防洪护岸、河道治理、供水、生态环境保护、航道整治、国家重要基础设施以外的项目。</w:t>
                  </w:r>
                </w:p>
              </w:tc>
              <w:tc>
                <w:tcPr>
                  <w:tcW w:w="1460" w:type="pct"/>
                  <w:vAlign w:val="center"/>
                </w:tcPr>
                <w:p w14:paraId="796C604D">
                  <w:pPr>
                    <w:widowControl/>
                    <w:jc w:val="center"/>
                    <w:rPr>
                      <w:color w:val="auto"/>
                      <w:szCs w:val="21"/>
                      <w:highlight w:val="none"/>
                    </w:rPr>
                  </w:pPr>
                  <w:r>
                    <w:rPr>
                      <w:rFonts w:hint="eastAsia"/>
                      <w:color w:val="auto"/>
                      <w:szCs w:val="21"/>
                      <w:highlight w:val="none"/>
                    </w:rPr>
                    <w:t>本项目不涉及</w:t>
                  </w:r>
                  <w:r>
                    <w:rPr>
                      <w:color w:val="auto"/>
                      <w:szCs w:val="21"/>
                      <w:highlight w:val="none"/>
                    </w:rPr>
                    <w:t>长江流域河湖岸线</w:t>
                  </w:r>
                  <w:r>
                    <w:rPr>
                      <w:rFonts w:hint="eastAsia"/>
                      <w:color w:val="auto"/>
                      <w:szCs w:val="21"/>
                      <w:highlight w:val="none"/>
                    </w:rPr>
                    <w:t>及</w:t>
                  </w:r>
                  <w:r>
                    <w:rPr>
                      <w:color w:val="auto"/>
                      <w:szCs w:val="21"/>
                      <w:highlight w:val="none"/>
                    </w:rPr>
                    <w:t>《长江岸线保护和开发利用总体规划》划定的岸线保护区和岸线保留区</w:t>
                  </w:r>
                  <w:r>
                    <w:rPr>
                      <w:rFonts w:hint="eastAsia"/>
                      <w:color w:val="auto"/>
                      <w:szCs w:val="21"/>
                      <w:highlight w:val="none"/>
                    </w:rPr>
                    <w:t>。</w:t>
                  </w:r>
                </w:p>
              </w:tc>
              <w:tc>
                <w:tcPr>
                  <w:tcW w:w="531" w:type="pct"/>
                  <w:vAlign w:val="center"/>
                </w:tcPr>
                <w:p w14:paraId="5A36C0FB">
                  <w:pPr>
                    <w:widowControl/>
                    <w:jc w:val="center"/>
                    <w:rPr>
                      <w:color w:val="auto"/>
                      <w:szCs w:val="21"/>
                      <w:highlight w:val="none"/>
                    </w:rPr>
                  </w:pPr>
                  <w:r>
                    <w:rPr>
                      <w:rFonts w:hint="eastAsia"/>
                      <w:color w:val="auto"/>
                      <w:szCs w:val="21"/>
                      <w:highlight w:val="none"/>
                    </w:rPr>
                    <w:t>符合</w:t>
                  </w:r>
                </w:p>
              </w:tc>
            </w:tr>
            <w:tr w14:paraId="3ECB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417" w:type="pct"/>
                  <w:vMerge w:val="restart"/>
                  <w:vAlign w:val="center"/>
                </w:tcPr>
                <w:p w14:paraId="55253342">
                  <w:pPr>
                    <w:widowControl/>
                    <w:jc w:val="center"/>
                    <w:rPr>
                      <w:color w:val="auto"/>
                      <w:szCs w:val="21"/>
                      <w:highlight w:val="none"/>
                    </w:rPr>
                  </w:pPr>
                  <w:r>
                    <w:rPr>
                      <w:color w:val="auto"/>
                      <w:szCs w:val="21"/>
                      <w:highlight w:val="none"/>
                    </w:rPr>
                    <w:t>单元管控要求</w:t>
                  </w:r>
                </w:p>
              </w:tc>
              <w:tc>
                <w:tcPr>
                  <w:tcW w:w="499" w:type="pct"/>
                  <w:vAlign w:val="center"/>
                </w:tcPr>
                <w:p w14:paraId="1625052F">
                  <w:pPr>
                    <w:widowControl/>
                    <w:jc w:val="center"/>
                    <w:rPr>
                      <w:color w:val="auto"/>
                      <w:szCs w:val="21"/>
                      <w:highlight w:val="none"/>
                    </w:rPr>
                  </w:pPr>
                  <w:r>
                    <w:rPr>
                      <w:color w:val="auto"/>
                      <w:szCs w:val="21"/>
                      <w:highlight w:val="none"/>
                    </w:rPr>
                    <w:t>空间布局约束</w:t>
                  </w:r>
                </w:p>
              </w:tc>
              <w:tc>
                <w:tcPr>
                  <w:tcW w:w="2091" w:type="pct"/>
                  <w:gridSpan w:val="2"/>
                  <w:vAlign w:val="center"/>
                </w:tcPr>
                <w:p w14:paraId="2E55F6EC">
                  <w:pPr>
                    <w:widowControl/>
                    <w:numPr>
                      <w:ilvl w:val="0"/>
                      <w:numId w:val="1"/>
                    </w:numPr>
                    <w:jc w:val="center"/>
                    <w:rPr>
                      <w:color w:val="auto"/>
                      <w:szCs w:val="21"/>
                      <w:highlight w:val="none"/>
                    </w:rPr>
                  </w:pPr>
                  <w:r>
                    <w:rPr>
                      <w:color w:val="auto"/>
                      <w:szCs w:val="21"/>
                      <w:highlight w:val="none"/>
                    </w:rPr>
                    <w:t>涉及有机废气、异味等易扰民企业或生产车间尽量远离居住用地布局。</w:t>
                  </w:r>
                </w:p>
                <w:p w14:paraId="54447E58">
                  <w:pPr>
                    <w:widowControl/>
                    <w:numPr>
                      <w:ilvl w:val="0"/>
                      <w:numId w:val="1"/>
                    </w:numPr>
                    <w:jc w:val="center"/>
                    <w:rPr>
                      <w:color w:val="auto"/>
                      <w:szCs w:val="21"/>
                      <w:highlight w:val="none"/>
                    </w:rPr>
                  </w:pPr>
                  <w:r>
                    <w:rPr>
                      <w:color w:val="auto"/>
                      <w:szCs w:val="21"/>
                      <w:highlight w:val="none"/>
                    </w:rPr>
                    <w:t>禁止在居民住宅楼、未配套设立专用烟道的商住综合楼、商住综合楼内与居住层相邻的商业楼层，新建、改建、扩建产生油烟、异味、废气的餐饮服务、加工服务、服装干洗、机动车维修等项目。</w:t>
                  </w:r>
                </w:p>
              </w:tc>
              <w:tc>
                <w:tcPr>
                  <w:tcW w:w="1460" w:type="pct"/>
                  <w:vAlign w:val="center"/>
                </w:tcPr>
                <w:p w14:paraId="36DDD24B">
                  <w:pPr>
                    <w:widowControl/>
                    <w:jc w:val="center"/>
                    <w:rPr>
                      <w:color w:val="auto"/>
                      <w:szCs w:val="21"/>
                      <w:highlight w:val="none"/>
                    </w:rPr>
                  </w:pPr>
                  <w:r>
                    <w:rPr>
                      <w:rFonts w:hint="eastAsia"/>
                      <w:color w:val="auto"/>
                      <w:szCs w:val="21"/>
                      <w:highlight w:val="none"/>
                    </w:rPr>
                    <w:t>本项目位于工业用地，远离居住用地布局，不涉及异味扰民。</w:t>
                  </w:r>
                </w:p>
              </w:tc>
              <w:tc>
                <w:tcPr>
                  <w:tcW w:w="531" w:type="pct"/>
                  <w:vAlign w:val="center"/>
                </w:tcPr>
                <w:p w14:paraId="57B139D3">
                  <w:pPr>
                    <w:widowControl/>
                    <w:jc w:val="center"/>
                    <w:rPr>
                      <w:color w:val="auto"/>
                      <w:szCs w:val="21"/>
                      <w:highlight w:val="none"/>
                    </w:rPr>
                  </w:pPr>
                  <w:r>
                    <w:rPr>
                      <w:rFonts w:hint="eastAsia"/>
                      <w:color w:val="auto"/>
                      <w:szCs w:val="21"/>
                      <w:highlight w:val="none"/>
                    </w:rPr>
                    <w:t>符合</w:t>
                  </w:r>
                </w:p>
              </w:tc>
            </w:tr>
            <w:tr w14:paraId="3832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417" w:type="pct"/>
                  <w:vMerge w:val="continue"/>
                  <w:vAlign w:val="center"/>
                </w:tcPr>
                <w:p w14:paraId="4E74AC6E">
                  <w:pPr>
                    <w:widowControl/>
                    <w:jc w:val="center"/>
                    <w:rPr>
                      <w:color w:val="auto"/>
                      <w:szCs w:val="21"/>
                      <w:highlight w:val="none"/>
                    </w:rPr>
                  </w:pPr>
                </w:p>
              </w:tc>
              <w:tc>
                <w:tcPr>
                  <w:tcW w:w="499" w:type="pct"/>
                  <w:vAlign w:val="center"/>
                </w:tcPr>
                <w:p w14:paraId="4A940811">
                  <w:pPr>
                    <w:widowControl/>
                    <w:jc w:val="center"/>
                    <w:rPr>
                      <w:color w:val="auto"/>
                      <w:szCs w:val="21"/>
                      <w:highlight w:val="none"/>
                    </w:rPr>
                  </w:pPr>
                  <w:r>
                    <w:rPr>
                      <w:color w:val="auto"/>
                      <w:szCs w:val="21"/>
                      <w:highlight w:val="none"/>
                    </w:rPr>
                    <w:t>污染物排放管控</w:t>
                  </w:r>
                </w:p>
              </w:tc>
              <w:tc>
                <w:tcPr>
                  <w:tcW w:w="2091" w:type="pct"/>
                  <w:gridSpan w:val="2"/>
                  <w:vAlign w:val="center"/>
                </w:tcPr>
                <w:p w14:paraId="5CAF797E">
                  <w:pPr>
                    <w:widowControl/>
                    <w:jc w:val="center"/>
                    <w:rPr>
                      <w:color w:val="auto"/>
                      <w:szCs w:val="21"/>
                      <w:highlight w:val="none"/>
                    </w:rPr>
                  </w:pPr>
                  <w:r>
                    <w:rPr>
                      <w:color w:val="auto"/>
                      <w:szCs w:val="21"/>
                      <w:highlight w:val="none"/>
                    </w:rPr>
                    <w:t>1.以工业涂装、包装印刷等行业为重点，实施原辅材料和产品源头替代。2.持续推进区内水泥企业超低排放改造，并持续实行水泥行业错峰生产。3.加快龙市镇工业企业集中污水处理厂建成投运。</w:t>
                  </w:r>
                </w:p>
              </w:tc>
              <w:tc>
                <w:tcPr>
                  <w:tcW w:w="1460" w:type="pct"/>
                  <w:vAlign w:val="center"/>
                </w:tcPr>
                <w:p w14:paraId="2BBCB31C">
                  <w:pPr>
                    <w:widowControl/>
                    <w:jc w:val="center"/>
                    <w:rPr>
                      <w:color w:val="auto"/>
                      <w:szCs w:val="21"/>
                      <w:highlight w:val="none"/>
                    </w:rPr>
                  </w:pPr>
                  <w:r>
                    <w:rPr>
                      <w:rFonts w:hint="eastAsia"/>
                      <w:color w:val="auto"/>
                      <w:szCs w:val="21"/>
                      <w:highlight w:val="none"/>
                    </w:rPr>
                    <w:t>1.本项目不属于</w:t>
                  </w:r>
                  <w:r>
                    <w:rPr>
                      <w:color w:val="auto"/>
                      <w:szCs w:val="21"/>
                      <w:highlight w:val="none"/>
                    </w:rPr>
                    <w:t>工业涂装、包装印刷等行业</w:t>
                  </w:r>
                  <w:r>
                    <w:rPr>
                      <w:rFonts w:hint="eastAsia"/>
                      <w:color w:val="auto"/>
                      <w:szCs w:val="21"/>
                      <w:highlight w:val="none"/>
                    </w:rPr>
                    <w:t>。2.本项目不属于水泥行业项目。3.</w:t>
                  </w:r>
                  <w:r>
                    <w:rPr>
                      <w:rFonts w:hint="eastAsia"/>
                      <w:color w:val="auto"/>
                      <w:highlight w:val="none"/>
                    </w:rPr>
                    <w:t>龙市镇工业污水处理厂已建成并投入运营，本项目产生的废水预处理达到相应标准后排入龙市镇工业污水处理厂进一步处理达标后排放。</w:t>
                  </w:r>
                </w:p>
              </w:tc>
              <w:tc>
                <w:tcPr>
                  <w:tcW w:w="531" w:type="pct"/>
                  <w:vAlign w:val="center"/>
                </w:tcPr>
                <w:p w14:paraId="590A5121">
                  <w:pPr>
                    <w:widowControl/>
                    <w:jc w:val="center"/>
                    <w:rPr>
                      <w:color w:val="auto"/>
                      <w:szCs w:val="21"/>
                      <w:highlight w:val="none"/>
                    </w:rPr>
                  </w:pPr>
                  <w:r>
                    <w:rPr>
                      <w:rFonts w:hint="eastAsia"/>
                      <w:color w:val="auto"/>
                      <w:szCs w:val="21"/>
                      <w:highlight w:val="none"/>
                    </w:rPr>
                    <w:t>符合</w:t>
                  </w:r>
                </w:p>
              </w:tc>
            </w:tr>
            <w:tr w14:paraId="5C75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417" w:type="pct"/>
                  <w:vMerge w:val="continue"/>
                  <w:vAlign w:val="center"/>
                </w:tcPr>
                <w:p w14:paraId="4E27D3CC">
                  <w:pPr>
                    <w:widowControl/>
                    <w:jc w:val="center"/>
                    <w:rPr>
                      <w:color w:val="auto"/>
                      <w:szCs w:val="21"/>
                      <w:highlight w:val="none"/>
                    </w:rPr>
                  </w:pPr>
                </w:p>
              </w:tc>
              <w:tc>
                <w:tcPr>
                  <w:tcW w:w="499" w:type="pct"/>
                  <w:vAlign w:val="center"/>
                </w:tcPr>
                <w:p w14:paraId="46AAD9E0">
                  <w:pPr>
                    <w:widowControl/>
                    <w:jc w:val="center"/>
                    <w:rPr>
                      <w:color w:val="auto"/>
                      <w:szCs w:val="21"/>
                      <w:highlight w:val="none"/>
                    </w:rPr>
                  </w:pPr>
                  <w:r>
                    <w:rPr>
                      <w:color w:val="auto"/>
                      <w:szCs w:val="21"/>
                      <w:highlight w:val="none"/>
                    </w:rPr>
                    <w:t>环境风险防控</w:t>
                  </w:r>
                </w:p>
              </w:tc>
              <w:tc>
                <w:tcPr>
                  <w:tcW w:w="2091" w:type="pct"/>
                  <w:gridSpan w:val="2"/>
                  <w:vAlign w:val="center"/>
                </w:tcPr>
                <w:p w14:paraId="5297B37E">
                  <w:pPr>
                    <w:widowControl/>
                    <w:jc w:val="center"/>
                    <w:rPr>
                      <w:color w:val="auto"/>
                      <w:szCs w:val="21"/>
                      <w:highlight w:val="none"/>
                    </w:rPr>
                  </w:pPr>
                  <w:r>
                    <w:rPr>
                      <w:color w:val="auto"/>
                      <w:szCs w:val="21"/>
                      <w:highlight w:val="none"/>
                    </w:rPr>
                    <w:t>1.禁止建设存在重点环境安全隐患的工业项目。 2.镇域产业园外分散工业企业应加强日常监管，督促企业提升环境风险防范能力，严防发生突发环境事件。</w:t>
                  </w:r>
                </w:p>
              </w:tc>
              <w:tc>
                <w:tcPr>
                  <w:tcW w:w="1460" w:type="pct"/>
                  <w:vAlign w:val="center"/>
                </w:tcPr>
                <w:p w14:paraId="33287868">
                  <w:pPr>
                    <w:widowControl/>
                    <w:jc w:val="center"/>
                    <w:rPr>
                      <w:color w:val="auto"/>
                      <w:szCs w:val="21"/>
                      <w:highlight w:val="none"/>
                    </w:rPr>
                  </w:pPr>
                  <w:r>
                    <w:rPr>
                      <w:rFonts w:hint="eastAsia"/>
                      <w:color w:val="auto"/>
                      <w:szCs w:val="21"/>
                      <w:highlight w:val="none"/>
                    </w:rPr>
                    <w:t>1.本项目不存在重点环境安全隐患。2.</w:t>
                  </w:r>
                  <w:r>
                    <w:rPr>
                      <w:rFonts w:hAnsi="宋体"/>
                      <w:color w:val="auto"/>
                      <w:spacing w:val="-6"/>
                      <w:kern w:val="0"/>
                      <w:szCs w:val="21"/>
                      <w:highlight w:val="none"/>
                    </w:rPr>
                    <w:t>项目位于</w:t>
                  </w:r>
                  <w:r>
                    <w:rPr>
                      <w:rFonts w:hint="eastAsia" w:hAnsi="宋体"/>
                      <w:color w:val="auto"/>
                      <w:spacing w:val="-6"/>
                      <w:kern w:val="0"/>
                      <w:szCs w:val="21"/>
                      <w:highlight w:val="none"/>
                    </w:rPr>
                    <w:t>合川区龙市镇工业组团</w:t>
                  </w:r>
                </w:p>
              </w:tc>
              <w:tc>
                <w:tcPr>
                  <w:tcW w:w="531" w:type="pct"/>
                  <w:vAlign w:val="center"/>
                </w:tcPr>
                <w:p w14:paraId="6DD51BC7">
                  <w:pPr>
                    <w:widowControl/>
                    <w:jc w:val="center"/>
                    <w:rPr>
                      <w:color w:val="auto"/>
                      <w:szCs w:val="21"/>
                      <w:highlight w:val="none"/>
                    </w:rPr>
                  </w:pPr>
                  <w:r>
                    <w:rPr>
                      <w:rFonts w:hint="eastAsia"/>
                      <w:color w:val="auto"/>
                      <w:szCs w:val="21"/>
                      <w:highlight w:val="none"/>
                    </w:rPr>
                    <w:t>符合</w:t>
                  </w:r>
                </w:p>
              </w:tc>
            </w:tr>
            <w:tr w14:paraId="36F9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417" w:type="pct"/>
                  <w:vMerge w:val="continue"/>
                  <w:vAlign w:val="center"/>
                </w:tcPr>
                <w:p w14:paraId="5CC427FD">
                  <w:pPr>
                    <w:widowControl/>
                    <w:jc w:val="center"/>
                    <w:rPr>
                      <w:color w:val="auto"/>
                      <w:szCs w:val="21"/>
                      <w:highlight w:val="none"/>
                    </w:rPr>
                  </w:pPr>
                </w:p>
              </w:tc>
              <w:tc>
                <w:tcPr>
                  <w:tcW w:w="499" w:type="pct"/>
                  <w:vAlign w:val="center"/>
                </w:tcPr>
                <w:p w14:paraId="65971C4D">
                  <w:pPr>
                    <w:widowControl/>
                    <w:jc w:val="center"/>
                    <w:rPr>
                      <w:color w:val="auto"/>
                      <w:szCs w:val="21"/>
                      <w:highlight w:val="none"/>
                    </w:rPr>
                  </w:pPr>
                  <w:r>
                    <w:rPr>
                      <w:color w:val="auto"/>
                      <w:szCs w:val="21"/>
                      <w:highlight w:val="none"/>
                    </w:rPr>
                    <w:t>资源开发利用效率</w:t>
                  </w:r>
                </w:p>
              </w:tc>
              <w:tc>
                <w:tcPr>
                  <w:tcW w:w="2091" w:type="pct"/>
                  <w:gridSpan w:val="2"/>
                  <w:vAlign w:val="center"/>
                </w:tcPr>
                <w:p w14:paraId="1033923C">
                  <w:pPr>
                    <w:widowControl/>
                    <w:jc w:val="center"/>
                    <w:rPr>
                      <w:color w:val="auto"/>
                      <w:szCs w:val="21"/>
                      <w:highlight w:val="none"/>
                    </w:rPr>
                  </w:pPr>
                  <w:r>
                    <w:rPr>
                      <w:rFonts w:hint="eastAsia"/>
                      <w:color w:val="auto"/>
                      <w:szCs w:val="21"/>
                      <w:highlight w:val="none"/>
                    </w:rPr>
                    <w:t>/</w:t>
                  </w:r>
                </w:p>
              </w:tc>
              <w:tc>
                <w:tcPr>
                  <w:tcW w:w="1460" w:type="pct"/>
                  <w:vAlign w:val="center"/>
                </w:tcPr>
                <w:p w14:paraId="1121FDD9">
                  <w:pPr>
                    <w:widowControl/>
                    <w:jc w:val="center"/>
                    <w:rPr>
                      <w:color w:val="auto"/>
                      <w:szCs w:val="21"/>
                      <w:highlight w:val="none"/>
                    </w:rPr>
                  </w:pPr>
                  <w:r>
                    <w:rPr>
                      <w:rFonts w:hint="eastAsia"/>
                      <w:color w:val="auto"/>
                      <w:szCs w:val="21"/>
                      <w:highlight w:val="none"/>
                    </w:rPr>
                    <w:t>/</w:t>
                  </w:r>
                </w:p>
              </w:tc>
              <w:tc>
                <w:tcPr>
                  <w:tcW w:w="531" w:type="pct"/>
                  <w:vAlign w:val="center"/>
                </w:tcPr>
                <w:p w14:paraId="622D86D6">
                  <w:pPr>
                    <w:widowControl/>
                    <w:jc w:val="center"/>
                    <w:rPr>
                      <w:color w:val="auto"/>
                      <w:szCs w:val="21"/>
                      <w:highlight w:val="none"/>
                    </w:rPr>
                  </w:pPr>
                  <w:r>
                    <w:rPr>
                      <w:rFonts w:hint="eastAsia"/>
                      <w:color w:val="auto"/>
                      <w:szCs w:val="21"/>
                      <w:highlight w:val="none"/>
                    </w:rPr>
                    <w:t>/</w:t>
                  </w:r>
                </w:p>
              </w:tc>
            </w:tr>
          </w:tbl>
          <w:p w14:paraId="7C088BD6">
            <w:pPr>
              <w:widowControl/>
              <w:spacing w:line="440" w:lineRule="exact"/>
              <w:jc w:val="left"/>
              <w:rPr>
                <w:color w:val="auto"/>
                <w:sz w:val="24"/>
                <w:highlight w:val="none"/>
              </w:rPr>
            </w:pPr>
            <w:r>
              <w:rPr>
                <w:b/>
                <w:bCs/>
                <w:color w:val="auto"/>
                <w:sz w:val="24"/>
                <w:highlight w:val="none"/>
              </w:rPr>
              <w:t>1.</w:t>
            </w:r>
            <w:r>
              <w:rPr>
                <w:rFonts w:hint="eastAsia"/>
                <w:b/>
                <w:bCs/>
                <w:color w:val="auto"/>
                <w:sz w:val="24"/>
                <w:highlight w:val="none"/>
              </w:rPr>
              <w:t>7</w:t>
            </w:r>
            <w:r>
              <w:rPr>
                <w:rFonts w:hint="eastAsia" w:ascii="宋体" w:hAnsi="宋体" w:cs="宋体"/>
                <w:b/>
                <w:bCs/>
                <w:color w:val="auto"/>
                <w:sz w:val="24"/>
                <w:highlight w:val="none"/>
              </w:rPr>
              <w:t>与《食品生产通用卫生规范》（GB 14881-2013）的符合性分析</w:t>
            </w:r>
          </w:p>
          <w:p w14:paraId="377A1C7D">
            <w:pPr>
              <w:widowControl/>
              <w:spacing w:line="440" w:lineRule="exact"/>
              <w:ind w:firstLine="480" w:firstLineChars="200"/>
              <w:rPr>
                <w:color w:val="auto"/>
                <w:sz w:val="24"/>
                <w:highlight w:val="none"/>
              </w:rPr>
            </w:pPr>
            <w:r>
              <w:rPr>
                <w:color w:val="auto"/>
                <w:sz w:val="24"/>
                <w:highlight w:val="none"/>
              </w:rPr>
              <w:t>与《食品生产通用卫生规范》（GB 14881-2013）符合性分析见表1.</w:t>
            </w:r>
            <w:r>
              <w:rPr>
                <w:rFonts w:hint="eastAsia"/>
                <w:color w:val="auto"/>
                <w:sz w:val="24"/>
                <w:highlight w:val="none"/>
              </w:rPr>
              <w:t>7</w:t>
            </w:r>
            <w:r>
              <w:rPr>
                <w:color w:val="auto"/>
                <w:sz w:val="24"/>
                <w:highlight w:val="none"/>
              </w:rPr>
              <w:t>-1</w:t>
            </w:r>
            <w:r>
              <w:rPr>
                <w:rFonts w:hint="eastAsia"/>
                <w:color w:val="auto"/>
                <w:sz w:val="24"/>
                <w:highlight w:val="none"/>
              </w:rPr>
              <w:t>。</w:t>
            </w:r>
          </w:p>
          <w:p w14:paraId="2A299401">
            <w:pPr>
              <w:widowControl/>
              <w:spacing w:line="440" w:lineRule="exact"/>
              <w:jc w:val="center"/>
              <w:rPr>
                <w:b/>
                <w:bCs/>
                <w:color w:val="auto"/>
                <w:sz w:val="24"/>
                <w:highlight w:val="none"/>
              </w:rPr>
            </w:pPr>
            <w:r>
              <w:rPr>
                <w:b/>
                <w:bCs/>
                <w:color w:val="auto"/>
                <w:sz w:val="24"/>
                <w:highlight w:val="none"/>
              </w:rPr>
              <w:t>表1.</w:t>
            </w:r>
            <w:r>
              <w:rPr>
                <w:rFonts w:hint="eastAsia"/>
                <w:b/>
                <w:bCs/>
                <w:color w:val="auto"/>
                <w:sz w:val="24"/>
                <w:highlight w:val="none"/>
              </w:rPr>
              <w:t>7</w:t>
            </w:r>
            <w:r>
              <w:rPr>
                <w:b/>
                <w:bCs/>
                <w:color w:val="auto"/>
                <w:sz w:val="24"/>
                <w:highlight w:val="none"/>
              </w:rPr>
              <w:t>-1 与《食品生产通用卫生规范》符合性分析</w:t>
            </w:r>
          </w:p>
          <w:tbl>
            <w:tblPr>
              <w:tblStyle w:val="19"/>
              <w:tblW w:w="8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3870"/>
              <w:gridCol w:w="2640"/>
              <w:gridCol w:w="934"/>
            </w:tblGrid>
            <w:tr w14:paraId="1FA1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2C50FCDB">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3870" w:type="dxa"/>
                  <w:vAlign w:val="center"/>
                </w:tcPr>
                <w:p w14:paraId="77039E9B">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规范要求</w:t>
                  </w:r>
                </w:p>
              </w:tc>
              <w:tc>
                <w:tcPr>
                  <w:tcW w:w="2640" w:type="dxa"/>
                  <w:vAlign w:val="center"/>
                </w:tcPr>
                <w:p w14:paraId="1C683599">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项目情况</w:t>
                  </w:r>
                </w:p>
              </w:tc>
              <w:tc>
                <w:tcPr>
                  <w:tcW w:w="934" w:type="dxa"/>
                  <w:vAlign w:val="center"/>
                </w:tcPr>
                <w:p w14:paraId="55A1642B">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符合性</w:t>
                  </w:r>
                </w:p>
              </w:tc>
            </w:tr>
            <w:tr w14:paraId="47F6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667FF28B">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一</w:t>
                  </w:r>
                </w:p>
              </w:tc>
              <w:tc>
                <w:tcPr>
                  <w:tcW w:w="7444" w:type="dxa"/>
                  <w:gridSpan w:val="3"/>
                  <w:vAlign w:val="center"/>
                </w:tcPr>
                <w:p w14:paraId="0D33868B">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选址</w:t>
                  </w:r>
                </w:p>
              </w:tc>
            </w:tr>
            <w:tr w14:paraId="1639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22D41968">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3870" w:type="dxa"/>
                  <w:vAlign w:val="center"/>
                </w:tcPr>
                <w:p w14:paraId="50A672EE">
                  <w:pPr>
                    <w:widowControl/>
                    <w:spacing w:line="300" w:lineRule="exact"/>
                    <w:jc w:val="center"/>
                    <w:rPr>
                      <w:rFonts w:ascii="宋体" w:hAnsi="宋体" w:cs="宋体"/>
                      <w:color w:val="auto"/>
                      <w:szCs w:val="21"/>
                      <w:highlight w:val="none"/>
                    </w:rPr>
                  </w:pPr>
                  <w:r>
                    <w:rPr>
                      <w:rFonts w:ascii="宋体" w:hAnsi="宋体" w:cs="宋体"/>
                      <w:color w:val="auto"/>
                      <w:szCs w:val="21"/>
                      <w:highlight w:val="none"/>
                    </w:rPr>
                    <w:t>厂区不应选择对食品有显著污染的区域。如某地对食品安全和食品宜食用性存在明显的不利影响，且无法通过采取措施加以改善，应避免在该地址建厂。</w:t>
                  </w:r>
                </w:p>
              </w:tc>
              <w:tc>
                <w:tcPr>
                  <w:tcW w:w="2640" w:type="dxa"/>
                  <w:vAlign w:val="center"/>
                </w:tcPr>
                <w:p w14:paraId="743BDEC8">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项目</w:t>
                  </w:r>
                  <w:r>
                    <w:rPr>
                      <w:rFonts w:ascii="宋体" w:hAnsi="宋体" w:cs="宋体"/>
                      <w:color w:val="auto"/>
                      <w:szCs w:val="21"/>
                      <w:highlight w:val="none"/>
                    </w:rPr>
                    <w:t>周边</w:t>
                  </w:r>
                  <w:r>
                    <w:rPr>
                      <w:rFonts w:hint="default" w:ascii="Times New Roman" w:hAnsi="Times New Roman" w:cs="Times New Roman"/>
                      <w:color w:val="auto"/>
                      <w:szCs w:val="21"/>
                      <w:highlight w:val="none"/>
                      <w:lang w:val="en-US" w:eastAsia="zh-CN"/>
                    </w:rPr>
                    <w:t>100</w:t>
                  </w: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val="en-US" w:eastAsia="zh-CN"/>
                    </w:rPr>
                    <w:t>m</w:t>
                  </w:r>
                  <w:r>
                    <w:rPr>
                      <w:rFonts w:hint="eastAsia" w:ascii="宋体" w:hAnsi="宋体" w:cs="宋体"/>
                      <w:color w:val="auto"/>
                      <w:szCs w:val="21"/>
                      <w:highlight w:val="none"/>
                      <w:lang w:val="en-US" w:eastAsia="zh-CN"/>
                    </w:rPr>
                    <w:t>内</w:t>
                  </w:r>
                  <w:r>
                    <w:rPr>
                      <w:rFonts w:ascii="宋体" w:hAnsi="宋体" w:cs="宋体"/>
                      <w:color w:val="auto"/>
                      <w:szCs w:val="21"/>
                      <w:highlight w:val="none"/>
                    </w:rPr>
                    <w:t>企业</w:t>
                  </w:r>
                  <w:r>
                    <w:rPr>
                      <w:rFonts w:hint="eastAsia" w:ascii="宋体" w:hAnsi="宋体" w:cs="宋体"/>
                      <w:color w:val="auto"/>
                      <w:szCs w:val="21"/>
                      <w:highlight w:val="none"/>
                    </w:rPr>
                    <w:t>除东北侧为龙市镇工业污水处理厂外，其他</w:t>
                  </w:r>
                  <w:r>
                    <w:rPr>
                      <w:rFonts w:ascii="宋体" w:hAnsi="宋体" w:cs="宋体"/>
                      <w:color w:val="auto"/>
                      <w:szCs w:val="21"/>
                      <w:highlight w:val="none"/>
                    </w:rPr>
                    <w:t>均为食品加工企业</w:t>
                  </w:r>
                  <w:r>
                    <w:rPr>
                      <w:rFonts w:hint="eastAsia" w:ascii="宋体" w:hAnsi="宋体" w:cs="宋体"/>
                      <w:color w:val="auto"/>
                      <w:szCs w:val="21"/>
                      <w:highlight w:val="none"/>
                    </w:rPr>
                    <w:t>。</w:t>
                  </w:r>
                  <w:r>
                    <w:rPr>
                      <w:rFonts w:hint="eastAsia"/>
                      <w:color w:val="auto"/>
                      <w:kern w:val="0"/>
                      <w:szCs w:val="21"/>
                      <w:highlight w:val="none"/>
                    </w:rPr>
                    <w:t>龙市镇工业污水处理厂</w:t>
                  </w:r>
                  <w:r>
                    <w:rPr>
                      <w:rFonts w:hint="eastAsia"/>
                      <w:bCs/>
                      <w:color w:val="auto"/>
                      <w:sz w:val="21"/>
                      <w:szCs w:val="21"/>
                      <w:highlight w:val="none"/>
                      <w:lang w:val="en-US" w:eastAsia="zh-CN"/>
                    </w:rPr>
                    <w:t>除污泥消化池外其余污水构筑物与本项目厂界距离均大于50m。龙市镇工业污水处理厂污泥消化池设置为全密闭，</w:t>
                  </w:r>
                  <w:r>
                    <w:rPr>
                      <w:color w:val="auto"/>
                      <w:sz w:val="21"/>
                      <w:szCs w:val="21"/>
                      <w:highlight w:val="none"/>
                    </w:rPr>
                    <w:t>产生的臭气经收集管道收集后导入臭气净化系统进行脱臭，经除臭后由15</w:t>
                  </w:r>
                  <w:r>
                    <w:rPr>
                      <w:rFonts w:hint="eastAsia"/>
                      <w:color w:val="auto"/>
                      <w:sz w:val="21"/>
                      <w:szCs w:val="21"/>
                      <w:highlight w:val="none"/>
                      <w:lang w:val="en-US" w:eastAsia="zh-CN"/>
                    </w:rPr>
                    <w:t xml:space="preserve"> </w:t>
                  </w:r>
                  <w:r>
                    <w:rPr>
                      <w:color w:val="auto"/>
                      <w:sz w:val="21"/>
                      <w:szCs w:val="21"/>
                      <w:highlight w:val="none"/>
                    </w:rPr>
                    <w:t>m排气筒高空(</w:t>
                  </w:r>
                  <w:r>
                    <w:rPr>
                      <w:rFonts w:hint="eastAsia"/>
                      <w:color w:val="auto"/>
                      <w:sz w:val="21"/>
                      <w:szCs w:val="21"/>
                      <w:highlight w:val="none"/>
                    </w:rPr>
                    <w:t>1#</w:t>
                  </w:r>
                  <w:r>
                    <w:rPr>
                      <w:color w:val="auto"/>
                      <w:sz w:val="21"/>
                      <w:szCs w:val="21"/>
                      <w:highlight w:val="none"/>
                    </w:rPr>
                    <w:t>排气筒)排出</w:t>
                  </w:r>
                  <w:r>
                    <w:rPr>
                      <w:rFonts w:hint="eastAsia"/>
                      <w:color w:val="auto"/>
                      <w:sz w:val="21"/>
                      <w:szCs w:val="21"/>
                      <w:highlight w:val="none"/>
                      <w:lang w:eastAsia="zh-CN"/>
                    </w:rPr>
                    <w:t>，</w:t>
                  </w:r>
                  <w:r>
                    <w:rPr>
                      <w:rFonts w:hint="eastAsia"/>
                      <w:color w:val="auto"/>
                      <w:sz w:val="21"/>
                      <w:szCs w:val="21"/>
                      <w:highlight w:val="none"/>
                      <w:lang w:val="en-US" w:eastAsia="zh-CN"/>
                    </w:rPr>
                    <w:t>1#排放筒与本项目厂界最近距离为80m，</w:t>
                  </w:r>
                  <w:r>
                    <w:rPr>
                      <w:rFonts w:hint="eastAsia"/>
                      <w:color w:val="auto"/>
                      <w:kern w:val="0"/>
                      <w:szCs w:val="21"/>
                      <w:highlight w:val="none"/>
                    </w:rPr>
                    <w:t>满足规划环评中提出的50m安全距离要求，对本项目影响较小。</w:t>
                  </w:r>
                </w:p>
              </w:tc>
              <w:tc>
                <w:tcPr>
                  <w:tcW w:w="934" w:type="dxa"/>
                  <w:vAlign w:val="center"/>
                </w:tcPr>
                <w:p w14:paraId="3FA5DB10">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r w14:paraId="2556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7FE47E86">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3870" w:type="dxa"/>
                  <w:vAlign w:val="center"/>
                </w:tcPr>
                <w:p w14:paraId="0451FD34">
                  <w:pPr>
                    <w:widowControl/>
                    <w:spacing w:line="300" w:lineRule="exact"/>
                    <w:jc w:val="center"/>
                    <w:rPr>
                      <w:rFonts w:ascii="宋体" w:hAnsi="宋体" w:cs="宋体"/>
                      <w:color w:val="auto"/>
                      <w:szCs w:val="21"/>
                      <w:highlight w:val="none"/>
                    </w:rPr>
                  </w:pPr>
                  <w:r>
                    <w:rPr>
                      <w:rFonts w:ascii="宋体" w:hAnsi="宋体" w:cs="宋体"/>
                      <w:color w:val="auto"/>
                      <w:szCs w:val="21"/>
                      <w:highlight w:val="none"/>
                    </w:rPr>
                    <w:t>厂区不应选择有害废弃物以及粉尘、有害气体、放射性物质和其他扩散性污染源不能有效清除的地址</w:t>
                  </w:r>
                </w:p>
              </w:tc>
              <w:tc>
                <w:tcPr>
                  <w:tcW w:w="2640" w:type="dxa"/>
                  <w:vAlign w:val="center"/>
                </w:tcPr>
                <w:p w14:paraId="17AA7435">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项目不涉及</w:t>
                  </w:r>
                  <w:r>
                    <w:rPr>
                      <w:rFonts w:ascii="宋体" w:hAnsi="宋体" w:cs="宋体"/>
                      <w:color w:val="auto"/>
                      <w:szCs w:val="21"/>
                      <w:highlight w:val="none"/>
                    </w:rPr>
                    <w:t>有害废弃物以及粉尘、有害气体、放射性物质和其他扩散性污染源不能有效清除的地址</w:t>
                  </w:r>
                </w:p>
              </w:tc>
              <w:tc>
                <w:tcPr>
                  <w:tcW w:w="934" w:type="dxa"/>
                  <w:vAlign w:val="center"/>
                </w:tcPr>
                <w:p w14:paraId="532D217F">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r w14:paraId="3E01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94" w:type="dxa"/>
                  <w:vAlign w:val="center"/>
                </w:tcPr>
                <w:p w14:paraId="462DCBDF">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3870" w:type="dxa"/>
                  <w:vAlign w:val="center"/>
                </w:tcPr>
                <w:p w14:paraId="381310CB">
                  <w:pPr>
                    <w:widowControl/>
                    <w:spacing w:line="300" w:lineRule="exact"/>
                    <w:jc w:val="center"/>
                    <w:rPr>
                      <w:rFonts w:ascii="宋体" w:hAnsi="宋体" w:cs="宋体"/>
                      <w:color w:val="auto"/>
                      <w:szCs w:val="21"/>
                      <w:highlight w:val="none"/>
                    </w:rPr>
                  </w:pPr>
                  <w:r>
                    <w:rPr>
                      <w:rFonts w:ascii="宋体" w:hAnsi="宋体" w:cs="宋体"/>
                      <w:color w:val="auto"/>
                      <w:szCs w:val="21"/>
                      <w:highlight w:val="none"/>
                    </w:rPr>
                    <w:t>厂区不宜择易发生洪涝灾害的地区，难以避开时应设计必要的防范措施。</w:t>
                  </w:r>
                </w:p>
              </w:tc>
              <w:tc>
                <w:tcPr>
                  <w:tcW w:w="2640" w:type="dxa"/>
                  <w:vAlign w:val="center"/>
                </w:tcPr>
                <w:p w14:paraId="0B2F8F77">
                  <w:pPr>
                    <w:widowControl/>
                    <w:spacing w:line="300" w:lineRule="exact"/>
                    <w:jc w:val="center"/>
                    <w:rPr>
                      <w:rFonts w:ascii="宋体" w:hAnsi="宋体" w:cs="宋体"/>
                      <w:b/>
                      <w:bCs/>
                      <w:color w:val="auto"/>
                      <w:szCs w:val="21"/>
                      <w:highlight w:val="none"/>
                    </w:rPr>
                  </w:pPr>
                  <w:r>
                    <w:rPr>
                      <w:rFonts w:hint="eastAsia" w:ascii="宋体" w:hAnsi="宋体" w:cs="宋体"/>
                      <w:color w:val="auto"/>
                      <w:szCs w:val="21"/>
                      <w:highlight w:val="none"/>
                    </w:rPr>
                    <w:t>项目不涉及</w:t>
                  </w:r>
                  <w:r>
                    <w:rPr>
                      <w:rFonts w:ascii="宋体" w:hAnsi="宋体" w:cs="宋体"/>
                      <w:color w:val="auto"/>
                      <w:szCs w:val="21"/>
                      <w:highlight w:val="none"/>
                    </w:rPr>
                    <w:t>易发生洪涝灾害的地区</w:t>
                  </w:r>
                </w:p>
              </w:tc>
              <w:tc>
                <w:tcPr>
                  <w:tcW w:w="934" w:type="dxa"/>
                  <w:vAlign w:val="center"/>
                </w:tcPr>
                <w:p w14:paraId="0058F8A8">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r w14:paraId="6BB6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7DD28937">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3870" w:type="dxa"/>
                  <w:vAlign w:val="center"/>
                </w:tcPr>
                <w:p w14:paraId="4A6BA8F6">
                  <w:pPr>
                    <w:widowControl/>
                    <w:jc w:val="left"/>
                    <w:rPr>
                      <w:rFonts w:ascii="宋体" w:hAnsi="宋体" w:cs="宋体"/>
                      <w:color w:val="auto"/>
                      <w:szCs w:val="21"/>
                      <w:highlight w:val="none"/>
                    </w:rPr>
                  </w:pPr>
                  <w:r>
                    <w:rPr>
                      <w:rFonts w:ascii="宋体" w:hAnsi="宋体" w:cs="宋体"/>
                      <w:color w:val="auto"/>
                      <w:szCs w:val="21"/>
                      <w:highlight w:val="none"/>
                    </w:rPr>
                    <w:t>厂区周围不宜有虫害大量</w:t>
                  </w:r>
                  <w:r>
                    <w:rPr>
                      <w:rFonts w:hint="eastAsia" w:ascii="宋体" w:hAnsi="宋体" w:cs="宋体"/>
                      <w:color w:val="auto"/>
                      <w:kern w:val="0"/>
                      <w:szCs w:val="21"/>
                      <w:highlight w:val="none"/>
                      <w:lang w:bidi="ar"/>
                    </w:rPr>
                    <w:t>孳生</w:t>
                  </w:r>
                  <w:r>
                    <w:rPr>
                      <w:rFonts w:ascii="宋体" w:hAnsi="宋体" w:cs="宋体"/>
                      <w:color w:val="auto"/>
                      <w:szCs w:val="21"/>
                      <w:highlight w:val="none"/>
                    </w:rPr>
                    <w:t>的潜在场所，难以避开时应设计必要的防范措施。</w:t>
                  </w:r>
                </w:p>
              </w:tc>
              <w:tc>
                <w:tcPr>
                  <w:tcW w:w="2640" w:type="dxa"/>
                  <w:vAlign w:val="center"/>
                </w:tcPr>
                <w:p w14:paraId="5344B3C8">
                  <w:pPr>
                    <w:widowControl/>
                    <w:jc w:val="center"/>
                    <w:rPr>
                      <w:rFonts w:ascii="宋体" w:hAnsi="宋体" w:cs="宋体"/>
                      <w:color w:val="auto"/>
                      <w:szCs w:val="21"/>
                      <w:highlight w:val="none"/>
                    </w:rPr>
                  </w:pPr>
                  <w:r>
                    <w:rPr>
                      <w:rFonts w:hint="eastAsia" w:ascii="宋体" w:hAnsi="宋体" w:cs="宋体"/>
                      <w:color w:val="auto"/>
                      <w:szCs w:val="21"/>
                      <w:highlight w:val="none"/>
                    </w:rPr>
                    <w:t>项目周边不涉及</w:t>
                  </w:r>
                  <w:r>
                    <w:rPr>
                      <w:rFonts w:ascii="宋体" w:hAnsi="宋体" w:cs="宋体"/>
                      <w:color w:val="auto"/>
                      <w:szCs w:val="21"/>
                      <w:highlight w:val="none"/>
                    </w:rPr>
                    <w:t>有虫害大量</w:t>
                  </w:r>
                  <w:r>
                    <w:rPr>
                      <w:rFonts w:hint="eastAsia" w:ascii="宋体" w:hAnsi="宋体" w:cs="宋体"/>
                      <w:color w:val="auto"/>
                      <w:kern w:val="0"/>
                      <w:szCs w:val="21"/>
                      <w:highlight w:val="none"/>
                      <w:lang w:bidi="ar"/>
                    </w:rPr>
                    <w:t>孳生</w:t>
                  </w:r>
                  <w:r>
                    <w:rPr>
                      <w:rFonts w:ascii="宋体" w:hAnsi="宋体" w:cs="宋体"/>
                      <w:color w:val="auto"/>
                      <w:szCs w:val="21"/>
                      <w:highlight w:val="none"/>
                    </w:rPr>
                    <w:t>的潜在场所</w:t>
                  </w:r>
                </w:p>
              </w:tc>
              <w:tc>
                <w:tcPr>
                  <w:tcW w:w="934" w:type="dxa"/>
                  <w:vAlign w:val="center"/>
                </w:tcPr>
                <w:p w14:paraId="3F6F51F2">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r w14:paraId="4C74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681209FE">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二</w:t>
                  </w:r>
                </w:p>
              </w:tc>
              <w:tc>
                <w:tcPr>
                  <w:tcW w:w="7444" w:type="dxa"/>
                  <w:gridSpan w:val="3"/>
                  <w:vAlign w:val="center"/>
                </w:tcPr>
                <w:p w14:paraId="595F1F96">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废弃物存放措施</w:t>
                  </w:r>
                </w:p>
              </w:tc>
            </w:tr>
            <w:tr w14:paraId="26AC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67593945">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3870" w:type="dxa"/>
                  <w:vAlign w:val="center"/>
                </w:tcPr>
                <w:p w14:paraId="392CB84D">
                  <w:pPr>
                    <w:widowControl/>
                    <w:spacing w:line="300" w:lineRule="exact"/>
                    <w:jc w:val="center"/>
                    <w:rPr>
                      <w:rFonts w:ascii="宋体" w:hAnsi="宋体" w:cs="宋体"/>
                      <w:color w:val="auto"/>
                      <w:szCs w:val="21"/>
                      <w:highlight w:val="none"/>
                    </w:rPr>
                  </w:pPr>
                  <w:r>
                    <w:rPr>
                      <w:rFonts w:ascii="宋体" w:hAnsi="宋体" w:cs="宋体"/>
                      <w:color w:val="auto"/>
                      <w:szCs w:val="21"/>
                      <w:highlight w:val="none"/>
                    </w:rPr>
                    <w:t>应配备设计合理、防止渗漏、易于清洁的存放废弃物的专用设施；车间内存放废弃物的设施和容器应标识清晰。必要时应在适当地点设置废弃物临时存放设施，并依废弃物特性分类存放。</w:t>
                  </w:r>
                </w:p>
              </w:tc>
              <w:tc>
                <w:tcPr>
                  <w:tcW w:w="2640" w:type="dxa"/>
                  <w:vAlign w:val="center"/>
                </w:tcPr>
                <w:p w14:paraId="520C4022">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厂房已设置设计合理、防渗漏、易于清洁的一般工业固体废物暂存间；</w:t>
                  </w:r>
                  <w:r>
                    <w:rPr>
                      <w:rFonts w:ascii="宋体" w:hAnsi="宋体" w:cs="宋体"/>
                      <w:color w:val="auto"/>
                      <w:szCs w:val="21"/>
                      <w:highlight w:val="none"/>
                    </w:rPr>
                    <w:t>车间内存放废弃物的设施和容器应标识清晰。</w:t>
                  </w:r>
                </w:p>
              </w:tc>
              <w:tc>
                <w:tcPr>
                  <w:tcW w:w="934" w:type="dxa"/>
                  <w:vAlign w:val="center"/>
                </w:tcPr>
                <w:p w14:paraId="30E0D0B4">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r w14:paraId="6D5F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40CB27BC">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三</w:t>
                  </w:r>
                </w:p>
              </w:tc>
              <w:tc>
                <w:tcPr>
                  <w:tcW w:w="7444" w:type="dxa"/>
                  <w:gridSpan w:val="3"/>
                  <w:vAlign w:val="center"/>
                </w:tcPr>
                <w:p w14:paraId="1B742BE2">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废弃物处理</w:t>
                  </w:r>
                </w:p>
              </w:tc>
            </w:tr>
            <w:tr w14:paraId="0574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7A7AB99D">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3870" w:type="dxa"/>
                  <w:vAlign w:val="center"/>
                </w:tcPr>
                <w:p w14:paraId="7B3631CB">
                  <w:pPr>
                    <w:widowControl/>
                    <w:spacing w:line="300" w:lineRule="exact"/>
                    <w:jc w:val="center"/>
                    <w:rPr>
                      <w:rFonts w:ascii="宋体" w:hAnsi="宋体" w:cs="宋体"/>
                      <w:color w:val="auto"/>
                      <w:szCs w:val="21"/>
                      <w:highlight w:val="none"/>
                    </w:rPr>
                  </w:pPr>
                  <w:r>
                    <w:rPr>
                      <w:rFonts w:ascii="宋体" w:hAnsi="宋体" w:cs="宋体"/>
                      <w:color w:val="auto"/>
                      <w:szCs w:val="21"/>
                      <w:highlight w:val="none"/>
                    </w:rPr>
                    <w:t>应制定废弃物存放和清除制度，有特殊要求的废弃物其处理方式应符合有关规定。废弃物应定期清除；易腐败的废弃物应尽快清除；必要时应及时清除废弃物。</w:t>
                  </w:r>
                </w:p>
              </w:tc>
              <w:tc>
                <w:tcPr>
                  <w:tcW w:w="2640" w:type="dxa"/>
                  <w:vAlign w:val="center"/>
                </w:tcPr>
                <w:p w14:paraId="4231B63F">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厂房已设置一般工业固体废物暂存间存放生产过程中产生的固废，经收集后</w:t>
                  </w:r>
                  <w:r>
                    <w:rPr>
                      <w:rFonts w:hint="eastAsia" w:ascii="宋体" w:hAnsi="宋体" w:cs="宋体"/>
                      <w:bCs/>
                      <w:color w:val="auto"/>
                      <w:szCs w:val="21"/>
                      <w:highlight w:val="none"/>
                    </w:rPr>
                    <w:t>葛根渣</w:t>
                  </w:r>
                  <w:r>
                    <w:rPr>
                      <w:rFonts w:hint="eastAsia" w:ascii="宋体" w:hAnsi="宋体" w:cs="宋体"/>
                      <w:color w:val="auto"/>
                      <w:szCs w:val="21"/>
                      <w:highlight w:val="none"/>
                    </w:rPr>
                    <w:t>交由重庆市合川区钵耳山高粱种植农民专业合作社用于农业生产、土壤改良、农作物种植等方式进行回收利用处理；废包装经收集后出售给废品回收单位。安排员工定时清理，防止腐败发臭。</w:t>
                  </w:r>
                </w:p>
              </w:tc>
              <w:tc>
                <w:tcPr>
                  <w:tcW w:w="934" w:type="dxa"/>
                  <w:vAlign w:val="center"/>
                </w:tcPr>
                <w:p w14:paraId="24C4BFE6">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r w14:paraId="5DCA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203E782B">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3870" w:type="dxa"/>
                  <w:vAlign w:val="center"/>
                </w:tcPr>
                <w:p w14:paraId="4A31BEA0">
                  <w:pPr>
                    <w:widowControl/>
                    <w:jc w:val="left"/>
                    <w:rPr>
                      <w:rFonts w:ascii="宋体" w:hAnsi="宋体" w:cs="宋体"/>
                      <w:color w:val="auto"/>
                      <w:szCs w:val="21"/>
                      <w:highlight w:val="none"/>
                    </w:rPr>
                  </w:pPr>
                  <w:r>
                    <w:rPr>
                      <w:rFonts w:ascii="宋体" w:hAnsi="宋体" w:cs="宋体"/>
                      <w:color w:val="auto"/>
                      <w:szCs w:val="21"/>
                      <w:highlight w:val="none"/>
                    </w:rPr>
                    <w:t>车间外废弃物放置场所应与食品加工场所隔离防止污染；应防止不良气味或有害有毒气体溢出； 应防止虫害</w:t>
                  </w:r>
                  <w:r>
                    <w:rPr>
                      <w:rFonts w:hint="eastAsia" w:ascii="宋体" w:hAnsi="宋体" w:cs="宋体"/>
                      <w:color w:val="auto"/>
                      <w:kern w:val="0"/>
                      <w:szCs w:val="21"/>
                      <w:highlight w:val="none"/>
                      <w:lang w:bidi="ar"/>
                    </w:rPr>
                    <w:t>孳</w:t>
                  </w:r>
                  <w:r>
                    <w:rPr>
                      <w:rFonts w:hint="eastAsia" w:ascii="宋体" w:hAnsi="宋体" w:cs="宋体"/>
                      <w:color w:val="auto"/>
                      <w:szCs w:val="21"/>
                      <w:highlight w:val="none"/>
                    </w:rPr>
                    <w:t>生</w:t>
                  </w:r>
                  <w:r>
                    <w:rPr>
                      <w:rFonts w:ascii="宋体" w:hAnsi="宋体" w:cs="宋体"/>
                      <w:color w:val="auto"/>
                      <w:szCs w:val="21"/>
                      <w:highlight w:val="none"/>
                    </w:rPr>
                    <w:t>。</w:t>
                  </w:r>
                </w:p>
              </w:tc>
              <w:tc>
                <w:tcPr>
                  <w:tcW w:w="2640" w:type="dxa"/>
                  <w:vAlign w:val="center"/>
                </w:tcPr>
                <w:p w14:paraId="73BE088B">
                  <w:pPr>
                    <w:widowControl/>
                    <w:jc w:val="left"/>
                    <w:rPr>
                      <w:rFonts w:ascii="宋体" w:hAnsi="宋体" w:cs="宋体"/>
                      <w:color w:val="auto"/>
                      <w:szCs w:val="21"/>
                      <w:highlight w:val="none"/>
                    </w:rPr>
                  </w:pPr>
                  <w:r>
                    <w:rPr>
                      <w:rFonts w:ascii="宋体" w:hAnsi="宋体" w:cs="宋体"/>
                      <w:color w:val="auto"/>
                      <w:szCs w:val="21"/>
                      <w:highlight w:val="none"/>
                    </w:rPr>
                    <w:t>车间外废弃物放置场</w:t>
                  </w:r>
                  <w:r>
                    <w:rPr>
                      <w:rFonts w:hint="eastAsia" w:ascii="宋体" w:hAnsi="宋体" w:cs="宋体"/>
                      <w:color w:val="auto"/>
                      <w:szCs w:val="21"/>
                      <w:highlight w:val="none"/>
                    </w:rPr>
                    <w:t>所</w:t>
                  </w:r>
                  <w:r>
                    <w:rPr>
                      <w:rFonts w:ascii="宋体" w:hAnsi="宋体" w:cs="宋体"/>
                      <w:color w:val="auto"/>
                      <w:szCs w:val="21"/>
                      <w:highlight w:val="none"/>
                    </w:rPr>
                    <w:t>与食品加工场隔离</w:t>
                  </w:r>
                  <w:r>
                    <w:rPr>
                      <w:rFonts w:hint="eastAsia" w:ascii="宋体" w:hAnsi="宋体" w:cs="宋体"/>
                      <w:color w:val="auto"/>
                      <w:szCs w:val="21"/>
                      <w:highlight w:val="none"/>
                    </w:rPr>
                    <w:t>；及时清运，</w:t>
                  </w:r>
                  <w:r>
                    <w:rPr>
                      <w:rFonts w:ascii="宋体" w:hAnsi="宋体" w:cs="宋体"/>
                      <w:color w:val="auto"/>
                      <w:szCs w:val="21"/>
                      <w:highlight w:val="none"/>
                    </w:rPr>
                    <w:t>防止不良气味</w:t>
                  </w:r>
                  <w:r>
                    <w:rPr>
                      <w:rFonts w:hint="eastAsia" w:ascii="宋体" w:hAnsi="宋体" w:cs="宋体"/>
                      <w:color w:val="auto"/>
                      <w:szCs w:val="21"/>
                      <w:highlight w:val="none"/>
                    </w:rPr>
                    <w:t>气体逸出、</w:t>
                  </w:r>
                  <w:r>
                    <w:rPr>
                      <w:rFonts w:ascii="宋体" w:hAnsi="宋体" w:cs="宋体"/>
                      <w:color w:val="auto"/>
                      <w:szCs w:val="21"/>
                      <w:highlight w:val="none"/>
                    </w:rPr>
                    <w:t>防止虫害</w:t>
                  </w:r>
                  <w:r>
                    <w:rPr>
                      <w:rFonts w:hint="eastAsia" w:ascii="宋体" w:hAnsi="宋体" w:cs="宋体"/>
                      <w:color w:val="auto"/>
                      <w:kern w:val="0"/>
                      <w:szCs w:val="21"/>
                      <w:highlight w:val="none"/>
                      <w:lang w:bidi="ar"/>
                    </w:rPr>
                    <w:t>孳</w:t>
                  </w:r>
                  <w:r>
                    <w:rPr>
                      <w:rFonts w:hint="eastAsia" w:ascii="宋体" w:hAnsi="宋体" w:cs="宋体"/>
                      <w:color w:val="auto"/>
                      <w:szCs w:val="21"/>
                      <w:highlight w:val="none"/>
                    </w:rPr>
                    <w:t>生。</w:t>
                  </w:r>
                </w:p>
              </w:tc>
              <w:tc>
                <w:tcPr>
                  <w:tcW w:w="934" w:type="dxa"/>
                  <w:vAlign w:val="center"/>
                </w:tcPr>
                <w:p w14:paraId="6F81D7F4">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r w14:paraId="7A9A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0BF7AE1D">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四</w:t>
                  </w:r>
                </w:p>
              </w:tc>
              <w:tc>
                <w:tcPr>
                  <w:tcW w:w="7444" w:type="dxa"/>
                  <w:gridSpan w:val="3"/>
                  <w:vAlign w:val="center"/>
                </w:tcPr>
                <w:p w14:paraId="58C07531">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食品的贮存和运输</w:t>
                  </w:r>
                </w:p>
              </w:tc>
            </w:tr>
            <w:tr w14:paraId="0503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6D89A7CC">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3870" w:type="dxa"/>
                  <w:vAlign w:val="center"/>
                </w:tcPr>
                <w:p w14:paraId="06CEB630">
                  <w:pPr>
                    <w:widowControl/>
                    <w:spacing w:line="300" w:lineRule="exact"/>
                    <w:jc w:val="center"/>
                    <w:rPr>
                      <w:rFonts w:ascii="宋体" w:hAnsi="宋体" w:cs="宋体"/>
                      <w:color w:val="auto"/>
                      <w:szCs w:val="21"/>
                      <w:highlight w:val="none"/>
                    </w:rPr>
                  </w:pPr>
                  <w:r>
                    <w:rPr>
                      <w:rFonts w:ascii="宋体" w:hAnsi="宋体" w:cs="宋体"/>
                      <w:color w:val="auto"/>
                      <w:szCs w:val="21"/>
                      <w:highlight w:val="none"/>
                    </w:rPr>
                    <w:t>根据食品的特点和卫生需要选择适宜的贮存和运输条件，必要时应配备保温、冷藏、保鲜等设施。不得将食品与有毒、有害、有异味的物品一同贮存运输。</w:t>
                  </w:r>
                </w:p>
              </w:tc>
              <w:tc>
                <w:tcPr>
                  <w:tcW w:w="2640" w:type="dxa"/>
                  <w:vAlign w:val="center"/>
                </w:tcPr>
                <w:p w14:paraId="35EFEA85">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本项目产品为葛根粉，通过包装的方式密封保存。不与</w:t>
                  </w:r>
                  <w:r>
                    <w:rPr>
                      <w:rFonts w:ascii="宋体" w:hAnsi="宋体" w:cs="宋体"/>
                      <w:color w:val="auto"/>
                      <w:szCs w:val="21"/>
                      <w:highlight w:val="none"/>
                    </w:rPr>
                    <w:t>有毒、有害</w:t>
                  </w:r>
                  <w:r>
                    <w:rPr>
                      <w:rFonts w:hint="eastAsia" w:ascii="宋体" w:hAnsi="宋体" w:cs="宋体"/>
                      <w:color w:val="auto"/>
                      <w:szCs w:val="21"/>
                      <w:highlight w:val="none"/>
                    </w:rPr>
                    <w:t>、</w:t>
                  </w:r>
                  <w:r>
                    <w:rPr>
                      <w:rFonts w:ascii="宋体" w:hAnsi="宋体" w:cs="宋体"/>
                      <w:color w:val="auto"/>
                      <w:szCs w:val="21"/>
                      <w:highlight w:val="none"/>
                    </w:rPr>
                    <w:t>有异味的物品一同贮存运输</w:t>
                  </w:r>
                  <w:r>
                    <w:rPr>
                      <w:rFonts w:hint="eastAsia" w:ascii="宋体" w:hAnsi="宋体" w:cs="宋体"/>
                      <w:color w:val="auto"/>
                      <w:szCs w:val="21"/>
                      <w:highlight w:val="none"/>
                    </w:rPr>
                    <w:t>。</w:t>
                  </w:r>
                </w:p>
              </w:tc>
              <w:tc>
                <w:tcPr>
                  <w:tcW w:w="934" w:type="dxa"/>
                  <w:vAlign w:val="center"/>
                </w:tcPr>
                <w:p w14:paraId="3471CC7C">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r w14:paraId="3D5F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53228FC7">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3870" w:type="dxa"/>
                  <w:vAlign w:val="center"/>
                </w:tcPr>
                <w:p w14:paraId="0F4AAF11">
                  <w:pPr>
                    <w:widowControl/>
                    <w:spacing w:line="300" w:lineRule="exact"/>
                    <w:jc w:val="center"/>
                    <w:rPr>
                      <w:rFonts w:ascii="宋体" w:hAnsi="宋体" w:cs="宋体"/>
                      <w:color w:val="auto"/>
                      <w:szCs w:val="21"/>
                      <w:highlight w:val="none"/>
                    </w:rPr>
                  </w:pPr>
                  <w:r>
                    <w:rPr>
                      <w:rFonts w:ascii="宋体" w:hAnsi="宋体" w:cs="宋体"/>
                      <w:color w:val="auto"/>
                      <w:szCs w:val="21"/>
                      <w:highlight w:val="none"/>
                    </w:rPr>
                    <w:t>应建立和执行适当的仓储制度，发现异常应及时处理。</w:t>
                  </w:r>
                </w:p>
              </w:tc>
              <w:tc>
                <w:tcPr>
                  <w:tcW w:w="2640" w:type="dxa"/>
                  <w:vAlign w:val="center"/>
                </w:tcPr>
                <w:p w14:paraId="7652FBC1">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企业已</w:t>
                  </w:r>
                  <w:r>
                    <w:rPr>
                      <w:rFonts w:ascii="宋体" w:hAnsi="宋体" w:cs="宋体"/>
                      <w:color w:val="auto"/>
                      <w:szCs w:val="21"/>
                      <w:highlight w:val="none"/>
                    </w:rPr>
                    <w:t>建立和执行适当的仓储制度，发现异常应及时处理。</w:t>
                  </w:r>
                </w:p>
              </w:tc>
              <w:tc>
                <w:tcPr>
                  <w:tcW w:w="934" w:type="dxa"/>
                  <w:vAlign w:val="center"/>
                </w:tcPr>
                <w:p w14:paraId="726E8220">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r w14:paraId="19BE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3EAF4D12">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3870" w:type="dxa"/>
                  <w:vAlign w:val="center"/>
                </w:tcPr>
                <w:p w14:paraId="358CB21D">
                  <w:pPr>
                    <w:widowControl/>
                    <w:spacing w:line="300" w:lineRule="exact"/>
                    <w:jc w:val="center"/>
                    <w:rPr>
                      <w:rFonts w:ascii="宋体" w:hAnsi="宋体" w:cs="宋体"/>
                      <w:color w:val="auto"/>
                      <w:szCs w:val="21"/>
                      <w:highlight w:val="none"/>
                    </w:rPr>
                  </w:pPr>
                  <w:r>
                    <w:rPr>
                      <w:rFonts w:ascii="宋体" w:hAnsi="宋体" w:cs="宋体"/>
                      <w:color w:val="auto"/>
                      <w:szCs w:val="21"/>
                      <w:highlight w:val="none"/>
                    </w:rPr>
                    <w:t>贮存、运输和装卸食品的容器、工器具和设备应当安全、无害，保持清洁，降低食品污染的风险</w:t>
                  </w:r>
                  <w:r>
                    <w:rPr>
                      <w:rFonts w:hint="eastAsia" w:ascii="宋体" w:hAnsi="宋体" w:cs="宋体"/>
                      <w:color w:val="auto"/>
                      <w:szCs w:val="21"/>
                      <w:highlight w:val="none"/>
                    </w:rPr>
                    <w:t>。</w:t>
                  </w:r>
                </w:p>
              </w:tc>
              <w:tc>
                <w:tcPr>
                  <w:tcW w:w="2640" w:type="dxa"/>
                  <w:vAlign w:val="center"/>
                </w:tcPr>
                <w:p w14:paraId="30185877">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企业应对</w:t>
                  </w:r>
                  <w:r>
                    <w:rPr>
                      <w:rFonts w:ascii="宋体" w:hAnsi="宋体" w:cs="宋体"/>
                      <w:color w:val="auto"/>
                      <w:szCs w:val="21"/>
                      <w:highlight w:val="none"/>
                    </w:rPr>
                    <w:t>贮存、运输和装卸食品的容器、工器具和设备</w:t>
                  </w:r>
                  <w:r>
                    <w:rPr>
                      <w:rFonts w:hint="eastAsia" w:ascii="宋体" w:hAnsi="宋体" w:cs="宋体"/>
                      <w:color w:val="auto"/>
                      <w:szCs w:val="21"/>
                      <w:highlight w:val="none"/>
                    </w:rPr>
                    <w:t>定期检查及清洁，降低食品污染的风险。</w:t>
                  </w:r>
                </w:p>
              </w:tc>
              <w:tc>
                <w:tcPr>
                  <w:tcW w:w="934" w:type="dxa"/>
                  <w:vAlign w:val="center"/>
                </w:tcPr>
                <w:p w14:paraId="3C2ECE33">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r w14:paraId="455A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14:paraId="05314EDE">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3870" w:type="dxa"/>
                  <w:vAlign w:val="center"/>
                </w:tcPr>
                <w:p w14:paraId="52C14E54">
                  <w:pPr>
                    <w:widowControl/>
                    <w:spacing w:line="300" w:lineRule="exact"/>
                    <w:jc w:val="center"/>
                    <w:rPr>
                      <w:rFonts w:ascii="宋体" w:hAnsi="宋体" w:cs="宋体"/>
                      <w:color w:val="auto"/>
                      <w:szCs w:val="21"/>
                      <w:highlight w:val="none"/>
                    </w:rPr>
                  </w:pPr>
                  <w:r>
                    <w:rPr>
                      <w:rFonts w:ascii="宋体" w:hAnsi="宋体" w:cs="宋体"/>
                      <w:color w:val="auto"/>
                      <w:szCs w:val="21"/>
                      <w:highlight w:val="none"/>
                    </w:rPr>
                    <w:t>贮存和运输过程中应避免日光直射、雨淋、显著的温湿度变化和剧烈撞击等，防止食品受到不良影响。</w:t>
                  </w:r>
                </w:p>
              </w:tc>
              <w:tc>
                <w:tcPr>
                  <w:tcW w:w="2640" w:type="dxa"/>
                  <w:vAlign w:val="center"/>
                </w:tcPr>
                <w:p w14:paraId="383C00A0">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本项目产品为葛根粉，以包装的方式出库，贮存和运输的过程中尽量避免日光直射、雨淋、显著的温度变化和剧烈撞击等不良影响。</w:t>
                  </w:r>
                </w:p>
              </w:tc>
              <w:tc>
                <w:tcPr>
                  <w:tcW w:w="934" w:type="dxa"/>
                  <w:vAlign w:val="center"/>
                </w:tcPr>
                <w:p w14:paraId="3A73F26F">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符合</w:t>
                  </w:r>
                </w:p>
              </w:tc>
            </w:tr>
          </w:tbl>
          <w:p w14:paraId="0216FD64">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ascii="宋体" w:hAnsi="宋体" w:cs="宋体"/>
                <w:b/>
                <w:bCs/>
                <w:color w:val="auto"/>
                <w:sz w:val="24"/>
                <w:highlight w:val="none"/>
              </w:rPr>
            </w:pPr>
            <w:r>
              <w:rPr>
                <w:rFonts w:hint="eastAsia" w:ascii="宋体" w:hAnsi="宋体" w:cs="宋体"/>
                <w:b/>
                <w:bCs/>
                <w:color w:val="auto"/>
                <w:sz w:val="24"/>
                <w:highlight w:val="none"/>
                <w:lang w:val="en-US" w:eastAsia="zh-CN"/>
              </w:rPr>
              <w:t>1.8</w:t>
            </w:r>
            <w:r>
              <w:rPr>
                <w:rFonts w:ascii="宋体" w:hAnsi="宋体" w:cs="宋体"/>
                <w:b/>
                <w:bCs/>
                <w:color w:val="auto"/>
                <w:sz w:val="24"/>
                <w:highlight w:val="none"/>
              </w:rPr>
              <w:t>选址合理性分析</w:t>
            </w:r>
          </w:p>
          <w:p w14:paraId="208A4A1D">
            <w:pPr>
              <w:keepNext w:val="0"/>
              <w:keepLines w:val="0"/>
              <w:pageBreakBefore w:val="0"/>
              <w:widowControl/>
              <w:kinsoku/>
              <w:wordWrap/>
              <w:overflowPunct/>
              <w:topLinePunct w:val="0"/>
              <w:autoSpaceDE/>
              <w:autoSpaceDN/>
              <w:bidi w:val="0"/>
              <w:adjustRightInd/>
              <w:snapToGrid/>
              <w:spacing w:line="460" w:lineRule="exact"/>
              <w:ind w:firstLine="480" w:firstLineChars="200"/>
              <w:jc w:val="both"/>
              <w:textAlignment w:val="auto"/>
              <w:rPr>
                <w:rFonts w:hint="default"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本项目位于龙市镇工业规划用地，厂界外100m范围内除东北侧的龙市镇工业污水处理厂外，其他均为食品加工企业。</w:t>
            </w:r>
          </w:p>
          <w:p w14:paraId="28123F92">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color w:val="auto"/>
                <w:kern w:val="0"/>
                <w:sz w:val="24"/>
                <w:highlight w:val="none"/>
                <w:lang w:bidi="ar"/>
              </w:rPr>
            </w:pPr>
            <w:r>
              <w:rPr>
                <w:rFonts w:hint="eastAsia"/>
                <w:color w:val="auto"/>
                <w:sz w:val="24"/>
                <w:highlight w:val="none"/>
              </w:rPr>
              <w:t>本项目厂界距离东北侧</w:t>
            </w:r>
            <w:r>
              <w:rPr>
                <w:bCs/>
                <w:color w:val="auto"/>
                <w:sz w:val="24"/>
                <w:highlight w:val="none"/>
              </w:rPr>
              <w:t>龙市镇工业污水</w:t>
            </w:r>
            <w:r>
              <w:rPr>
                <w:rFonts w:hint="eastAsia"/>
                <w:bCs/>
                <w:color w:val="auto"/>
                <w:sz w:val="24"/>
                <w:highlight w:val="none"/>
              </w:rPr>
              <w:t>处理</w:t>
            </w:r>
            <w:r>
              <w:rPr>
                <w:bCs/>
                <w:color w:val="auto"/>
                <w:sz w:val="24"/>
                <w:highlight w:val="none"/>
              </w:rPr>
              <w:t>厂</w:t>
            </w:r>
            <w:r>
              <w:rPr>
                <w:rFonts w:hint="eastAsia"/>
                <w:bCs/>
                <w:color w:val="auto"/>
                <w:sz w:val="24"/>
                <w:highlight w:val="none"/>
              </w:rPr>
              <w:t>厂界最近距离为35m，</w:t>
            </w:r>
            <w:r>
              <w:rPr>
                <w:rFonts w:hint="eastAsia"/>
                <w:bCs/>
                <w:color w:val="auto"/>
                <w:sz w:val="24"/>
                <w:highlight w:val="none"/>
                <w:lang w:val="en-US" w:eastAsia="zh-CN"/>
              </w:rPr>
              <w:t>龙市镇工业污水处理厂</w:t>
            </w:r>
            <w:r>
              <w:rPr>
                <w:color w:val="auto"/>
                <w:kern w:val="0"/>
                <w:sz w:val="24"/>
                <w:highlight w:val="none"/>
                <w:lang w:bidi="ar"/>
              </w:rPr>
              <w:t>各污水处理</w:t>
            </w:r>
            <w:r>
              <w:rPr>
                <w:rFonts w:hint="eastAsia"/>
                <w:color w:val="auto"/>
                <w:kern w:val="0"/>
                <w:sz w:val="24"/>
                <w:highlight w:val="none"/>
                <w:lang w:bidi="ar"/>
              </w:rPr>
              <w:t>池体均加盖密闭或地埋</w:t>
            </w:r>
            <w:r>
              <w:rPr>
                <w:color w:val="auto"/>
                <w:kern w:val="0"/>
                <w:sz w:val="24"/>
                <w:highlight w:val="none"/>
                <w:lang w:bidi="ar"/>
              </w:rPr>
              <w:t>，处理池上方进行绿化，出泥点局部抽风，</w:t>
            </w:r>
            <w:r>
              <w:rPr>
                <w:rFonts w:hint="eastAsia"/>
                <w:color w:val="auto"/>
                <w:kern w:val="0"/>
                <w:sz w:val="24"/>
                <w:highlight w:val="none"/>
                <w:lang w:bidi="ar"/>
              </w:rPr>
              <w:t>其余均为负压抽风，臭气</w:t>
            </w:r>
            <w:r>
              <w:rPr>
                <w:color w:val="auto"/>
                <w:kern w:val="0"/>
                <w:sz w:val="24"/>
                <w:highlight w:val="none"/>
                <w:lang w:bidi="ar"/>
              </w:rPr>
              <w:t>经管道收集至</w:t>
            </w:r>
            <w:r>
              <w:rPr>
                <w:color w:val="auto"/>
                <w:sz w:val="24"/>
                <w:highlight w:val="none"/>
              </w:rPr>
              <w:t>臭气净化系统</w:t>
            </w:r>
            <w:r>
              <w:rPr>
                <w:color w:val="auto"/>
                <w:kern w:val="0"/>
                <w:sz w:val="24"/>
                <w:highlight w:val="none"/>
                <w:lang w:bidi="ar"/>
              </w:rPr>
              <w:t>处理后经15m排气筒排放。厂区以</w:t>
            </w:r>
            <w:r>
              <w:rPr>
                <w:rFonts w:hint="eastAsia"/>
                <w:color w:val="auto"/>
                <w:kern w:val="0"/>
                <w:sz w:val="24"/>
                <w:highlight w:val="none"/>
                <w:lang w:bidi="ar"/>
              </w:rPr>
              <w:t>污水处理构筑物</w:t>
            </w:r>
            <w:r>
              <w:rPr>
                <w:color w:val="auto"/>
                <w:kern w:val="0"/>
                <w:sz w:val="24"/>
                <w:highlight w:val="none"/>
                <w:lang w:bidi="ar"/>
              </w:rPr>
              <w:t>起外扩设置50m</w:t>
            </w:r>
            <w:r>
              <w:rPr>
                <w:rFonts w:hint="eastAsia"/>
                <w:color w:val="auto"/>
                <w:kern w:val="0"/>
                <w:sz w:val="24"/>
                <w:highlight w:val="none"/>
                <w:lang w:bidi="ar"/>
              </w:rPr>
              <w:t>大气</w:t>
            </w:r>
            <w:r>
              <w:rPr>
                <w:color w:val="auto"/>
                <w:kern w:val="0"/>
                <w:sz w:val="24"/>
                <w:highlight w:val="none"/>
                <w:lang w:bidi="ar"/>
              </w:rPr>
              <w:t>环境防护距离。</w:t>
            </w:r>
          </w:p>
          <w:p w14:paraId="1D02C0D5">
            <w:pPr>
              <w:keepNext w:val="0"/>
              <w:keepLines w:val="0"/>
              <w:pageBreakBefore w:val="0"/>
              <w:widowControl/>
              <w:kinsoku/>
              <w:wordWrap/>
              <w:overflowPunct/>
              <w:topLinePunct w:val="0"/>
              <w:autoSpaceDE/>
              <w:autoSpaceDN/>
              <w:bidi w:val="0"/>
              <w:adjustRightInd/>
              <w:snapToGrid/>
              <w:spacing w:line="460" w:lineRule="exact"/>
              <w:ind w:firstLine="480" w:firstLineChars="200"/>
              <w:jc w:val="both"/>
              <w:textAlignment w:val="auto"/>
              <w:rPr>
                <w:rFonts w:hint="eastAsia"/>
                <w:bCs/>
                <w:color w:val="auto"/>
                <w:sz w:val="24"/>
                <w:highlight w:val="none"/>
                <w:lang w:val="en-US" w:eastAsia="zh-CN"/>
              </w:rPr>
            </w:pPr>
            <w:r>
              <w:rPr>
                <w:rFonts w:hint="eastAsia"/>
                <w:bCs/>
                <w:color w:val="auto"/>
                <w:sz w:val="24"/>
                <w:highlight w:val="none"/>
                <w:lang w:val="en-US" w:eastAsia="zh-CN"/>
              </w:rPr>
              <w:t>根据龙市镇工业污水处理厂平面图及环保设施分布图，除污泥消化池外其余污水构筑物与本项目厂界距离均大于50m。龙市镇工业污水处理厂污泥消化池设置为全密闭，</w:t>
            </w:r>
            <w:r>
              <w:rPr>
                <w:color w:val="auto"/>
                <w:sz w:val="24"/>
                <w:highlight w:val="none"/>
              </w:rPr>
              <w:t>产生的臭气经收集管道收集后导入臭气净化系统进行脱臭，经除臭后由15</w:t>
            </w:r>
            <w:r>
              <w:rPr>
                <w:rFonts w:hint="eastAsia"/>
                <w:color w:val="auto"/>
                <w:sz w:val="24"/>
                <w:highlight w:val="none"/>
                <w:lang w:val="en-US" w:eastAsia="zh-CN"/>
              </w:rPr>
              <w:t xml:space="preserve"> </w:t>
            </w:r>
            <w:r>
              <w:rPr>
                <w:color w:val="auto"/>
                <w:sz w:val="24"/>
                <w:highlight w:val="none"/>
              </w:rPr>
              <w:t>m排气筒高空(</w:t>
            </w:r>
            <w:r>
              <w:rPr>
                <w:rFonts w:hint="eastAsia"/>
                <w:color w:val="auto"/>
                <w:sz w:val="24"/>
                <w:highlight w:val="none"/>
              </w:rPr>
              <w:t>1#</w:t>
            </w:r>
            <w:r>
              <w:rPr>
                <w:color w:val="auto"/>
                <w:sz w:val="24"/>
                <w:highlight w:val="none"/>
              </w:rPr>
              <w:t>排气筒)排出</w:t>
            </w:r>
            <w:r>
              <w:rPr>
                <w:rFonts w:hint="eastAsia"/>
                <w:color w:val="auto"/>
                <w:sz w:val="24"/>
                <w:highlight w:val="none"/>
                <w:lang w:eastAsia="zh-CN"/>
              </w:rPr>
              <w:t>，</w:t>
            </w:r>
            <w:r>
              <w:rPr>
                <w:rFonts w:hint="eastAsia"/>
                <w:color w:val="auto"/>
                <w:sz w:val="24"/>
                <w:highlight w:val="none"/>
                <w:lang w:val="en-US" w:eastAsia="zh-CN"/>
              </w:rPr>
              <w:t>1#排放筒与本项目厂界最近距离为80m，</w:t>
            </w:r>
            <w:r>
              <w:rPr>
                <w:rFonts w:hint="eastAsia"/>
                <w:bCs/>
                <w:color w:val="auto"/>
                <w:sz w:val="24"/>
                <w:highlight w:val="none"/>
              </w:rPr>
              <w:t>满足</w:t>
            </w:r>
            <w:r>
              <w:rPr>
                <w:rFonts w:hint="eastAsia" w:hAnsi="宋体"/>
                <w:color w:val="auto"/>
                <w:sz w:val="24"/>
                <w:highlight w:val="none"/>
              </w:rPr>
              <w:t>《重庆市合川区龙市镇控制性详细规划环境影响报告书》及审查意</w:t>
            </w:r>
            <w:r>
              <w:rPr>
                <w:rFonts w:hint="eastAsia"/>
                <w:bCs/>
                <w:color w:val="auto"/>
                <w:sz w:val="24"/>
                <w:highlight w:val="none"/>
              </w:rPr>
              <w:t>见中提出保证</w:t>
            </w:r>
            <w:r>
              <w:rPr>
                <w:bCs/>
                <w:color w:val="auto"/>
                <w:sz w:val="24"/>
                <w:highlight w:val="none"/>
              </w:rPr>
              <w:t>龙市镇工业污水</w:t>
            </w:r>
            <w:r>
              <w:rPr>
                <w:rFonts w:hint="eastAsia"/>
                <w:bCs/>
                <w:color w:val="auto"/>
                <w:sz w:val="24"/>
                <w:highlight w:val="none"/>
              </w:rPr>
              <w:t>处理</w:t>
            </w:r>
            <w:r>
              <w:rPr>
                <w:bCs/>
                <w:color w:val="auto"/>
                <w:sz w:val="24"/>
                <w:highlight w:val="none"/>
              </w:rPr>
              <w:t>厂</w:t>
            </w:r>
            <w:r>
              <w:rPr>
                <w:rFonts w:hint="eastAsia"/>
                <w:bCs/>
                <w:color w:val="auto"/>
                <w:sz w:val="24"/>
                <w:highlight w:val="none"/>
              </w:rPr>
              <w:t>主要臭气污染建构筑物与食品企业留</w:t>
            </w:r>
            <w:r>
              <w:rPr>
                <w:rFonts w:hint="eastAsia"/>
                <w:bCs/>
                <w:color w:val="auto"/>
                <w:sz w:val="24"/>
                <w:highlight w:val="none"/>
                <w:lang w:val="en-US" w:eastAsia="zh-CN"/>
              </w:rPr>
              <w:t>有</w:t>
            </w:r>
            <w:r>
              <w:rPr>
                <w:rFonts w:hint="eastAsia"/>
                <w:bCs/>
                <w:color w:val="auto"/>
                <w:sz w:val="24"/>
                <w:highlight w:val="none"/>
              </w:rPr>
              <w:t>50</w:t>
            </w:r>
            <w:r>
              <w:rPr>
                <w:rFonts w:hint="eastAsia"/>
                <w:bCs/>
                <w:color w:val="auto"/>
                <w:sz w:val="24"/>
                <w:highlight w:val="none"/>
                <w:lang w:val="en-US" w:eastAsia="zh-CN"/>
              </w:rPr>
              <w:t xml:space="preserve"> m</w:t>
            </w:r>
            <w:r>
              <w:rPr>
                <w:rFonts w:hint="eastAsia"/>
                <w:bCs/>
                <w:color w:val="auto"/>
                <w:sz w:val="24"/>
                <w:highlight w:val="none"/>
              </w:rPr>
              <w:t>的安全距离要求</w:t>
            </w:r>
            <w:r>
              <w:rPr>
                <w:rFonts w:hint="eastAsia"/>
                <w:bCs/>
                <w:color w:val="auto"/>
                <w:sz w:val="24"/>
                <w:highlight w:val="none"/>
                <w:lang w:eastAsia="zh-CN"/>
              </w:rPr>
              <w:t>，选址合理</w:t>
            </w:r>
            <w:r>
              <w:rPr>
                <w:rFonts w:hint="eastAsia"/>
                <w:color w:val="auto"/>
                <w:sz w:val="24"/>
                <w:highlight w:val="none"/>
                <w:lang w:val="en-US" w:eastAsia="zh-CN"/>
              </w:rPr>
              <w:t>。</w:t>
            </w:r>
          </w:p>
          <w:p w14:paraId="47612B70">
            <w:pPr>
              <w:keepNext w:val="0"/>
              <w:keepLines w:val="0"/>
              <w:pageBreakBefore w:val="0"/>
              <w:widowControl/>
              <w:kinsoku/>
              <w:wordWrap/>
              <w:overflowPunct/>
              <w:topLinePunct w:val="0"/>
              <w:autoSpaceDE/>
              <w:autoSpaceDN/>
              <w:bidi w:val="0"/>
              <w:adjustRightInd/>
              <w:snapToGrid/>
              <w:spacing w:line="460" w:lineRule="exact"/>
              <w:ind w:firstLine="480" w:firstLineChars="200"/>
              <w:jc w:val="both"/>
              <w:textAlignment w:val="auto"/>
              <w:rPr>
                <w:rFonts w:hint="eastAsia"/>
                <w:bCs/>
                <w:color w:val="auto"/>
                <w:sz w:val="24"/>
                <w:highlight w:val="none"/>
              </w:rPr>
            </w:pPr>
            <w:r>
              <w:rPr>
                <w:rFonts w:hint="eastAsia"/>
                <w:bCs/>
                <w:color w:val="auto"/>
                <w:sz w:val="24"/>
                <w:highlight w:val="none"/>
                <w:lang w:val="en-US" w:eastAsia="zh-CN"/>
              </w:rPr>
              <w:t>本项目厂界</w:t>
            </w:r>
            <w:r>
              <w:rPr>
                <w:rFonts w:hint="eastAsia"/>
                <w:bCs/>
                <w:color w:val="auto"/>
                <w:sz w:val="24"/>
                <w:highlight w:val="none"/>
              </w:rPr>
              <w:t>距</w:t>
            </w:r>
            <w:r>
              <w:rPr>
                <w:bCs/>
                <w:color w:val="auto"/>
                <w:sz w:val="24"/>
                <w:highlight w:val="none"/>
              </w:rPr>
              <w:t>龙市镇工业污水</w:t>
            </w:r>
            <w:r>
              <w:rPr>
                <w:rFonts w:hint="eastAsia"/>
                <w:bCs/>
                <w:color w:val="auto"/>
                <w:sz w:val="24"/>
                <w:highlight w:val="none"/>
              </w:rPr>
              <w:t>处理</w:t>
            </w:r>
            <w:r>
              <w:rPr>
                <w:bCs/>
                <w:color w:val="auto"/>
                <w:sz w:val="24"/>
                <w:highlight w:val="none"/>
              </w:rPr>
              <w:t>厂</w:t>
            </w:r>
            <w:r>
              <w:rPr>
                <w:rFonts w:hint="eastAsia"/>
                <w:bCs/>
                <w:color w:val="auto"/>
                <w:sz w:val="24"/>
                <w:highlight w:val="none"/>
                <w:lang w:val="en-US" w:eastAsia="zh-CN"/>
              </w:rPr>
              <w:t>主要污水构筑物的</w:t>
            </w:r>
            <w:r>
              <w:rPr>
                <w:rFonts w:hint="eastAsia"/>
                <w:bCs/>
                <w:color w:val="auto"/>
                <w:sz w:val="24"/>
                <w:highlight w:val="none"/>
              </w:rPr>
              <w:t>距离</w:t>
            </w:r>
            <w:r>
              <w:rPr>
                <w:rFonts w:hint="eastAsia"/>
                <w:bCs/>
                <w:color w:val="auto"/>
                <w:sz w:val="24"/>
                <w:highlight w:val="none"/>
                <w:lang w:eastAsia="zh-CN"/>
              </w:rPr>
              <w:t>具体</w:t>
            </w:r>
            <w:r>
              <w:rPr>
                <w:rFonts w:hint="eastAsia"/>
                <w:bCs/>
                <w:color w:val="auto"/>
                <w:sz w:val="24"/>
                <w:highlight w:val="none"/>
                <w:lang w:val="en-US" w:eastAsia="zh-CN"/>
              </w:rPr>
              <w:t>见表1.8-1</w:t>
            </w:r>
            <w:r>
              <w:rPr>
                <w:rFonts w:hint="eastAsia"/>
                <w:bCs/>
                <w:color w:val="auto"/>
                <w:sz w:val="24"/>
                <w:highlight w:val="none"/>
              </w:rPr>
              <w:t>。</w:t>
            </w:r>
          </w:p>
          <w:p w14:paraId="177AFEE0">
            <w:pPr>
              <w:widowControl/>
              <w:spacing w:line="440" w:lineRule="exact"/>
              <w:jc w:val="center"/>
              <w:rPr>
                <w:rFonts w:hint="eastAsia"/>
                <w:bCs/>
                <w:color w:val="auto"/>
                <w:sz w:val="24"/>
                <w:highlight w:val="none"/>
                <w:lang w:val="en-US" w:eastAsia="zh-CN"/>
              </w:rPr>
            </w:pPr>
            <w:r>
              <w:rPr>
                <w:rFonts w:hint="eastAsia"/>
                <w:bCs/>
                <w:color w:val="auto"/>
                <w:sz w:val="24"/>
                <w:highlight w:val="none"/>
                <w:lang w:val="en-US" w:eastAsia="zh-CN"/>
              </w:rPr>
              <w:t>表1.8-1  本项目与</w:t>
            </w:r>
            <w:r>
              <w:rPr>
                <w:bCs/>
                <w:color w:val="auto"/>
                <w:sz w:val="24"/>
                <w:highlight w:val="none"/>
              </w:rPr>
              <w:t>龙市镇工业污水</w:t>
            </w:r>
            <w:r>
              <w:rPr>
                <w:rFonts w:hint="eastAsia"/>
                <w:bCs/>
                <w:color w:val="auto"/>
                <w:sz w:val="24"/>
                <w:highlight w:val="none"/>
              </w:rPr>
              <w:t>处理</w:t>
            </w:r>
            <w:r>
              <w:rPr>
                <w:bCs/>
                <w:color w:val="auto"/>
                <w:sz w:val="24"/>
                <w:highlight w:val="none"/>
              </w:rPr>
              <w:t>厂</w:t>
            </w:r>
            <w:r>
              <w:rPr>
                <w:rFonts w:hint="eastAsia"/>
                <w:bCs/>
                <w:color w:val="auto"/>
                <w:sz w:val="24"/>
                <w:highlight w:val="none"/>
                <w:lang w:val="en-US" w:eastAsia="zh-CN"/>
              </w:rPr>
              <w:t>主要污水构筑物</w:t>
            </w:r>
            <w:r>
              <w:rPr>
                <w:rFonts w:hint="eastAsia"/>
                <w:bCs/>
                <w:color w:val="auto"/>
                <w:sz w:val="24"/>
                <w:highlight w:val="none"/>
              </w:rPr>
              <w:t>距离</w:t>
            </w:r>
            <w:r>
              <w:rPr>
                <w:rFonts w:hint="eastAsia"/>
                <w:bCs/>
                <w:color w:val="auto"/>
                <w:sz w:val="24"/>
                <w:highlight w:val="none"/>
                <w:lang w:eastAsia="zh-CN"/>
              </w:rPr>
              <w:t>统计</w:t>
            </w:r>
            <w:r>
              <w:rPr>
                <w:rFonts w:hint="eastAsia"/>
                <w:bCs/>
                <w:color w:val="auto"/>
                <w:sz w:val="24"/>
                <w:highlight w:val="none"/>
                <w:lang w:val="en-US" w:eastAsia="zh-CN"/>
              </w:rPr>
              <w:t>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2189"/>
              <w:gridCol w:w="2251"/>
              <w:gridCol w:w="2482"/>
            </w:tblGrid>
            <w:tr w14:paraId="4AA0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648BF21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序号</w:t>
                  </w:r>
                </w:p>
              </w:tc>
              <w:tc>
                <w:tcPr>
                  <w:tcW w:w="1345" w:type="pct"/>
                  <w:vAlign w:val="center"/>
                </w:tcPr>
                <w:p w14:paraId="26AF638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名称</w:t>
                  </w:r>
                </w:p>
              </w:tc>
              <w:tc>
                <w:tcPr>
                  <w:tcW w:w="1383" w:type="pct"/>
                  <w:vAlign w:val="center"/>
                </w:tcPr>
                <w:p w14:paraId="0DC1D57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距本项目厂界（m）</w:t>
                  </w:r>
                </w:p>
              </w:tc>
              <w:tc>
                <w:tcPr>
                  <w:tcW w:w="1525" w:type="pct"/>
                  <w:vAlign w:val="center"/>
                </w:tcPr>
                <w:p w14:paraId="1478E3E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备注</w:t>
                  </w:r>
                </w:p>
              </w:tc>
            </w:tr>
            <w:tr w14:paraId="364E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0DEDAFE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1</w:t>
                  </w:r>
                </w:p>
              </w:tc>
              <w:tc>
                <w:tcPr>
                  <w:tcW w:w="1345" w:type="pct"/>
                  <w:vAlign w:val="center"/>
                </w:tcPr>
                <w:p w14:paraId="4C6E6B1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EGSB厌氧池</w:t>
                  </w:r>
                </w:p>
              </w:tc>
              <w:tc>
                <w:tcPr>
                  <w:tcW w:w="1383" w:type="pct"/>
                  <w:vAlign w:val="center"/>
                </w:tcPr>
                <w:p w14:paraId="3E408C8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70</w:t>
                  </w:r>
                </w:p>
              </w:tc>
              <w:tc>
                <w:tcPr>
                  <w:tcW w:w="1525" w:type="pct"/>
                  <w:vAlign w:val="center"/>
                </w:tcPr>
                <w:p w14:paraId="116F1F8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加盖</w:t>
                  </w:r>
                </w:p>
              </w:tc>
            </w:tr>
            <w:tr w14:paraId="4226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4C78545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2</w:t>
                  </w:r>
                </w:p>
              </w:tc>
              <w:tc>
                <w:tcPr>
                  <w:tcW w:w="1345" w:type="pct"/>
                  <w:vAlign w:val="center"/>
                </w:tcPr>
                <w:p w14:paraId="48CB809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一级缺氧池</w:t>
                  </w:r>
                </w:p>
              </w:tc>
              <w:tc>
                <w:tcPr>
                  <w:tcW w:w="1383" w:type="pct"/>
                  <w:vAlign w:val="center"/>
                </w:tcPr>
                <w:p w14:paraId="12317D5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110</w:t>
                  </w:r>
                </w:p>
              </w:tc>
              <w:tc>
                <w:tcPr>
                  <w:tcW w:w="1525" w:type="pct"/>
                  <w:vAlign w:val="center"/>
                </w:tcPr>
                <w:p w14:paraId="047020D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加盖</w:t>
                  </w:r>
                </w:p>
              </w:tc>
            </w:tr>
            <w:tr w14:paraId="5BB4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551F627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3</w:t>
                  </w:r>
                </w:p>
              </w:tc>
              <w:tc>
                <w:tcPr>
                  <w:tcW w:w="1345" w:type="pct"/>
                  <w:vAlign w:val="center"/>
                </w:tcPr>
                <w:p w14:paraId="228BDB4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一级接触氧化池</w:t>
                  </w:r>
                </w:p>
              </w:tc>
              <w:tc>
                <w:tcPr>
                  <w:tcW w:w="1383" w:type="pct"/>
                  <w:vAlign w:val="center"/>
                </w:tcPr>
                <w:p w14:paraId="72AD4B5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100</w:t>
                  </w:r>
                </w:p>
              </w:tc>
              <w:tc>
                <w:tcPr>
                  <w:tcW w:w="1525" w:type="pct"/>
                  <w:vAlign w:val="center"/>
                </w:tcPr>
                <w:p w14:paraId="2FBA95E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加盖</w:t>
                  </w:r>
                </w:p>
              </w:tc>
            </w:tr>
            <w:tr w14:paraId="5730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629F61F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4</w:t>
                  </w:r>
                </w:p>
              </w:tc>
              <w:tc>
                <w:tcPr>
                  <w:tcW w:w="1345" w:type="pct"/>
                  <w:vAlign w:val="center"/>
                </w:tcPr>
                <w:p w14:paraId="6133BD9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二级缺氧池</w:t>
                  </w:r>
                </w:p>
              </w:tc>
              <w:tc>
                <w:tcPr>
                  <w:tcW w:w="1383" w:type="pct"/>
                  <w:vAlign w:val="center"/>
                </w:tcPr>
                <w:p w14:paraId="23BAD0A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100</w:t>
                  </w:r>
                </w:p>
              </w:tc>
              <w:tc>
                <w:tcPr>
                  <w:tcW w:w="1525" w:type="pct"/>
                  <w:vAlign w:val="center"/>
                </w:tcPr>
                <w:p w14:paraId="40EB81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加盖</w:t>
                  </w:r>
                </w:p>
              </w:tc>
            </w:tr>
            <w:tr w14:paraId="6F63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458A5A2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5</w:t>
                  </w:r>
                </w:p>
              </w:tc>
              <w:tc>
                <w:tcPr>
                  <w:tcW w:w="1345" w:type="pct"/>
                  <w:vAlign w:val="center"/>
                </w:tcPr>
                <w:p w14:paraId="4526FE1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二级接触氧化池</w:t>
                  </w:r>
                </w:p>
              </w:tc>
              <w:tc>
                <w:tcPr>
                  <w:tcW w:w="1383" w:type="pct"/>
                  <w:vAlign w:val="center"/>
                </w:tcPr>
                <w:p w14:paraId="7E23807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120</w:t>
                  </w:r>
                </w:p>
              </w:tc>
              <w:tc>
                <w:tcPr>
                  <w:tcW w:w="1525" w:type="pct"/>
                  <w:vAlign w:val="center"/>
                </w:tcPr>
                <w:p w14:paraId="3D30EA9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加盖</w:t>
                  </w:r>
                </w:p>
              </w:tc>
            </w:tr>
            <w:tr w14:paraId="2577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1F9D121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6</w:t>
                  </w:r>
                </w:p>
              </w:tc>
              <w:tc>
                <w:tcPr>
                  <w:tcW w:w="1345" w:type="pct"/>
                  <w:vAlign w:val="center"/>
                </w:tcPr>
                <w:p w14:paraId="7A42F65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臭氧消毒池</w:t>
                  </w:r>
                </w:p>
              </w:tc>
              <w:tc>
                <w:tcPr>
                  <w:tcW w:w="1383" w:type="pct"/>
                  <w:vAlign w:val="center"/>
                </w:tcPr>
                <w:p w14:paraId="09BC02F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120</w:t>
                  </w:r>
                </w:p>
              </w:tc>
              <w:tc>
                <w:tcPr>
                  <w:tcW w:w="1525" w:type="pct"/>
                  <w:vAlign w:val="center"/>
                </w:tcPr>
                <w:p w14:paraId="406290F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加盖</w:t>
                  </w:r>
                </w:p>
              </w:tc>
            </w:tr>
            <w:tr w14:paraId="7ECE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5E8A75B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7</w:t>
                  </w:r>
                </w:p>
              </w:tc>
              <w:tc>
                <w:tcPr>
                  <w:tcW w:w="1345" w:type="pct"/>
                  <w:vAlign w:val="center"/>
                </w:tcPr>
                <w:p w14:paraId="25772D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污泥消化池</w:t>
                  </w:r>
                </w:p>
              </w:tc>
              <w:tc>
                <w:tcPr>
                  <w:tcW w:w="1383" w:type="pct"/>
                  <w:vAlign w:val="center"/>
                </w:tcPr>
                <w:p w14:paraId="0B1E4A4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40</w:t>
                  </w:r>
                </w:p>
              </w:tc>
              <w:tc>
                <w:tcPr>
                  <w:tcW w:w="1525" w:type="pct"/>
                  <w:vAlign w:val="center"/>
                </w:tcPr>
                <w:p w14:paraId="27CD1A0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全密闭</w:t>
                  </w:r>
                </w:p>
              </w:tc>
            </w:tr>
            <w:tr w14:paraId="6B45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75FA8E5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8</w:t>
                  </w:r>
                </w:p>
              </w:tc>
              <w:tc>
                <w:tcPr>
                  <w:tcW w:w="1345" w:type="pct"/>
                  <w:vAlign w:val="center"/>
                </w:tcPr>
                <w:p w14:paraId="2E9FE64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1#排放筒</w:t>
                  </w:r>
                </w:p>
              </w:tc>
              <w:tc>
                <w:tcPr>
                  <w:tcW w:w="1383" w:type="pct"/>
                  <w:vAlign w:val="center"/>
                </w:tcPr>
                <w:p w14:paraId="5A740A2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80</w:t>
                  </w:r>
                </w:p>
              </w:tc>
              <w:tc>
                <w:tcPr>
                  <w:tcW w:w="1525" w:type="pct"/>
                  <w:vAlign w:val="center"/>
                </w:tcPr>
                <w:p w14:paraId="1682765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经除臭后由高空排出</w:t>
                  </w:r>
                </w:p>
              </w:tc>
            </w:tr>
          </w:tbl>
          <w:p w14:paraId="7CE45723">
            <w:pPr>
              <w:widowControl/>
              <w:spacing w:line="240" w:lineRule="auto"/>
              <w:jc w:val="center"/>
              <w:rPr>
                <w:rFonts w:hint="default"/>
                <w:bCs/>
                <w:color w:val="auto"/>
                <w:sz w:val="24"/>
                <w:highlight w:val="none"/>
                <w:lang w:val="en-US" w:eastAsia="zh-CN"/>
              </w:rPr>
            </w:pPr>
          </w:p>
          <w:p w14:paraId="15A7C3A5">
            <w:pPr>
              <w:widowControl/>
              <w:spacing w:line="440" w:lineRule="exact"/>
              <w:jc w:val="center"/>
              <w:rPr>
                <w:rFonts w:ascii="宋体" w:hAnsi="宋体" w:cs="宋体"/>
                <w:b/>
                <w:bCs/>
                <w:color w:val="auto"/>
                <w:sz w:val="24"/>
                <w:highlight w:val="none"/>
              </w:rPr>
            </w:pPr>
          </w:p>
          <w:p w14:paraId="0E53008B">
            <w:pPr>
              <w:widowControl/>
              <w:spacing w:line="440" w:lineRule="exact"/>
              <w:jc w:val="both"/>
              <w:rPr>
                <w:rFonts w:ascii="宋体" w:hAnsi="宋体" w:cs="宋体"/>
                <w:b/>
                <w:bCs/>
                <w:color w:val="auto"/>
                <w:sz w:val="24"/>
                <w:highlight w:val="none"/>
              </w:rPr>
            </w:pPr>
          </w:p>
          <w:p w14:paraId="7066492A">
            <w:pPr>
              <w:widowControl/>
              <w:spacing w:line="440" w:lineRule="exact"/>
              <w:jc w:val="center"/>
              <w:rPr>
                <w:rFonts w:ascii="宋体" w:hAnsi="宋体" w:cs="宋体"/>
                <w:b/>
                <w:bCs/>
                <w:color w:val="auto"/>
                <w:sz w:val="24"/>
                <w:highlight w:val="none"/>
              </w:rPr>
            </w:pPr>
          </w:p>
          <w:p w14:paraId="7C925D1A">
            <w:pPr>
              <w:pStyle w:val="3"/>
              <w:rPr>
                <w:rFonts w:ascii="宋体" w:hAnsi="宋体" w:cs="宋体"/>
                <w:b/>
                <w:bCs/>
                <w:color w:val="auto"/>
                <w:sz w:val="24"/>
                <w:highlight w:val="none"/>
              </w:rPr>
            </w:pPr>
          </w:p>
          <w:p w14:paraId="17C067B8">
            <w:pPr>
              <w:rPr>
                <w:rFonts w:ascii="宋体" w:hAnsi="宋体" w:cs="宋体"/>
                <w:b/>
                <w:bCs/>
                <w:color w:val="auto"/>
                <w:sz w:val="24"/>
                <w:highlight w:val="none"/>
              </w:rPr>
            </w:pPr>
          </w:p>
          <w:p w14:paraId="1D902090">
            <w:pPr>
              <w:pStyle w:val="3"/>
              <w:rPr>
                <w:rFonts w:ascii="宋体" w:hAnsi="宋体" w:cs="宋体"/>
                <w:b/>
                <w:bCs/>
                <w:color w:val="auto"/>
                <w:sz w:val="24"/>
                <w:highlight w:val="none"/>
              </w:rPr>
            </w:pPr>
          </w:p>
          <w:p w14:paraId="78F67FA8">
            <w:pPr>
              <w:rPr>
                <w:rFonts w:ascii="宋体" w:hAnsi="宋体" w:cs="宋体"/>
                <w:b/>
                <w:bCs/>
                <w:color w:val="auto"/>
                <w:sz w:val="24"/>
                <w:highlight w:val="none"/>
              </w:rPr>
            </w:pPr>
          </w:p>
          <w:p w14:paraId="0C24239E">
            <w:pPr>
              <w:pStyle w:val="3"/>
              <w:rPr>
                <w:rFonts w:ascii="宋体" w:hAnsi="宋体" w:cs="宋体"/>
                <w:b/>
                <w:bCs/>
                <w:color w:val="auto"/>
                <w:sz w:val="24"/>
                <w:highlight w:val="none"/>
              </w:rPr>
            </w:pPr>
          </w:p>
          <w:p w14:paraId="02A2D083">
            <w:pPr>
              <w:rPr>
                <w:rFonts w:ascii="宋体" w:hAnsi="宋体" w:cs="宋体"/>
                <w:b/>
                <w:bCs/>
                <w:color w:val="auto"/>
                <w:sz w:val="24"/>
                <w:highlight w:val="none"/>
              </w:rPr>
            </w:pPr>
          </w:p>
          <w:p w14:paraId="721B6B29">
            <w:pPr>
              <w:pStyle w:val="3"/>
              <w:rPr>
                <w:rFonts w:ascii="宋体" w:hAnsi="宋体" w:cs="宋体"/>
                <w:b/>
                <w:bCs/>
                <w:color w:val="auto"/>
                <w:sz w:val="24"/>
                <w:highlight w:val="none"/>
              </w:rPr>
            </w:pPr>
          </w:p>
          <w:p w14:paraId="7B31F080">
            <w:pPr>
              <w:rPr>
                <w:rFonts w:ascii="宋体" w:hAnsi="宋体" w:cs="宋体"/>
                <w:b/>
                <w:bCs/>
                <w:color w:val="auto"/>
                <w:sz w:val="24"/>
                <w:highlight w:val="none"/>
              </w:rPr>
            </w:pPr>
          </w:p>
          <w:p w14:paraId="45F80CBA">
            <w:pPr>
              <w:pStyle w:val="3"/>
              <w:rPr>
                <w:rFonts w:ascii="宋体" w:hAnsi="宋体" w:cs="宋体"/>
                <w:b/>
                <w:bCs/>
                <w:color w:val="auto"/>
                <w:sz w:val="24"/>
                <w:highlight w:val="none"/>
              </w:rPr>
            </w:pPr>
          </w:p>
          <w:p w14:paraId="751B47C6">
            <w:pPr>
              <w:rPr>
                <w:rFonts w:ascii="宋体" w:hAnsi="宋体" w:cs="宋体"/>
                <w:b/>
                <w:bCs/>
                <w:color w:val="auto"/>
                <w:sz w:val="24"/>
                <w:highlight w:val="none"/>
              </w:rPr>
            </w:pPr>
          </w:p>
          <w:p w14:paraId="79E75926">
            <w:pPr>
              <w:pStyle w:val="3"/>
              <w:rPr>
                <w:rFonts w:ascii="宋体" w:hAnsi="宋体" w:cs="宋体"/>
                <w:b/>
                <w:bCs/>
                <w:color w:val="auto"/>
                <w:sz w:val="24"/>
                <w:highlight w:val="none"/>
              </w:rPr>
            </w:pPr>
          </w:p>
          <w:p w14:paraId="7D8C37A7">
            <w:pPr>
              <w:rPr>
                <w:rFonts w:ascii="宋体" w:hAnsi="宋体" w:cs="宋体"/>
                <w:b/>
                <w:bCs/>
                <w:color w:val="auto"/>
                <w:sz w:val="24"/>
                <w:highlight w:val="none"/>
              </w:rPr>
            </w:pPr>
          </w:p>
          <w:p w14:paraId="29867B84">
            <w:pPr>
              <w:pStyle w:val="3"/>
              <w:rPr>
                <w:rFonts w:ascii="宋体" w:hAnsi="宋体" w:cs="宋体"/>
                <w:b/>
                <w:bCs/>
                <w:color w:val="auto"/>
                <w:sz w:val="24"/>
                <w:highlight w:val="none"/>
              </w:rPr>
            </w:pPr>
          </w:p>
          <w:p w14:paraId="3F250406">
            <w:pPr>
              <w:rPr>
                <w:rFonts w:ascii="宋体" w:hAnsi="宋体" w:cs="宋体"/>
                <w:b/>
                <w:bCs/>
                <w:color w:val="auto"/>
                <w:sz w:val="24"/>
                <w:highlight w:val="none"/>
              </w:rPr>
            </w:pPr>
          </w:p>
          <w:p w14:paraId="576AB377">
            <w:pPr>
              <w:pStyle w:val="3"/>
              <w:rPr>
                <w:rFonts w:ascii="宋体" w:hAnsi="宋体" w:cs="宋体"/>
                <w:b/>
                <w:bCs/>
                <w:color w:val="auto"/>
                <w:sz w:val="24"/>
                <w:highlight w:val="none"/>
              </w:rPr>
            </w:pPr>
          </w:p>
          <w:p w14:paraId="73A33987">
            <w:pPr>
              <w:rPr>
                <w:rFonts w:ascii="宋体" w:hAnsi="宋体" w:cs="宋体"/>
                <w:b/>
                <w:bCs/>
                <w:color w:val="auto"/>
                <w:sz w:val="24"/>
                <w:highlight w:val="none"/>
              </w:rPr>
            </w:pPr>
          </w:p>
          <w:p w14:paraId="17556271">
            <w:pPr>
              <w:pStyle w:val="3"/>
              <w:rPr>
                <w:rFonts w:ascii="宋体" w:hAnsi="宋体" w:cs="宋体"/>
                <w:b/>
                <w:bCs/>
                <w:color w:val="auto"/>
                <w:sz w:val="24"/>
                <w:highlight w:val="none"/>
              </w:rPr>
            </w:pPr>
          </w:p>
          <w:p w14:paraId="2BA47090">
            <w:pPr>
              <w:rPr>
                <w:rFonts w:ascii="宋体" w:hAnsi="宋体" w:cs="宋体"/>
                <w:b/>
                <w:bCs/>
                <w:color w:val="auto"/>
                <w:sz w:val="24"/>
                <w:highlight w:val="none"/>
              </w:rPr>
            </w:pPr>
          </w:p>
          <w:p w14:paraId="65E04096">
            <w:pPr>
              <w:pStyle w:val="3"/>
              <w:rPr>
                <w:rFonts w:ascii="宋体" w:hAnsi="宋体" w:cs="宋体"/>
                <w:b/>
                <w:bCs/>
                <w:color w:val="auto"/>
                <w:sz w:val="24"/>
                <w:highlight w:val="none"/>
              </w:rPr>
            </w:pPr>
          </w:p>
          <w:p w14:paraId="3F233229">
            <w:pPr>
              <w:rPr>
                <w:color w:val="auto"/>
                <w:highlight w:val="none"/>
              </w:rPr>
            </w:pPr>
          </w:p>
        </w:tc>
      </w:tr>
    </w:tbl>
    <w:p w14:paraId="33781FF4">
      <w:pPr>
        <w:spacing w:line="360" w:lineRule="auto"/>
        <w:outlineLvl w:val="0"/>
        <w:rPr>
          <w:rFonts w:eastAsia="黑体"/>
          <w:color w:val="auto"/>
          <w:sz w:val="30"/>
          <w:highlight w:val="none"/>
        </w:rPr>
        <w:sectPr>
          <w:pgSz w:w="11906" w:h="16838"/>
          <w:pgMar w:top="1701" w:right="1531" w:bottom="1701" w:left="1531" w:header="851" w:footer="1077" w:gutter="0"/>
          <w:pgNumType w:start="1"/>
          <w:cols w:space="720" w:num="1"/>
          <w:docGrid w:linePitch="312" w:charSpace="0"/>
        </w:sectPr>
      </w:pPr>
    </w:p>
    <w:p w14:paraId="60CAACBD">
      <w:pPr>
        <w:pStyle w:val="1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18"/>
        <w:tblW w:w="0" w:type="auto"/>
        <w:jc w:val="center"/>
        <w:tblBorders>
          <w:top w:val="none" w:color="auto" w:sz="0" w:space="0"/>
          <w:left w:val="single" w:color="auto" w:sz="8" w:space="0"/>
          <w:bottom w:val="single" w:color="auto" w:sz="8" w:space="0"/>
          <w:right w:val="single" w:color="auto" w:sz="8" w:space="0"/>
          <w:insideH w:val="none" w:color="auto" w:sz="0" w:space="0"/>
          <w:insideV w:val="single" w:color="auto" w:sz="4" w:space="0"/>
        </w:tblBorders>
        <w:tblLayout w:type="fixed"/>
        <w:tblCellMar>
          <w:top w:w="0" w:type="dxa"/>
          <w:left w:w="108" w:type="dxa"/>
          <w:bottom w:w="0" w:type="dxa"/>
          <w:right w:w="108" w:type="dxa"/>
        </w:tblCellMar>
      </w:tblPr>
      <w:tblGrid>
        <w:gridCol w:w="379"/>
        <w:gridCol w:w="8649"/>
      </w:tblGrid>
      <w:tr w14:paraId="22131E76">
        <w:tblPrEx>
          <w:tblBorders>
            <w:top w:val="none" w:color="auto" w:sz="0" w:space="0"/>
            <w:left w:val="single" w:color="auto" w:sz="8" w:space="0"/>
            <w:bottom w:val="single" w:color="auto" w:sz="8" w:space="0"/>
            <w:right w:val="single" w:color="auto" w:sz="8" w:space="0"/>
            <w:insideH w:val="none" w:color="auto" w:sz="0" w:space="0"/>
            <w:insideV w:val="single" w:color="auto" w:sz="4" w:space="0"/>
          </w:tblBorders>
          <w:tblCellMar>
            <w:top w:w="0" w:type="dxa"/>
            <w:left w:w="108" w:type="dxa"/>
            <w:bottom w:w="0" w:type="dxa"/>
            <w:right w:w="108" w:type="dxa"/>
          </w:tblCellMar>
        </w:tblPrEx>
        <w:trPr>
          <w:trHeight w:val="90" w:hRule="atLeast"/>
          <w:jc w:val="center"/>
        </w:trPr>
        <w:tc>
          <w:tcPr>
            <w:tcW w:w="379" w:type="dxa"/>
            <w:tcBorders>
              <w:top w:val="single" w:color="auto" w:sz="8" w:space="0"/>
              <w:bottom w:val="single" w:color="auto" w:sz="8" w:space="0"/>
            </w:tcBorders>
            <w:vAlign w:val="center"/>
          </w:tcPr>
          <w:p w14:paraId="2E0C6959">
            <w:pPr>
              <w:pStyle w:val="15"/>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建设内容</w:t>
            </w:r>
          </w:p>
        </w:tc>
        <w:tc>
          <w:tcPr>
            <w:tcW w:w="8649" w:type="dxa"/>
            <w:tcBorders>
              <w:top w:val="single" w:color="auto" w:sz="8" w:space="0"/>
              <w:bottom w:val="single" w:color="auto" w:sz="8" w:space="0"/>
            </w:tcBorders>
          </w:tcPr>
          <w:p w14:paraId="46173D07">
            <w:pPr>
              <w:adjustRightInd w:val="0"/>
              <w:snapToGrid w:val="0"/>
              <w:spacing w:line="360" w:lineRule="auto"/>
              <w:rPr>
                <w:b/>
                <w:color w:val="auto"/>
                <w:sz w:val="24"/>
                <w:highlight w:val="none"/>
              </w:rPr>
            </w:pPr>
            <w:r>
              <w:rPr>
                <w:b/>
                <w:color w:val="auto"/>
                <w:sz w:val="24"/>
                <w:highlight w:val="none"/>
              </w:rPr>
              <w:t>2.1 项目概况</w:t>
            </w:r>
          </w:p>
          <w:p w14:paraId="204FA33C">
            <w:pPr>
              <w:adjustRightInd w:val="0"/>
              <w:snapToGrid w:val="0"/>
              <w:spacing w:line="360" w:lineRule="auto"/>
              <w:rPr>
                <w:b/>
                <w:color w:val="auto"/>
                <w:sz w:val="24"/>
                <w:highlight w:val="none"/>
              </w:rPr>
            </w:pPr>
            <w:r>
              <w:rPr>
                <w:b/>
                <w:color w:val="auto"/>
                <w:sz w:val="24"/>
                <w:highlight w:val="none"/>
              </w:rPr>
              <w:t>2.1.1项目由来</w:t>
            </w:r>
          </w:p>
          <w:p w14:paraId="75D7C629">
            <w:pPr>
              <w:widowControl/>
              <w:spacing w:line="360" w:lineRule="auto"/>
              <w:ind w:firstLine="480" w:firstLineChars="200"/>
              <w:jc w:val="left"/>
              <w:rPr>
                <w:color w:val="auto"/>
                <w:kern w:val="0"/>
                <w:sz w:val="24"/>
                <w:highlight w:val="none"/>
                <w:lang w:bidi="ar"/>
              </w:rPr>
            </w:pPr>
            <w:r>
              <w:rPr>
                <w:bCs/>
                <w:color w:val="auto"/>
                <w:sz w:val="24"/>
                <w:highlight w:val="none"/>
              </w:rPr>
              <w:t>重庆市村里姑娘农业发展有限公司拟租赁</w:t>
            </w:r>
            <w:r>
              <w:rPr>
                <w:color w:val="auto"/>
                <w:sz w:val="24"/>
                <w:highlight w:val="none"/>
              </w:rPr>
              <w:t>重庆市厨鼎食品有限公司（以下简称“</w:t>
            </w:r>
            <w:r>
              <w:rPr>
                <w:rFonts w:hint="eastAsia"/>
                <w:color w:val="auto"/>
                <w:sz w:val="24"/>
                <w:highlight w:val="none"/>
              </w:rPr>
              <w:t>厨鼎食品公司</w:t>
            </w:r>
            <w:r>
              <w:rPr>
                <w:color w:val="auto"/>
                <w:sz w:val="24"/>
                <w:highlight w:val="none"/>
              </w:rPr>
              <w:t>”）厂区1#闲置厂房</w:t>
            </w:r>
            <w:r>
              <w:rPr>
                <w:bCs/>
                <w:color w:val="auto"/>
                <w:sz w:val="24"/>
                <w:highlight w:val="none"/>
              </w:rPr>
              <w:t>1F和2F建设“年产90吨葛根粉”项目，租赁面积为1100 m</w:t>
            </w:r>
            <w:r>
              <w:rPr>
                <w:bCs/>
                <w:color w:val="auto"/>
                <w:sz w:val="24"/>
                <w:highlight w:val="none"/>
                <w:vertAlign w:val="superscript"/>
              </w:rPr>
              <w:t>2</w:t>
            </w:r>
            <w:r>
              <w:rPr>
                <w:bCs/>
                <w:color w:val="auto"/>
                <w:sz w:val="24"/>
                <w:highlight w:val="none"/>
              </w:rPr>
              <w:t>。</w:t>
            </w:r>
            <w:r>
              <w:rPr>
                <w:color w:val="auto"/>
                <w:kern w:val="0"/>
                <w:sz w:val="24"/>
                <w:highlight w:val="none"/>
                <w:lang w:bidi="ar"/>
              </w:rPr>
              <w:t>拟建项目已取得重庆市合川区发展和改革委员会核发的《重庆市企业投资项目备案证》（备案编号：</w:t>
            </w:r>
            <w:r>
              <w:rPr>
                <w:color w:val="auto"/>
                <w:sz w:val="24"/>
                <w:highlight w:val="none"/>
              </w:rPr>
              <w:t>24065001170 401734779</w:t>
            </w:r>
            <w:r>
              <w:rPr>
                <w:color w:val="auto"/>
                <w:kern w:val="0"/>
                <w:sz w:val="24"/>
                <w:highlight w:val="none"/>
                <w:lang w:bidi="ar"/>
              </w:rPr>
              <w:t>）。</w:t>
            </w:r>
          </w:p>
          <w:p w14:paraId="5E4F6D1C">
            <w:pPr>
              <w:widowControl/>
              <w:spacing w:line="360" w:lineRule="auto"/>
              <w:ind w:firstLine="480" w:firstLineChars="200"/>
              <w:jc w:val="left"/>
              <w:rPr>
                <w:color w:val="auto"/>
                <w:kern w:val="0"/>
                <w:sz w:val="24"/>
                <w:highlight w:val="none"/>
                <w:lang w:bidi="ar"/>
              </w:rPr>
            </w:pPr>
            <w:r>
              <w:rPr>
                <w:color w:val="auto"/>
                <w:kern w:val="0"/>
                <w:sz w:val="24"/>
                <w:highlight w:val="none"/>
                <w:lang w:bidi="ar"/>
              </w:rPr>
              <w:t>根据《建设项目环境影响评价分类管理名录（2021年版）》（生态环境部令 第16号），项目属于“十、农副食品加工业 139 其他农副食品加工 不含发酵工艺的淀粉、淀粉糖制造”，需编制环境影响报告表。</w:t>
            </w:r>
          </w:p>
          <w:p w14:paraId="339BC896">
            <w:pPr>
              <w:adjustRightInd w:val="0"/>
              <w:snapToGrid w:val="0"/>
              <w:spacing w:line="360" w:lineRule="auto"/>
              <w:rPr>
                <w:b/>
                <w:color w:val="auto"/>
                <w:sz w:val="24"/>
                <w:highlight w:val="none"/>
              </w:rPr>
            </w:pPr>
            <w:r>
              <w:rPr>
                <w:b/>
                <w:color w:val="auto"/>
                <w:sz w:val="24"/>
                <w:highlight w:val="none"/>
              </w:rPr>
              <w:t>2.1.3基本情况</w:t>
            </w:r>
          </w:p>
          <w:p w14:paraId="321B910A">
            <w:pPr>
              <w:adjustRightInd w:val="0"/>
              <w:snapToGrid w:val="0"/>
              <w:spacing w:line="360" w:lineRule="auto"/>
              <w:ind w:firstLine="480" w:firstLineChars="200"/>
              <w:rPr>
                <w:color w:val="auto"/>
                <w:sz w:val="24"/>
                <w:highlight w:val="none"/>
              </w:rPr>
            </w:pPr>
            <w:r>
              <w:rPr>
                <w:bCs/>
                <w:color w:val="auto"/>
                <w:sz w:val="24"/>
                <w:highlight w:val="none"/>
              </w:rPr>
              <w:t>项目名称：年产90吨葛根粉</w:t>
            </w:r>
          </w:p>
          <w:p w14:paraId="5CE7BE90">
            <w:pPr>
              <w:adjustRightInd w:val="0"/>
              <w:snapToGrid w:val="0"/>
              <w:spacing w:line="360" w:lineRule="auto"/>
              <w:ind w:firstLine="480" w:firstLineChars="200"/>
              <w:rPr>
                <w:bCs/>
                <w:color w:val="auto"/>
                <w:sz w:val="24"/>
                <w:highlight w:val="none"/>
              </w:rPr>
            </w:pPr>
            <w:r>
              <w:rPr>
                <w:bCs/>
                <w:color w:val="auto"/>
                <w:sz w:val="24"/>
                <w:highlight w:val="none"/>
              </w:rPr>
              <w:t>建设单位：重庆市村里姑娘农业发展有限公司</w:t>
            </w:r>
          </w:p>
          <w:p w14:paraId="2D5778C3">
            <w:pPr>
              <w:adjustRightInd w:val="0"/>
              <w:snapToGrid w:val="0"/>
              <w:spacing w:line="360" w:lineRule="auto"/>
              <w:ind w:firstLine="480" w:firstLineChars="200"/>
              <w:rPr>
                <w:bCs/>
                <w:color w:val="auto"/>
                <w:sz w:val="24"/>
                <w:highlight w:val="none"/>
              </w:rPr>
            </w:pPr>
            <w:r>
              <w:rPr>
                <w:bCs/>
                <w:color w:val="auto"/>
                <w:sz w:val="24"/>
                <w:highlight w:val="none"/>
              </w:rPr>
              <w:t>建设性质：新建</w:t>
            </w:r>
          </w:p>
          <w:p w14:paraId="2AC878CC">
            <w:pPr>
              <w:spacing w:line="360" w:lineRule="auto"/>
              <w:ind w:firstLine="480" w:firstLineChars="200"/>
              <w:rPr>
                <w:bCs/>
                <w:color w:val="auto"/>
                <w:sz w:val="24"/>
                <w:highlight w:val="none"/>
              </w:rPr>
            </w:pPr>
            <w:r>
              <w:rPr>
                <w:bCs/>
                <w:color w:val="auto"/>
                <w:sz w:val="24"/>
                <w:highlight w:val="none"/>
              </w:rPr>
              <w:t>建设地点：重庆市合川区龙市镇龙马大道7号，租赁</w:t>
            </w:r>
            <w:r>
              <w:rPr>
                <w:rFonts w:hint="eastAsia"/>
                <w:bCs/>
                <w:color w:val="auto"/>
                <w:sz w:val="24"/>
                <w:highlight w:val="none"/>
              </w:rPr>
              <w:t>厨鼎食品公司</w:t>
            </w:r>
            <w:r>
              <w:rPr>
                <w:bCs/>
                <w:color w:val="auto"/>
                <w:sz w:val="24"/>
                <w:highlight w:val="none"/>
              </w:rPr>
              <w:t>的1#闲置厂房</w:t>
            </w:r>
          </w:p>
          <w:p w14:paraId="77A4D9FE">
            <w:pPr>
              <w:adjustRightInd w:val="0"/>
              <w:snapToGrid w:val="0"/>
              <w:spacing w:line="360" w:lineRule="auto"/>
              <w:ind w:firstLine="480" w:firstLineChars="200"/>
              <w:rPr>
                <w:bCs/>
                <w:color w:val="auto"/>
                <w:sz w:val="24"/>
                <w:highlight w:val="none"/>
              </w:rPr>
            </w:pPr>
            <w:r>
              <w:rPr>
                <w:bCs/>
                <w:color w:val="auto"/>
                <w:sz w:val="24"/>
                <w:highlight w:val="none"/>
              </w:rPr>
              <w:t>建设规模：建设年产90吨葛根粉生产线。</w:t>
            </w:r>
          </w:p>
          <w:p w14:paraId="46E91FFA">
            <w:pPr>
              <w:adjustRightInd w:val="0"/>
              <w:snapToGrid w:val="0"/>
              <w:spacing w:line="360" w:lineRule="auto"/>
              <w:ind w:firstLine="480" w:firstLineChars="200"/>
              <w:rPr>
                <w:bCs/>
                <w:color w:val="auto"/>
                <w:sz w:val="24"/>
                <w:highlight w:val="none"/>
              </w:rPr>
            </w:pPr>
            <w:r>
              <w:rPr>
                <w:bCs/>
                <w:color w:val="auto"/>
                <w:sz w:val="24"/>
                <w:highlight w:val="none"/>
              </w:rPr>
              <w:t>总投资：20万元</w:t>
            </w:r>
          </w:p>
          <w:p w14:paraId="407B0893">
            <w:pPr>
              <w:adjustRightInd w:val="0"/>
              <w:snapToGrid w:val="0"/>
              <w:spacing w:line="360" w:lineRule="auto"/>
              <w:ind w:firstLine="480" w:firstLineChars="200"/>
              <w:rPr>
                <w:bCs/>
                <w:color w:val="auto"/>
                <w:sz w:val="24"/>
                <w:highlight w:val="none"/>
              </w:rPr>
            </w:pPr>
            <w:r>
              <w:rPr>
                <w:bCs/>
                <w:color w:val="auto"/>
                <w:sz w:val="24"/>
                <w:highlight w:val="none"/>
              </w:rPr>
              <w:t>建设工期：2个月</w:t>
            </w:r>
          </w:p>
          <w:p w14:paraId="7297657A">
            <w:pPr>
              <w:adjustRightInd w:val="0"/>
              <w:snapToGrid w:val="0"/>
              <w:spacing w:line="360" w:lineRule="auto"/>
              <w:ind w:firstLine="480" w:firstLineChars="200"/>
              <w:rPr>
                <w:bCs/>
                <w:color w:val="auto"/>
                <w:sz w:val="24"/>
                <w:highlight w:val="none"/>
              </w:rPr>
            </w:pPr>
            <w:r>
              <w:rPr>
                <w:bCs/>
                <w:color w:val="auto"/>
                <w:sz w:val="24"/>
                <w:highlight w:val="none"/>
              </w:rPr>
              <w:t>劳动定员及工作制度：</w:t>
            </w:r>
            <w:r>
              <w:rPr>
                <w:color w:val="auto"/>
                <w:sz w:val="24"/>
                <w:highlight w:val="none"/>
              </w:rPr>
              <w:t>本项目劳动定员10人，年工作日约120天（10月～次年3月），每天一班8h</w:t>
            </w:r>
            <w:r>
              <w:rPr>
                <w:bCs/>
                <w:color w:val="auto"/>
                <w:sz w:val="24"/>
                <w:highlight w:val="none"/>
              </w:rPr>
              <w:t>。</w:t>
            </w:r>
          </w:p>
          <w:p w14:paraId="4D74C477">
            <w:pPr>
              <w:adjustRightInd w:val="0"/>
              <w:snapToGrid w:val="0"/>
              <w:spacing w:line="360" w:lineRule="auto"/>
              <w:rPr>
                <w:b/>
                <w:color w:val="auto"/>
                <w:sz w:val="24"/>
                <w:highlight w:val="none"/>
              </w:rPr>
            </w:pPr>
            <w:r>
              <w:rPr>
                <w:b/>
                <w:color w:val="auto"/>
                <w:sz w:val="24"/>
                <w:highlight w:val="none"/>
              </w:rPr>
              <w:t>2.2产品方案</w:t>
            </w:r>
          </w:p>
          <w:p w14:paraId="7944F745">
            <w:pPr>
              <w:adjustRightInd w:val="0"/>
              <w:snapToGrid w:val="0"/>
              <w:spacing w:line="460" w:lineRule="exact"/>
              <w:ind w:firstLine="482" w:firstLineChars="200"/>
              <w:rPr>
                <w:b/>
                <w:color w:val="auto"/>
                <w:sz w:val="24"/>
                <w:highlight w:val="none"/>
              </w:rPr>
            </w:pPr>
            <w:r>
              <w:rPr>
                <w:b/>
                <w:color w:val="auto"/>
                <w:sz w:val="24"/>
                <w:highlight w:val="none"/>
              </w:rPr>
              <w:t>（1）本项目产品方案</w:t>
            </w:r>
          </w:p>
          <w:p w14:paraId="5E99739E">
            <w:pPr>
              <w:adjustRightInd w:val="0"/>
              <w:snapToGrid w:val="0"/>
              <w:spacing w:line="460" w:lineRule="exact"/>
              <w:ind w:firstLine="480" w:firstLineChars="200"/>
              <w:rPr>
                <w:bCs/>
                <w:color w:val="auto"/>
                <w:sz w:val="24"/>
                <w:highlight w:val="none"/>
              </w:rPr>
            </w:pPr>
            <w:r>
              <w:rPr>
                <w:bCs/>
                <w:color w:val="auto"/>
                <w:sz w:val="24"/>
                <w:highlight w:val="none"/>
              </w:rPr>
              <w:t>本项目产品为食用葛根粉90t，产品外观为块状，</w:t>
            </w:r>
            <w:r>
              <w:rPr>
                <w:color w:val="auto"/>
                <w:sz w:val="24"/>
                <w:highlight w:val="none"/>
              </w:rPr>
              <w:t>产品方案及包装规格等</w:t>
            </w:r>
            <w:r>
              <w:rPr>
                <w:bCs/>
                <w:color w:val="auto"/>
                <w:sz w:val="24"/>
                <w:highlight w:val="none"/>
              </w:rPr>
              <w:t>见表2.2-1。</w:t>
            </w:r>
          </w:p>
          <w:p w14:paraId="0CAD580A">
            <w:pPr>
              <w:adjustRightInd w:val="0"/>
              <w:snapToGrid w:val="0"/>
              <w:spacing w:line="460" w:lineRule="exact"/>
              <w:jc w:val="center"/>
              <w:rPr>
                <w:b/>
                <w:color w:val="auto"/>
                <w:sz w:val="24"/>
                <w:highlight w:val="none"/>
              </w:rPr>
            </w:pPr>
            <w:r>
              <w:rPr>
                <w:b/>
                <w:color w:val="auto"/>
                <w:sz w:val="24"/>
                <w:highlight w:val="none"/>
              </w:rPr>
              <w:t>表2.2-1 本项目葛根粉产品方案</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343"/>
              <w:gridCol w:w="1258"/>
              <w:gridCol w:w="2077"/>
              <w:gridCol w:w="1440"/>
              <w:gridCol w:w="1330"/>
            </w:tblGrid>
            <w:tr w14:paraId="60E0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6" w:type="pct"/>
                  <w:vAlign w:val="center"/>
                </w:tcPr>
                <w:p w14:paraId="7C90AAE7">
                  <w:pPr>
                    <w:adjustRightInd w:val="0"/>
                    <w:snapToGrid w:val="0"/>
                    <w:spacing w:line="300" w:lineRule="exact"/>
                    <w:jc w:val="center"/>
                    <w:rPr>
                      <w:bCs/>
                      <w:color w:val="auto"/>
                      <w:szCs w:val="21"/>
                      <w:highlight w:val="none"/>
                    </w:rPr>
                  </w:pPr>
                  <w:r>
                    <w:rPr>
                      <w:bCs/>
                      <w:color w:val="auto"/>
                      <w:szCs w:val="21"/>
                      <w:highlight w:val="none"/>
                    </w:rPr>
                    <w:t>产品</w:t>
                  </w:r>
                </w:p>
              </w:tc>
              <w:tc>
                <w:tcPr>
                  <w:tcW w:w="797" w:type="pct"/>
                  <w:vAlign w:val="center"/>
                </w:tcPr>
                <w:p w14:paraId="015DB630">
                  <w:pPr>
                    <w:adjustRightInd w:val="0"/>
                    <w:snapToGrid w:val="0"/>
                    <w:spacing w:line="300" w:lineRule="exact"/>
                    <w:jc w:val="center"/>
                    <w:rPr>
                      <w:bCs/>
                      <w:color w:val="auto"/>
                      <w:szCs w:val="21"/>
                      <w:highlight w:val="none"/>
                    </w:rPr>
                  </w:pPr>
                  <w:r>
                    <w:rPr>
                      <w:bCs/>
                      <w:color w:val="auto"/>
                      <w:szCs w:val="21"/>
                      <w:highlight w:val="none"/>
                    </w:rPr>
                    <w:t>年产量</w:t>
                  </w:r>
                </w:p>
              </w:tc>
              <w:tc>
                <w:tcPr>
                  <w:tcW w:w="747" w:type="pct"/>
                  <w:vAlign w:val="center"/>
                </w:tcPr>
                <w:p w14:paraId="7D999D02">
                  <w:pPr>
                    <w:adjustRightInd w:val="0"/>
                    <w:snapToGrid w:val="0"/>
                    <w:spacing w:line="300" w:lineRule="exact"/>
                    <w:jc w:val="center"/>
                    <w:rPr>
                      <w:bCs/>
                      <w:color w:val="auto"/>
                      <w:szCs w:val="21"/>
                      <w:highlight w:val="none"/>
                    </w:rPr>
                  </w:pPr>
                  <w:r>
                    <w:rPr>
                      <w:bCs/>
                      <w:color w:val="auto"/>
                      <w:szCs w:val="21"/>
                      <w:highlight w:val="none"/>
                    </w:rPr>
                    <w:t>包装方式</w:t>
                  </w:r>
                </w:p>
              </w:tc>
              <w:tc>
                <w:tcPr>
                  <w:tcW w:w="1233" w:type="pct"/>
                  <w:vAlign w:val="center"/>
                </w:tcPr>
                <w:p w14:paraId="78FFE5EB">
                  <w:pPr>
                    <w:adjustRightInd w:val="0"/>
                    <w:snapToGrid w:val="0"/>
                    <w:spacing w:line="300" w:lineRule="exact"/>
                    <w:jc w:val="center"/>
                    <w:rPr>
                      <w:bCs/>
                      <w:color w:val="auto"/>
                      <w:szCs w:val="21"/>
                      <w:highlight w:val="none"/>
                    </w:rPr>
                  </w:pPr>
                  <w:r>
                    <w:rPr>
                      <w:bCs/>
                      <w:color w:val="auto"/>
                      <w:szCs w:val="21"/>
                      <w:highlight w:val="none"/>
                    </w:rPr>
                    <w:t>规格</w:t>
                  </w:r>
                </w:p>
              </w:tc>
              <w:tc>
                <w:tcPr>
                  <w:tcW w:w="855" w:type="pct"/>
                  <w:vAlign w:val="center"/>
                </w:tcPr>
                <w:p w14:paraId="3A009F9D">
                  <w:pPr>
                    <w:adjustRightInd w:val="0"/>
                    <w:snapToGrid w:val="0"/>
                    <w:spacing w:line="300" w:lineRule="exact"/>
                    <w:jc w:val="center"/>
                    <w:rPr>
                      <w:bCs/>
                      <w:color w:val="auto"/>
                      <w:szCs w:val="21"/>
                      <w:highlight w:val="none"/>
                    </w:rPr>
                  </w:pPr>
                  <w:r>
                    <w:rPr>
                      <w:bCs/>
                      <w:color w:val="auto"/>
                      <w:szCs w:val="21"/>
                      <w:highlight w:val="none"/>
                    </w:rPr>
                    <w:t>产品含水率</w:t>
                  </w:r>
                </w:p>
              </w:tc>
              <w:tc>
                <w:tcPr>
                  <w:tcW w:w="789" w:type="pct"/>
                  <w:vAlign w:val="center"/>
                </w:tcPr>
                <w:p w14:paraId="4B2DA807">
                  <w:pPr>
                    <w:adjustRightInd w:val="0"/>
                    <w:snapToGrid w:val="0"/>
                    <w:spacing w:line="300" w:lineRule="exact"/>
                    <w:jc w:val="center"/>
                    <w:rPr>
                      <w:bCs/>
                      <w:color w:val="auto"/>
                      <w:szCs w:val="21"/>
                      <w:highlight w:val="none"/>
                    </w:rPr>
                  </w:pPr>
                  <w:r>
                    <w:rPr>
                      <w:bCs/>
                      <w:color w:val="auto"/>
                      <w:szCs w:val="21"/>
                      <w:highlight w:val="none"/>
                    </w:rPr>
                    <w:t>备注</w:t>
                  </w:r>
                </w:p>
              </w:tc>
            </w:tr>
            <w:tr w14:paraId="7E53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76" w:type="pct"/>
                  <w:vMerge w:val="restart"/>
                  <w:vAlign w:val="center"/>
                </w:tcPr>
                <w:p w14:paraId="05711EBC">
                  <w:pPr>
                    <w:adjustRightInd w:val="0"/>
                    <w:snapToGrid w:val="0"/>
                    <w:spacing w:line="300" w:lineRule="exact"/>
                    <w:jc w:val="center"/>
                    <w:rPr>
                      <w:bCs/>
                      <w:color w:val="auto"/>
                      <w:szCs w:val="21"/>
                      <w:highlight w:val="none"/>
                    </w:rPr>
                  </w:pPr>
                  <w:r>
                    <w:rPr>
                      <w:bCs/>
                      <w:color w:val="auto"/>
                      <w:szCs w:val="21"/>
                      <w:highlight w:val="none"/>
                    </w:rPr>
                    <w:t>葛根粉</w:t>
                  </w:r>
                </w:p>
              </w:tc>
              <w:tc>
                <w:tcPr>
                  <w:tcW w:w="797" w:type="pct"/>
                  <w:vMerge w:val="restart"/>
                  <w:vAlign w:val="center"/>
                </w:tcPr>
                <w:p w14:paraId="152F4B6D">
                  <w:pPr>
                    <w:adjustRightInd w:val="0"/>
                    <w:snapToGrid w:val="0"/>
                    <w:spacing w:line="300" w:lineRule="exact"/>
                    <w:jc w:val="center"/>
                    <w:rPr>
                      <w:bCs/>
                      <w:color w:val="auto"/>
                      <w:szCs w:val="21"/>
                      <w:highlight w:val="none"/>
                    </w:rPr>
                  </w:pPr>
                  <w:r>
                    <w:rPr>
                      <w:bCs/>
                      <w:color w:val="auto"/>
                      <w:szCs w:val="21"/>
                      <w:highlight w:val="none"/>
                    </w:rPr>
                    <w:t>90t</w:t>
                  </w:r>
                </w:p>
              </w:tc>
              <w:tc>
                <w:tcPr>
                  <w:tcW w:w="747" w:type="pct"/>
                  <w:vMerge w:val="restart"/>
                  <w:vAlign w:val="center"/>
                </w:tcPr>
                <w:p w14:paraId="5C4C7A1B">
                  <w:pPr>
                    <w:adjustRightInd w:val="0"/>
                    <w:snapToGrid w:val="0"/>
                    <w:spacing w:line="300" w:lineRule="exact"/>
                    <w:jc w:val="center"/>
                    <w:rPr>
                      <w:bCs/>
                      <w:color w:val="auto"/>
                      <w:szCs w:val="21"/>
                      <w:highlight w:val="none"/>
                    </w:rPr>
                  </w:pPr>
                  <w:r>
                    <w:rPr>
                      <w:bCs/>
                      <w:color w:val="auto"/>
                      <w:szCs w:val="21"/>
                      <w:highlight w:val="none"/>
                    </w:rPr>
                    <w:t>袋装</w:t>
                  </w:r>
                </w:p>
              </w:tc>
              <w:tc>
                <w:tcPr>
                  <w:tcW w:w="1233" w:type="pct"/>
                  <w:vAlign w:val="center"/>
                </w:tcPr>
                <w:p w14:paraId="45005831">
                  <w:pPr>
                    <w:adjustRightInd w:val="0"/>
                    <w:snapToGrid w:val="0"/>
                    <w:spacing w:line="300" w:lineRule="exact"/>
                    <w:jc w:val="center"/>
                    <w:rPr>
                      <w:bCs/>
                      <w:color w:val="auto"/>
                      <w:szCs w:val="21"/>
                      <w:highlight w:val="none"/>
                    </w:rPr>
                  </w:pPr>
                  <w:r>
                    <w:rPr>
                      <w:bCs/>
                      <w:color w:val="auto"/>
                      <w:szCs w:val="21"/>
                      <w:highlight w:val="none"/>
                    </w:rPr>
                    <w:t>20g/袋</w:t>
                  </w:r>
                </w:p>
              </w:tc>
              <w:tc>
                <w:tcPr>
                  <w:tcW w:w="855" w:type="pct"/>
                  <w:vMerge w:val="restart"/>
                  <w:vAlign w:val="center"/>
                </w:tcPr>
                <w:p w14:paraId="00252579">
                  <w:pPr>
                    <w:adjustRightInd w:val="0"/>
                    <w:snapToGrid w:val="0"/>
                    <w:spacing w:line="300" w:lineRule="exact"/>
                    <w:jc w:val="center"/>
                    <w:rPr>
                      <w:bCs/>
                      <w:color w:val="auto"/>
                      <w:szCs w:val="21"/>
                      <w:highlight w:val="none"/>
                    </w:rPr>
                  </w:pPr>
                  <w:r>
                    <w:rPr>
                      <w:bCs/>
                      <w:color w:val="auto"/>
                      <w:szCs w:val="21"/>
                      <w:highlight w:val="none"/>
                    </w:rPr>
                    <w:t>13%</w:t>
                  </w:r>
                </w:p>
              </w:tc>
              <w:tc>
                <w:tcPr>
                  <w:tcW w:w="789" w:type="pct"/>
                  <w:vMerge w:val="restart"/>
                  <w:vAlign w:val="center"/>
                </w:tcPr>
                <w:p w14:paraId="66604F71">
                  <w:pPr>
                    <w:adjustRightInd w:val="0"/>
                    <w:snapToGrid w:val="0"/>
                    <w:spacing w:line="300" w:lineRule="exact"/>
                    <w:jc w:val="center"/>
                    <w:rPr>
                      <w:bCs/>
                      <w:color w:val="auto"/>
                      <w:szCs w:val="21"/>
                      <w:highlight w:val="none"/>
                    </w:rPr>
                  </w:pPr>
                  <w:r>
                    <w:rPr>
                      <w:bCs/>
                      <w:color w:val="auto"/>
                      <w:szCs w:val="21"/>
                      <w:highlight w:val="none"/>
                    </w:rPr>
                    <w:t>块状</w:t>
                  </w:r>
                </w:p>
              </w:tc>
            </w:tr>
            <w:tr w14:paraId="2328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76" w:type="pct"/>
                  <w:vMerge w:val="continue"/>
                  <w:vAlign w:val="center"/>
                </w:tcPr>
                <w:p w14:paraId="1EA16761">
                  <w:pPr>
                    <w:adjustRightInd w:val="0"/>
                    <w:snapToGrid w:val="0"/>
                    <w:spacing w:line="300" w:lineRule="exact"/>
                    <w:jc w:val="center"/>
                    <w:rPr>
                      <w:color w:val="auto"/>
                      <w:highlight w:val="none"/>
                    </w:rPr>
                  </w:pPr>
                </w:p>
              </w:tc>
              <w:tc>
                <w:tcPr>
                  <w:tcW w:w="797" w:type="pct"/>
                  <w:vMerge w:val="continue"/>
                  <w:vAlign w:val="center"/>
                </w:tcPr>
                <w:p w14:paraId="1497E22A">
                  <w:pPr>
                    <w:adjustRightInd w:val="0"/>
                    <w:snapToGrid w:val="0"/>
                    <w:spacing w:line="300" w:lineRule="exact"/>
                    <w:jc w:val="center"/>
                    <w:rPr>
                      <w:color w:val="auto"/>
                      <w:highlight w:val="none"/>
                    </w:rPr>
                  </w:pPr>
                </w:p>
              </w:tc>
              <w:tc>
                <w:tcPr>
                  <w:tcW w:w="747" w:type="pct"/>
                  <w:vMerge w:val="continue"/>
                  <w:vAlign w:val="center"/>
                </w:tcPr>
                <w:p w14:paraId="28553105">
                  <w:pPr>
                    <w:adjustRightInd w:val="0"/>
                    <w:snapToGrid w:val="0"/>
                    <w:spacing w:line="300" w:lineRule="exact"/>
                    <w:jc w:val="center"/>
                    <w:rPr>
                      <w:color w:val="auto"/>
                      <w:highlight w:val="none"/>
                    </w:rPr>
                  </w:pPr>
                </w:p>
              </w:tc>
              <w:tc>
                <w:tcPr>
                  <w:tcW w:w="1233" w:type="pct"/>
                  <w:vAlign w:val="center"/>
                </w:tcPr>
                <w:p w14:paraId="0EFEA39B">
                  <w:pPr>
                    <w:adjustRightInd w:val="0"/>
                    <w:snapToGrid w:val="0"/>
                    <w:spacing w:line="300" w:lineRule="exact"/>
                    <w:jc w:val="center"/>
                    <w:rPr>
                      <w:bCs/>
                      <w:color w:val="auto"/>
                      <w:szCs w:val="21"/>
                      <w:highlight w:val="none"/>
                    </w:rPr>
                  </w:pPr>
                  <w:r>
                    <w:rPr>
                      <w:bCs/>
                      <w:color w:val="auto"/>
                      <w:szCs w:val="21"/>
                      <w:highlight w:val="none"/>
                    </w:rPr>
                    <w:t>300g/袋</w:t>
                  </w:r>
                </w:p>
              </w:tc>
              <w:tc>
                <w:tcPr>
                  <w:tcW w:w="855" w:type="pct"/>
                  <w:vMerge w:val="continue"/>
                  <w:vAlign w:val="center"/>
                </w:tcPr>
                <w:p w14:paraId="77CFBB08">
                  <w:pPr>
                    <w:adjustRightInd w:val="0"/>
                    <w:snapToGrid w:val="0"/>
                    <w:spacing w:line="300" w:lineRule="exact"/>
                    <w:jc w:val="center"/>
                    <w:rPr>
                      <w:bCs/>
                      <w:color w:val="auto"/>
                      <w:szCs w:val="21"/>
                      <w:highlight w:val="none"/>
                    </w:rPr>
                  </w:pPr>
                </w:p>
              </w:tc>
              <w:tc>
                <w:tcPr>
                  <w:tcW w:w="789" w:type="pct"/>
                  <w:vMerge w:val="continue"/>
                  <w:vAlign w:val="center"/>
                </w:tcPr>
                <w:p w14:paraId="70ABD381">
                  <w:pPr>
                    <w:adjustRightInd w:val="0"/>
                    <w:snapToGrid w:val="0"/>
                    <w:spacing w:line="300" w:lineRule="exact"/>
                    <w:jc w:val="center"/>
                    <w:rPr>
                      <w:bCs/>
                      <w:color w:val="auto"/>
                      <w:szCs w:val="21"/>
                      <w:highlight w:val="none"/>
                    </w:rPr>
                  </w:pPr>
                </w:p>
              </w:tc>
            </w:tr>
            <w:tr w14:paraId="66ED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76" w:type="pct"/>
                  <w:vMerge w:val="continue"/>
                  <w:vAlign w:val="center"/>
                </w:tcPr>
                <w:p w14:paraId="54190E1C">
                  <w:pPr>
                    <w:adjustRightInd w:val="0"/>
                    <w:snapToGrid w:val="0"/>
                    <w:spacing w:line="300" w:lineRule="exact"/>
                    <w:jc w:val="center"/>
                    <w:rPr>
                      <w:bCs/>
                      <w:color w:val="auto"/>
                      <w:szCs w:val="21"/>
                      <w:highlight w:val="none"/>
                    </w:rPr>
                  </w:pPr>
                </w:p>
              </w:tc>
              <w:tc>
                <w:tcPr>
                  <w:tcW w:w="797" w:type="pct"/>
                  <w:vMerge w:val="continue"/>
                  <w:vAlign w:val="center"/>
                </w:tcPr>
                <w:p w14:paraId="0F59FDD0">
                  <w:pPr>
                    <w:adjustRightInd w:val="0"/>
                    <w:snapToGrid w:val="0"/>
                    <w:spacing w:line="300" w:lineRule="exact"/>
                    <w:jc w:val="center"/>
                    <w:rPr>
                      <w:bCs/>
                      <w:color w:val="auto"/>
                      <w:szCs w:val="21"/>
                      <w:highlight w:val="none"/>
                    </w:rPr>
                  </w:pPr>
                </w:p>
              </w:tc>
              <w:tc>
                <w:tcPr>
                  <w:tcW w:w="747" w:type="pct"/>
                  <w:vMerge w:val="continue"/>
                  <w:vAlign w:val="center"/>
                </w:tcPr>
                <w:p w14:paraId="06D324BD">
                  <w:pPr>
                    <w:adjustRightInd w:val="0"/>
                    <w:snapToGrid w:val="0"/>
                    <w:spacing w:line="300" w:lineRule="exact"/>
                    <w:jc w:val="center"/>
                    <w:rPr>
                      <w:bCs/>
                      <w:color w:val="auto"/>
                      <w:szCs w:val="21"/>
                      <w:highlight w:val="none"/>
                    </w:rPr>
                  </w:pPr>
                </w:p>
              </w:tc>
              <w:tc>
                <w:tcPr>
                  <w:tcW w:w="1233" w:type="pct"/>
                  <w:vAlign w:val="center"/>
                </w:tcPr>
                <w:p w14:paraId="1BD2B0E9">
                  <w:pPr>
                    <w:adjustRightInd w:val="0"/>
                    <w:snapToGrid w:val="0"/>
                    <w:spacing w:line="300" w:lineRule="exact"/>
                    <w:jc w:val="center"/>
                    <w:rPr>
                      <w:bCs/>
                      <w:color w:val="auto"/>
                      <w:szCs w:val="21"/>
                      <w:highlight w:val="none"/>
                    </w:rPr>
                  </w:pPr>
                  <w:r>
                    <w:rPr>
                      <w:bCs/>
                      <w:color w:val="auto"/>
                      <w:szCs w:val="21"/>
                      <w:highlight w:val="none"/>
                    </w:rPr>
                    <w:t>400g/袋</w:t>
                  </w:r>
                </w:p>
              </w:tc>
              <w:tc>
                <w:tcPr>
                  <w:tcW w:w="855" w:type="pct"/>
                  <w:vMerge w:val="continue"/>
                  <w:vAlign w:val="center"/>
                </w:tcPr>
                <w:p w14:paraId="7DE8170F">
                  <w:pPr>
                    <w:adjustRightInd w:val="0"/>
                    <w:snapToGrid w:val="0"/>
                    <w:spacing w:line="300" w:lineRule="exact"/>
                    <w:jc w:val="center"/>
                    <w:rPr>
                      <w:bCs/>
                      <w:color w:val="auto"/>
                      <w:szCs w:val="21"/>
                      <w:highlight w:val="none"/>
                    </w:rPr>
                  </w:pPr>
                </w:p>
              </w:tc>
              <w:tc>
                <w:tcPr>
                  <w:tcW w:w="789" w:type="pct"/>
                  <w:vMerge w:val="continue"/>
                  <w:vAlign w:val="center"/>
                </w:tcPr>
                <w:p w14:paraId="641ED019">
                  <w:pPr>
                    <w:adjustRightInd w:val="0"/>
                    <w:snapToGrid w:val="0"/>
                    <w:spacing w:line="300" w:lineRule="exact"/>
                    <w:jc w:val="center"/>
                    <w:rPr>
                      <w:bCs/>
                      <w:color w:val="auto"/>
                      <w:szCs w:val="21"/>
                      <w:highlight w:val="none"/>
                    </w:rPr>
                  </w:pPr>
                </w:p>
              </w:tc>
            </w:tr>
            <w:tr w14:paraId="4420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76" w:type="pct"/>
                  <w:vMerge w:val="continue"/>
                  <w:vAlign w:val="center"/>
                </w:tcPr>
                <w:p w14:paraId="3AC96FF7">
                  <w:pPr>
                    <w:adjustRightInd w:val="0"/>
                    <w:snapToGrid w:val="0"/>
                    <w:spacing w:line="300" w:lineRule="exact"/>
                    <w:jc w:val="center"/>
                    <w:rPr>
                      <w:bCs/>
                      <w:color w:val="auto"/>
                      <w:szCs w:val="21"/>
                      <w:highlight w:val="none"/>
                    </w:rPr>
                  </w:pPr>
                </w:p>
              </w:tc>
              <w:tc>
                <w:tcPr>
                  <w:tcW w:w="797" w:type="pct"/>
                  <w:vMerge w:val="continue"/>
                  <w:vAlign w:val="center"/>
                </w:tcPr>
                <w:p w14:paraId="2221FBD6">
                  <w:pPr>
                    <w:adjustRightInd w:val="0"/>
                    <w:snapToGrid w:val="0"/>
                    <w:spacing w:line="300" w:lineRule="exact"/>
                    <w:jc w:val="center"/>
                    <w:rPr>
                      <w:bCs/>
                      <w:color w:val="auto"/>
                      <w:szCs w:val="21"/>
                      <w:highlight w:val="none"/>
                    </w:rPr>
                  </w:pPr>
                </w:p>
              </w:tc>
              <w:tc>
                <w:tcPr>
                  <w:tcW w:w="747" w:type="pct"/>
                  <w:vMerge w:val="continue"/>
                  <w:vAlign w:val="center"/>
                </w:tcPr>
                <w:p w14:paraId="16332050">
                  <w:pPr>
                    <w:adjustRightInd w:val="0"/>
                    <w:snapToGrid w:val="0"/>
                    <w:spacing w:line="300" w:lineRule="exact"/>
                    <w:jc w:val="center"/>
                    <w:rPr>
                      <w:bCs/>
                      <w:color w:val="auto"/>
                      <w:szCs w:val="21"/>
                      <w:highlight w:val="none"/>
                    </w:rPr>
                  </w:pPr>
                </w:p>
              </w:tc>
              <w:tc>
                <w:tcPr>
                  <w:tcW w:w="1233" w:type="pct"/>
                  <w:vAlign w:val="center"/>
                </w:tcPr>
                <w:p w14:paraId="7A372A62">
                  <w:pPr>
                    <w:adjustRightInd w:val="0"/>
                    <w:snapToGrid w:val="0"/>
                    <w:spacing w:line="300" w:lineRule="exact"/>
                    <w:jc w:val="center"/>
                    <w:rPr>
                      <w:bCs/>
                      <w:color w:val="auto"/>
                      <w:szCs w:val="21"/>
                      <w:highlight w:val="none"/>
                    </w:rPr>
                  </w:pPr>
                  <w:r>
                    <w:rPr>
                      <w:bCs/>
                      <w:color w:val="auto"/>
                      <w:szCs w:val="21"/>
                      <w:highlight w:val="none"/>
                    </w:rPr>
                    <w:t>450g/袋</w:t>
                  </w:r>
                </w:p>
              </w:tc>
              <w:tc>
                <w:tcPr>
                  <w:tcW w:w="855" w:type="pct"/>
                  <w:vMerge w:val="continue"/>
                  <w:vAlign w:val="center"/>
                </w:tcPr>
                <w:p w14:paraId="07371B47">
                  <w:pPr>
                    <w:adjustRightInd w:val="0"/>
                    <w:snapToGrid w:val="0"/>
                    <w:spacing w:line="300" w:lineRule="exact"/>
                    <w:jc w:val="center"/>
                    <w:rPr>
                      <w:bCs/>
                      <w:color w:val="auto"/>
                      <w:szCs w:val="21"/>
                      <w:highlight w:val="none"/>
                    </w:rPr>
                  </w:pPr>
                </w:p>
              </w:tc>
              <w:tc>
                <w:tcPr>
                  <w:tcW w:w="789" w:type="pct"/>
                  <w:vMerge w:val="continue"/>
                  <w:vAlign w:val="center"/>
                </w:tcPr>
                <w:p w14:paraId="09F3B43F">
                  <w:pPr>
                    <w:adjustRightInd w:val="0"/>
                    <w:snapToGrid w:val="0"/>
                    <w:spacing w:line="300" w:lineRule="exact"/>
                    <w:jc w:val="center"/>
                    <w:rPr>
                      <w:bCs/>
                      <w:color w:val="auto"/>
                      <w:szCs w:val="21"/>
                      <w:highlight w:val="none"/>
                    </w:rPr>
                  </w:pPr>
                </w:p>
              </w:tc>
            </w:tr>
            <w:tr w14:paraId="339A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76" w:type="pct"/>
                  <w:vMerge w:val="continue"/>
                  <w:vAlign w:val="center"/>
                </w:tcPr>
                <w:p w14:paraId="5C483DEE">
                  <w:pPr>
                    <w:adjustRightInd w:val="0"/>
                    <w:snapToGrid w:val="0"/>
                    <w:spacing w:line="300" w:lineRule="exact"/>
                    <w:jc w:val="center"/>
                    <w:rPr>
                      <w:bCs/>
                      <w:color w:val="auto"/>
                      <w:szCs w:val="21"/>
                      <w:highlight w:val="none"/>
                    </w:rPr>
                  </w:pPr>
                </w:p>
              </w:tc>
              <w:tc>
                <w:tcPr>
                  <w:tcW w:w="797" w:type="pct"/>
                  <w:vMerge w:val="continue"/>
                  <w:vAlign w:val="center"/>
                </w:tcPr>
                <w:p w14:paraId="5BBD4DFE">
                  <w:pPr>
                    <w:adjustRightInd w:val="0"/>
                    <w:snapToGrid w:val="0"/>
                    <w:spacing w:line="300" w:lineRule="exact"/>
                    <w:jc w:val="center"/>
                    <w:rPr>
                      <w:bCs/>
                      <w:color w:val="auto"/>
                      <w:szCs w:val="21"/>
                      <w:highlight w:val="none"/>
                    </w:rPr>
                  </w:pPr>
                </w:p>
              </w:tc>
              <w:tc>
                <w:tcPr>
                  <w:tcW w:w="747" w:type="pct"/>
                  <w:vMerge w:val="continue"/>
                  <w:vAlign w:val="center"/>
                </w:tcPr>
                <w:p w14:paraId="71169E49">
                  <w:pPr>
                    <w:adjustRightInd w:val="0"/>
                    <w:snapToGrid w:val="0"/>
                    <w:spacing w:line="300" w:lineRule="exact"/>
                    <w:jc w:val="center"/>
                    <w:rPr>
                      <w:bCs/>
                      <w:color w:val="auto"/>
                      <w:szCs w:val="21"/>
                      <w:highlight w:val="none"/>
                    </w:rPr>
                  </w:pPr>
                </w:p>
              </w:tc>
              <w:tc>
                <w:tcPr>
                  <w:tcW w:w="1233" w:type="pct"/>
                  <w:vAlign w:val="center"/>
                </w:tcPr>
                <w:p w14:paraId="24E49B08">
                  <w:pPr>
                    <w:adjustRightInd w:val="0"/>
                    <w:snapToGrid w:val="0"/>
                    <w:spacing w:line="300" w:lineRule="exact"/>
                    <w:jc w:val="center"/>
                    <w:rPr>
                      <w:bCs/>
                      <w:color w:val="auto"/>
                      <w:szCs w:val="21"/>
                      <w:highlight w:val="none"/>
                    </w:rPr>
                  </w:pPr>
                  <w:r>
                    <w:rPr>
                      <w:bCs/>
                      <w:color w:val="auto"/>
                      <w:szCs w:val="21"/>
                      <w:highlight w:val="none"/>
                    </w:rPr>
                    <w:t>500g/袋</w:t>
                  </w:r>
                </w:p>
              </w:tc>
              <w:tc>
                <w:tcPr>
                  <w:tcW w:w="855" w:type="pct"/>
                  <w:vMerge w:val="continue"/>
                  <w:vAlign w:val="center"/>
                </w:tcPr>
                <w:p w14:paraId="36086E09">
                  <w:pPr>
                    <w:adjustRightInd w:val="0"/>
                    <w:snapToGrid w:val="0"/>
                    <w:spacing w:line="300" w:lineRule="exact"/>
                    <w:jc w:val="center"/>
                    <w:rPr>
                      <w:bCs/>
                      <w:color w:val="auto"/>
                      <w:szCs w:val="21"/>
                      <w:highlight w:val="none"/>
                    </w:rPr>
                  </w:pPr>
                </w:p>
              </w:tc>
              <w:tc>
                <w:tcPr>
                  <w:tcW w:w="789" w:type="pct"/>
                  <w:vMerge w:val="continue"/>
                  <w:vAlign w:val="center"/>
                </w:tcPr>
                <w:p w14:paraId="24DAB312">
                  <w:pPr>
                    <w:adjustRightInd w:val="0"/>
                    <w:snapToGrid w:val="0"/>
                    <w:spacing w:line="300" w:lineRule="exact"/>
                    <w:jc w:val="center"/>
                    <w:rPr>
                      <w:bCs/>
                      <w:color w:val="auto"/>
                      <w:szCs w:val="21"/>
                      <w:highlight w:val="none"/>
                    </w:rPr>
                  </w:pPr>
                </w:p>
              </w:tc>
            </w:tr>
            <w:tr w14:paraId="19BC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576" w:type="pct"/>
                  <w:vMerge w:val="continue"/>
                  <w:vAlign w:val="center"/>
                </w:tcPr>
                <w:p w14:paraId="31F945E0">
                  <w:pPr>
                    <w:adjustRightInd w:val="0"/>
                    <w:snapToGrid w:val="0"/>
                    <w:spacing w:line="300" w:lineRule="exact"/>
                    <w:jc w:val="center"/>
                    <w:rPr>
                      <w:color w:val="auto"/>
                      <w:highlight w:val="none"/>
                    </w:rPr>
                  </w:pPr>
                </w:p>
              </w:tc>
              <w:tc>
                <w:tcPr>
                  <w:tcW w:w="797" w:type="pct"/>
                  <w:vMerge w:val="continue"/>
                  <w:vAlign w:val="center"/>
                </w:tcPr>
                <w:p w14:paraId="43605F4E">
                  <w:pPr>
                    <w:adjustRightInd w:val="0"/>
                    <w:snapToGrid w:val="0"/>
                    <w:spacing w:line="300" w:lineRule="exact"/>
                    <w:jc w:val="center"/>
                    <w:rPr>
                      <w:color w:val="auto"/>
                      <w:highlight w:val="none"/>
                    </w:rPr>
                  </w:pPr>
                </w:p>
              </w:tc>
              <w:tc>
                <w:tcPr>
                  <w:tcW w:w="747" w:type="pct"/>
                  <w:vMerge w:val="restart"/>
                  <w:vAlign w:val="center"/>
                </w:tcPr>
                <w:p w14:paraId="3B18E4BB">
                  <w:pPr>
                    <w:adjustRightInd w:val="0"/>
                    <w:snapToGrid w:val="0"/>
                    <w:spacing w:line="300" w:lineRule="exact"/>
                    <w:jc w:val="center"/>
                    <w:rPr>
                      <w:bCs/>
                      <w:color w:val="auto"/>
                      <w:szCs w:val="21"/>
                      <w:highlight w:val="none"/>
                    </w:rPr>
                  </w:pPr>
                  <w:r>
                    <w:rPr>
                      <w:bCs/>
                      <w:color w:val="auto"/>
                      <w:szCs w:val="21"/>
                      <w:highlight w:val="none"/>
                    </w:rPr>
                    <w:t>罐装</w:t>
                  </w:r>
                </w:p>
              </w:tc>
              <w:tc>
                <w:tcPr>
                  <w:tcW w:w="1233" w:type="pct"/>
                  <w:vAlign w:val="center"/>
                </w:tcPr>
                <w:p w14:paraId="19733A71">
                  <w:pPr>
                    <w:adjustRightInd w:val="0"/>
                    <w:snapToGrid w:val="0"/>
                    <w:spacing w:line="300" w:lineRule="exact"/>
                    <w:jc w:val="center"/>
                    <w:rPr>
                      <w:bCs/>
                      <w:color w:val="auto"/>
                      <w:szCs w:val="21"/>
                      <w:highlight w:val="none"/>
                    </w:rPr>
                  </w:pPr>
                  <w:r>
                    <w:rPr>
                      <w:bCs/>
                      <w:color w:val="auto"/>
                      <w:szCs w:val="21"/>
                      <w:highlight w:val="none"/>
                    </w:rPr>
                    <w:t>300g/罐</w:t>
                  </w:r>
                </w:p>
              </w:tc>
              <w:tc>
                <w:tcPr>
                  <w:tcW w:w="855" w:type="pct"/>
                  <w:vMerge w:val="continue"/>
                  <w:vAlign w:val="center"/>
                </w:tcPr>
                <w:p w14:paraId="005B5EDB">
                  <w:pPr>
                    <w:adjustRightInd w:val="0"/>
                    <w:snapToGrid w:val="0"/>
                    <w:spacing w:line="300" w:lineRule="exact"/>
                    <w:jc w:val="center"/>
                    <w:rPr>
                      <w:bCs/>
                      <w:color w:val="auto"/>
                      <w:szCs w:val="21"/>
                      <w:highlight w:val="none"/>
                    </w:rPr>
                  </w:pPr>
                </w:p>
              </w:tc>
              <w:tc>
                <w:tcPr>
                  <w:tcW w:w="789" w:type="pct"/>
                  <w:vMerge w:val="continue"/>
                  <w:vAlign w:val="center"/>
                </w:tcPr>
                <w:p w14:paraId="5BB62686">
                  <w:pPr>
                    <w:adjustRightInd w:val="0"/>
                    <w:snapToGrid w:val="0"/>
                    <w:spacing w:line="300" w:lineRule="exact"/>
                    <w:jc w:val="center"/>
                    <w:rPr>
                      <w:bCs/>
                      <w:color w:val="auto"/>
                      <w:szCs w:val="21"/>
                      <w:highlight w:val="none"/>
                    </w:rPr>
                  </w:pPr>
                </w:p>
              </w:tc>
            </w:tr>
            <w:tr w14:paraId="0B73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576" w:type="pct"/>
                  <w:vMerge w:val="continue"/>
                  <w:vAlign w:val="center"/>
                </w:tcPr>
                <w:p w14:paraId="2A7D6607">
                  <w:pPr>
                    <w:adjustRightInd w:val="0"/>
                    <w:snapToGrid w:val="0"/>
                    <w:spacing w:line="300" w:lineRule="exact"/>
                    <w:jc w:val="center"/>
                    <w:rPr>
                      <w:color w:val="auto"/>
                      <w:highlight w:val="none"/>
                    </w:rPr>
                  </w:pPr>
                </w:p>
              </w:tc>
              <w:tc>
                <w:tcPr>
                  <w:tcW w:w="797" w:type="pct"/>
                  <w:vMerge w:val="continue"/>
                  <w:vAlign w:val="center"/>
                </w:tcPr>
                <w:p w14:paraId="1B2DCBA7">
                  <w:pPr>
                    <w:adjustRightInd w:val="0"/>
                    <w:snapToGrid w:val="0"/>
                    <w:spacing w:line="300" w:lineRule="exact"/>
                    <w:jc w:val="center"/>
                    <w:rPr>
                      <w:color w:val="auto"/>
                      <w:highlight w:val="none"/>
                    </w:rPr>
                  </w:pPr>
                </w:p>
              </w:tc>
              <w:tc>
                <w:tcPr>
                  <w:tcW w:w="747" w:type="pct"/>
                  <w:vMerge w:val="continue"/>
                  <w:vAlign w:val="center"/>
                </w:tcPr>
                <w:p w14:paraId="2F39CEC3">
                  <w:pPr>
                    <w:adjustRightInd w:val="0"/>
                    <w:snapToGrid w:val="0"/>
                    <w:spacing w:line="300" w:lineRule="exact"/>
                    <w:jc w:val="center"/>
                    <w:rPr>
                      <w:color w:val="auto"/>
                      <w:highlight w:val="none"/>
                    </w:rPr>
                  </w:pPr>
                </w:p>
              </w:tc>
              <w:tc>
                <w:tcPr>
                  <w:tcW w:w="1233" w:type="pct"/>
                  <w:vAlign w:val="center"/>
                </w:tcPr>
                <w:p w14:paraId="32D297C0">
                  <w:pPr>
                    <w:adjustRightInd w:val="0"/>
                    <w:snapToGrid w:val="0"/>
                    <w:spacing w:line="300" w:lineRule="exact"/>
                    <w:jc w:val="center"/>
                    <w:rPr>
                      <w:bCs/>
                      <w:color w:val="auto"/>
                      <w:szCs w:val="21"/>
                      <w:highlight w:val="none"/>
                    </w:rPr>
                  </w:pPr>
                  <w:r>
                    <w:rPr>
                      <w:bCs/>
                      <w:color w:val="auto"/>
                      <w:szCs w:val="21"/>
                      <w:highlight w:val="none"/>
                    </w:rPr>
                    <w:t>450g/罐</w:t>
                  </w:r>
                </w:p>
              </w:tc>
              <w:tc>
                <w:tcPr>
                  <w:tcW w:w="855" w:type="pct"/>
                  <w:vMerge w:val="continue"/>
                  <w:vAlign w:val="center"/>
                </w:tcPr>
                <w:p w14:paraId="4B34892F">
                  <w:pPr>
                    <w:adjustRightInd w:val="0"/>
                    <w:snapToGrid w:val="0"/>
                    <w:spacing w:line="300" w:lineRule="exact"/>
                    <w:jc w:val="center"/>
                    <w:rPr>
                      <w:bCs/>
                      <w:color w:val="auto"/>
                      <w:szCs w:val="21"/>
                      <w:highlight w:val="none"/>
                    </w:rPr>
                  </w:pPr>
                </w:p>
              </w:tc>
              <w:tc>
                <w:tcPr>
                  <w:tcW w:w="789" w:type="pct"/>
                  <w:vMerge w:val="continue"/>
                  <w:vAlign w:val="center"/>
                </w:tcPr>
                <w:p w14:paraId="0A1C55EB">
                  <w:pPr>
                    <w:adjustRightInd w:val="0"/>
                    <w:snapToGrid w:val="0"/>
                    <w:spacing w:line="300" w:lineRule="exact"/>
                    <w:jc w:val="center"/>
                    <w:rPr>
                      <w:bCs/>
                      <w:color w:val="auto"/>
                      <w:szCs w:val="21"/>
                      <w:highlight w:val="none"/>
                    </w:rPr>
                  </w:pPr>
                </w:p>
              </w:tc>
            </w:tr>
            <w:tr w14:paraId="079C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576" w:type="pct"/>
                  <w:vMerge w:val="continue"/>
                  <w:vAlign w:val="center"/>
                </w:tcPr>
                <w:p w14:paraId="7DA7305A">
                  <w:pPr>
                    <w:adjustRightInd w:val="0"/>
                    <w:snapToGrid w:val="0"/>
                    <w:spacing w:line="300" w:lineRule="exact"/>
                    <w:jc w:val="center"/>
                    <w:rPr>
                      <w:bCs/>
                      <w:color w:val="auto"/>
                      <w:szCs w:val="21"/>
                      <w:highlight w:val="none"/>
                    </w:rPr>
                  </w:pPr>
                </w:p>
              </w:tc>
              <w:tc>
                <w:tcPr>
                  <w:tcW w:w="797" w:type="pct"/>
                  <w:vMerge w:val="continue"/>
                  <w:vAlign w:val="center"/>
                </w:tcPr>
                <w:p w14:paraId="2AC61662">
                  <w:pPr>
                    <w:adjustRightInd w:val="0"/>
                    <w:snapToGrid w:val="0"/>
                    <w:spacing w:line="300" w:lineRule="exact"/>
                    <w:jc w:val="center"/>
                    <w:rPr>
                      <w:bCs/>
                      <w:color w:val="auto"/>
                      <w:szCs w:val="21"/>
                      <w:highlight w:val="none"/>
                    </w:rPr>
                  </w:pPr>
                </w:p>
              </w:tc>
              <w:tc>
                <w:tcPr>
                  <w:tcW w:w="747" w:type="pct"/>
                  <w:vMerge w:val="continue"/>
                  <w:vAlign w:val="center"/>
                </w:tcPr>
                <w:p w14:paraId="60A09673">
                  <w:pPr>
                    <w:adjustRightInd w:val="0"/>
                    <w:snapToGrid w:val="0"/>
                    <w:spacing w:line="300" w:lineRule="exact"/>
                    <w:jc w:val="center"/>
                    <w:rPr>
                      <w:bCs/>
                      <w:color w:val="auto"/>
                      <w:szCs w:val="21"/>
                      <w:highlight w:val="none"/>
                    </w:rPr>
                  </w:pPr>
                </w:p>
              </w:tc>
              <w:tc>
                <w:tcPr>
                  <w:tcW w:w="1233" w:type="pct"/>
                  <w:vAlign w:val="center"/>
                </w:tcPr>
                <w:p w14:paraId="071FCF89">
                  <w:pPr>
                    <w:adjustRightInd w:val="0"/>
                    <w:snapToGrid w:val="0"/>
                    <w:spacing w:line="300" w:lineRule="exact"/>
                    <w:jc w:val="center"/>
                    <w:rPr>
                      <w:bCs/>
                      <w:color w:val="auto"/>
                      <w:szCs w:val="21"/>
                      <w:highlight w:val="none"/>
                    </w:rPr>
                  </w:pPr>
                  <w:r>
                    <w:rPr>
                      <w:bCs/>
                      <w:color w:val="auto"/>
                      <w:szCs w:val="21"/>
                      <w:highlight w:val="none"/>
                    </w:rPr>
                    <w:t>500g/罐</w:t>
                  </w:r>
                </w:p>
              </w:tc>
              <w:tc>
                <w:tcPr>
                  <w:tcW w:w="855" w:type="pct"/>
                  <w:vMerge w:val="continue"/>
                  <w:vAlign w:val="center"/>
                </w:tcPr>
                <w:p w14:paraId="178EE630">
                  <w:pPr>
                    <w:adjustRightInd w:val="0"/>
                    <w:snapToGrid w:val="0"/>
                    <w:spacing w:line="300" w:lineRule="exact"/>
                    <w:jc w:val="center"/>
                    <w:rPr>
                      <w:bCs/>
                      <w:color w:val="auto"/>
                      <w:szCs w:val="21"/>
                      <w:highlight w:val="none"/>
                    </w:rPr>
                  </w:pPr>
                </w:p>
              </w:tc>
              <w:tc>
                <w:tcPr>
                  <w:tcW w:w="789" w:type="pct"/>
                  <w:vMerge w:val="continue"/>
                  <w:vAlign w:val="center"/>
                </w:tcPr>
                <w:p w14:paraId="705CDEE9">
                  <w:pPr>
                    <w:adjustRightInd w:val="0"/>
                    <w:snapToGrid w:val="0"/>
                    <w:spacing w:line="300" w:lineRule="exact"/>
                    <w:jc w:val="center"/>
                    <w:rPr>
                      <w:bCs/>
                      <w:color w:val="auto"/>
                      <w:szCs w:val="21"/>
                      <w:highlight w:val="none"/>
                    </w:rPr>
                  </w:pPr>
                </w:p>
              </w:tc>
            </w:tr>
          </w:tbl>
          <w:p w14:paraId="7D95CE21">
            <w:pPr>
              <w:adjustRightInd w:val="0"/>
              <w:snapToGrid w:val="0"/>
              <w:rPr>
                <w:b/>
                <w:color w:val="auto"/>
                <w:sz w:val="24"/>
                <w:highlight w:val="none"/>
              </w:rPr>
            </w:pPr>
          </w:p>
          <w:p w14:paraId="6AB7AC2E">
            <w:pPr>
              <w:adjustRightInd w:val="0"/>
              <w:snapToGrid w:val="0"/>
              <w:spacing w:line="460" w:lineRule="exact"/>
              <w:ind w:firstLine="482" w:firstLineChars="200"/>
              <w:rPr>
                <w:b/>
                <w:color w:val="auto"/>
                <w:sz w:val="24"/>
                <w:highlight w:val="none"/>
              </w:rPr>
            </w:pPr>
            <w:r>
              <w:rPr>
                <w:b/>
                <w:color w:val="auto"/>
                <w:sz w:val="24"/>
                <w:highlight w:val="none"/>
              </w:rPr>
              <w:t>（2）产品质量标准</w:t>
            </w:r>
          </w:p>
          <w:p w14:paraId="5D4281F3">
            <w:pPr>
              <w:adjustRightInd w:val="0"/>
              <w:snapToGrid w:val="0"/>
              <w:spacing w:line="460" w:lineRule="exact"/>
              <w:ind w:firstLine="480" w:firstLineChars="200"/>
              <w:rPr>
                <w:bCs/>
                <w:color w:val="auto"/>
                <w:sz w:val="24"/>
                <w:highlight w:val="none"/>
              </w:rPr>
            </w:pPr>
            <w:r>
              <w:rPr>
                <w:bCs/>
                <w:color w:val="auto"/>
                <w:sz w:val="24"/>
                <w:highlight w:val="none"/>
              </w:rPr>
              <w:t>根据《食用葛根粉》（GB/T 30637-2014），食用葛根粉感官要求见表2.2-2、理化指标见表2.2-3。本项目生产产品满足食用葛根粉感官要求，理化指标不低于合格品相关指标要求。</w:t>
            </w:r>
          </w:p>
          <w:p w14:paraId="2A69560E">
            <w:pPr>
              <w:adjustRightInd w:val="0"/>
              <w:snapToGrid w:val="0"/>
              <w:spacing w:line="460" w:lineRule="exact"/>
              <w:jc w:val="center"/>
              <w:rPr>
                <w:b/>
                <w:color w:val="auto"/>
                <w:sz w:val="24"/>
                <w:highlight w:val="none"/>
              </w:rPr>
            </w:pPr>
            <w:r>
              <w:rPr>
                <w:b/>
                <w:color w:val="auto"/>
                <w:sz w:val="24"/>
                <w:highlight w:val="none"/>
              </w:rPr>
              <w:t>表2.2-2 《食用葛根粉》感官要求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6217"/>
            </w:tblGrid>
            <w:tr w14:paraId="3349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tcPr>
                <w:p w14:paraId="6F68F203">
                  <w:pPr>
                    <w:adjustRightInd w:val="0"/>
                    <w:snapToGrid w:val="0"/>
                    <w:jc w:val="center"/>
                    <w:rPr>
                      <w:bCs/>
                      <w:color w:val="auto"/>
                      <w:szCs w:val="21"/>
                      <w:highlight w:val="none"/>
                    </w:rPr>
                  </w:pPr>
                  <w:r>
                    <w:rPr>
                      <w:bCs/>
                      <w:color w:val="auto"/>
                      <w:szCs w:val="21"/>
                      <w:highlight w:val="none"/>
                    </w:rPr>
                    <w:t>项目</w:t>
                  </w:r>
                </w:p>
              </w:tc>
              <w:tc>
                <w:tcPr>
                  <w:tcW w:w="6217" w:type="dxa"/>
                </w:tcPr>
                <w:p w14:paraId="691E9DD9">
                  <w:pPr>
                    <w:adjustRightInd w:val="0"/>
                    <w:snapToGrid w:val="0"/>
                    <w:jc w:val="center"/>
                    <w:rPr>
                      <w:bCs/>
                      <w:color w:val="auto"/>
                      <w:szCs w:val="21"/>
                      <w:highlight w:val="none"/>
                    </w:rPr>
                  </w:pPr>
                  <w:r>
                    <w:rPr>
                      <w:bCs/>
                      <w:color w:val="auto"/>
                      <w:szCs w:val="21"/>
                      <w:highlight w:val="none"/>
                    </w:rPr>
                    <w:t>要求</w:t>
                  </w:r>
                </w:p>
              </w:tc>
            </w:tr>
            <w:tr w14:paraId="3D28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tcPr>
                <w:p w14:paraId="2EAE3FD2">
                  <w:pPr>
                    <w:adjustRightInd w:val="0"/>
                    <w:snapToGrid w:val="0"/>
                    <w:jc w:val="center"/>
                    <w:rPr>
                      <w:bCs/>
                      <w:color w:val="auto"/>
                      <w:szCs w:val="21"/>
                      <w:highlight w:val="none"/>
                    </w:rPr>
                  </w:pPr>
                  <w:r>
                    <w:rPr>
                      <w:bCs/>
                      <w:color w:val="auto"/>
                      <w:szCs w:val="21"/>
                      <w:highlight w:val="none"/>
                    </w:rPr>
                    <w:t>色泽</w:t>
                  </w:r>
                </w:p>
              </w:tc>
              <w:tc>
                <w:tcPr>
                  <w:tcW w:w="6217" w:type="dxa"/>
                </w:tcPr>
                <w:p w14:paraId="13C121A2">
                  <w:pPr>
                    <w:adjustRightInd w:val="0"/>
                    <w:snapToGrid w:val="0"/>
                    <w:jc w:val="center"/>
                    <w:rPr>
                      <w:bCs/>
                      <w:color w:val="auto"/>
                      <w:szCs w:val="21"/>
                      <w:highlight w:val="none"/>
                    </w:rPr>
                  </w:pPr>
                  <w:r>
                    <w:rPr>
                      <w:bCs/>
                      <w:color w:val="auto"/>
                      <w:szCs w:val="21"/>
                      <w:highlight w:val="none"/>
                    </w:rPr>
                    <w:t>暗白、略带微黄</w:t>
                  </w:r>
                </w:p>
              </w:tc>
            </w:tr>
            <w:tr w14:paraId="78CA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tcPr>
                <w:p w14:paraId="78776325">
                  <w:pPr>
                    <w:adjustRightInd w:val="0"/>
                    <w:snapToGrid w:val="0"/>
                    <w:jc w:val="center"/>
                    <w:rPr>
                      <w:bCs/>
                      <w:color w:val="auto"/>
                      <w:szCs w:val="21"/>
                      <w:highlight w:val="none"/>
                    </w:rPr>
                  </w:pPr>
                  <w:r>
                    <w:rPr>
                      <w:bCs/>
                      <w:color w:val="auto"/>
                      <w:szCs w:val="21"/>
                      <w:highlight w:val="none"/>
                    </w:rPr>
                    <w:t>杂质</w:t>
                  </w:r>
                </w:p>
              </w:tc>
              <w:tc>
                <w:tcPr>
                  <w:tcW w:w="6217" w:type="dxa"/>
                </w:tcPr>
                <w:p w14:paraId="74C28568">
                  <w:pPr>
                    <w:adjustRightInd w:val="0"/>
                    <w:snapToGrid w:val="0"/>
                    <w:jc w:val="center"/>
                    <w:rPr>
                      <w:bCs/>
                      <w:color w:val="auto"/>
                      <w:szCs w:val="21"/>
                      <w:highlight w:val="none"/>
                    </w:rPr>
                  </w:pPr>
                  <w:r>
                    <w:rPr>
                      <w:bCs/>
                      <w:color w:val="auto"/>
                      <w:szCs w:val="21"/>
                      <w:highlight w:val="none"/>
                    </w:rPr>
                    <w:t>无正常视力可见杂质</w:t>
                  </w:r>
                </w:p>
              </w:tc>
            </w:tr>
            <w:tr w14:paraId="4448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tcPr>
                <w:p w14:paraId="3E760678">
                  <w:pPr>
                    <w:adjustRightInd w:val="0"/>
                    <w:snapToGrid w:val="0"/>
                    <w:jc w:val="center"/>
                    <w:rPr>
                      <w:bCs/>
                      <w:color w:val="auto"/>
                      <w:szCs w:val="21"/>
                      <w:highlight w:val="none"/>
                    </w:rPr>
                  </w:pPr>
                  <w:r>
                    <w:rPr>
                      <w:bCs/>
                      <w:color w:val="auto"/>
                      <w:szCs w:val="21"/>
                      <w:highlight w:val="none"/>
                    </w:rPr>
                    <w:t>形态</w:t>
                  </w:r>
                </w:p>
              </w:tc>
              <w:tc>
                <w:tcPr>
                  <w:tcW w:w="6217" w:type="dxa"/>
                </w:tcPr>
                <w:p w14:paraId="05E5B5F0">
                  <w:pPr>
                    <w:adjustRightInd w:val="0"/>
                    <w:snapToGrid w:val="0"/>
                    <w:jc w:val="center"/>
                    <w:rPr>
                      <w:bCs/>
                      <w:color w:val="auto"/>
                      <w:szCs w:val="21"/>
                      <w:highlight w:val="none"/>
                    </w:rPr>
                  </w:pPr>
                  <w:r>
                    <w:rPr>
                      <w:bCs/>
                      <w:color w:val="auto"/>
                      <w:szCs w:val="21"/>
                      <w:highlight w:val="none"/>
                    </w:rPr>
                    <w:t>粉状或颗粒状，热水（70℃~90℃溶后呈均匀透明胶质状）</w:t>
                  </w:r>
                </w:p>
              </w:tc>
            </w:tr>
          </w:tbl>
          <w:p w14:paraId="134840C5">
            <w:pPr>
              <w:adjustRightInd w:val="0"/>
              <w:snapToGrid w:val="0"/>
              <w:spacing w:line="460" w:lineRule="exact"/>
              <w:jc w:val="center"/>
              <w:rPr>
                <w:b/>
                <w:color w:val="auto"/>
                <w:sz w:val="24"/>
                <w:highlight w:val="none"/>
              </w:rPr>
            </w:pPr>
            <w:r>
              <w:rPr>
                <w:b/>
                <w:color w:val="auto"/>
                <w:sz w:val="24"/>
                <w:highlight w:val="none"/>
              </w:rPr>
              <w:t>表2.2-3《食用葛根粉》理化指标</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2062"/>
              <w:gridCol w:w="2063"/>
              <w:gridCol w:w="2063"/>
            </w:tblGrid>
            <w:tr w14:paraId="7C47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vMerge w:val="restart"/>
                  <w:vAlign w:val="center"/>
                </w:tcPr>
                <w:p w14:paraId="3906EFB0">
                  <w:pPr>
                    <w:adjustRightInd w:val="0"/>
                    <w:snapToGrid w:val="0"/>
                    <w:jc w:val="center"/>
                    <w:rPr>
                      <w:bCs/>
                      <w:color w:val="auto"/>
                      <w:szCs w:val="21"/>
                      <w:highlight w:val="none"/>
                    </w:rPr>
                  </w:pPr>
                  <w:r>
                    <w:rPr>
                      <w:bCs/>
                      <w:color w:val="auto"/>
                      <w:szCs w:val="21"/>
                      <w:highlight w:val="none"/>
                    </w:rPr>
                    <w:t>指标名称</w:t>
                  </w:r>
                </w:p>
              </w:tc>
              <w:tc>
                <w:tcPr>
                  <w:tcW w:w="6188" w:type="dxa"/>
                  <w:gridSpan w:val="3"/>
                </w:tcPr>
                <w:p w14:paraId="1B774B63">
                  <w:pPr>
                    <w:adjustRightInd w:val="0"/>
                    <w:snapToGrid w:val="0"/>
                    <w:jc w:val="center"/>
                    <w:rPr>
                      <w:bCs/>
                      <w:color w:val="auto"/>
                      <w:szCs w:val="21"/>
                      <w:highlight w:val="none"/>
                    </w:rPr>
                  </w:pPr>
                  <w:r>
                    <w:rPr>
                      <w:bCs/>
                      <w:color w:val="auto"/>
                      <w:szCs w:val="21"/>
                      <w:highlight w:val="none"/>
                    </w:rPr>
                    <w:t>要求</w:t>
                  </w:r>
                </w:p>
              </w:tc>
            </w:tr>
            <w:tr w14:paraId="7E5F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2" w:type="dxa"/>
                  <w:vMerge w:val="continue"/>
                </w:tcPr>
                <w:p w14:paraId="6230AF35">
                  <w:pPr>
                    <w:adjustRightInd w:val="0"/>
                    <w:snapToGrid w:val="0"/>
                    <w:jc w:val="center"/>
                    <w:rPr>
                      <w:bCs/>
                      <w:color w:val="auto"/>
                      <w:szCs w:val="21"/>
                      <w:highlight w:val="none"/>
                    </w:rPr>
                  </w:pPr>
                </w:p>
              </w:tc>
              <w:tc>
                <w:tcPr>
                  <w:tcW w:w="2062" w:type="dxa"/>
                </w:tcPr>
                <w:p w14:paraId="4BA93986">
                  <w:pPr>
                    <w:adjustRightInd w:val="0"/>
                    <w:snapToGrid w:val="0"/>
                    <w:jc w:val="center"/>
                    <w:rPr>
                      <w:bCs/>
                      <w:color w:val="auto"/>
                      <w:szCs w:val="21"/>
                      <w:highlight w:val="none"/>
                    </w:rPr>
                  </w:pPr>
                  <w:r>
                    <w:rPr>
                      <w:bCs/>
                      <w:color w:val="auto"/>
                      <w:szCs w:val="21"/>
                      <w:highlight w:val="none"/>
                    </w:rPr>
                    <w:t>优级品</w:t>
                  </w:r>
                </w:p>
              </w:tc>
              <w:tc>
                <w:tcPr>
                  <w:tcW w:w="2063" w:type="dxa"/>
                </w:tcPr>
                <w:p w14:paraId="73C2F02B">
                  <w:pPr>
                    <w:adjustRightInd w:val="0"/>
                    <w:snapToGrid w:val="0"/>
                    <w:jc w:val="center"/>
                    <w:rPr>
                      <w:bCs/>
                      <w:color w:val="auto"/>
                      <w:szCs w:val="21"/>
                      <w:highlight w:val="none"/>
                    </w:rPr>
                  </w:pPr>
                  <w:r>
                    <w:rPr>
                      <w:bCs/>
                      <w:color w:val="auto"/>
                      <w:szCs w:val="21"/>
                      <w:highlight w:val="none"/>
                    </w:rPr>
                    <w:t>一级品</w:t>
                  </w:r>
                </w:p>
              </w:tc>
              <w:tc>
                <w:tcPr>
                  <w:tcW w:w="2063" w:type="dxa"/>
                </w:tcPr>
                <w:p w14:paraId="7875D225">
                  <w:pPr>
                    <w:adjustRightInd w:val="0"/>
                    <w:snapToGrid w:val="0"/>
                    <w:jc w:val="center"/>
                    <w:rPr>
                      <w:bCs/>
                      <w:color w:val="auto"/>
                      <w:szCs w:val="21"/>
                      <w:highlight w:val="none"/>
                    </w:rPr>
                  </w:pPr>
                  <w:r>
                    <w:rPr>
                      <w:bCs/>
                      <w:color w:val="auto"/>
                      <w:szCs w:val="21"/>
                      <w:highlight w:val="none"/>
                    </w:rPr>
                    <w:t>合格品</w:t>
                  </w:r>
                </w:p>
              </w:tc>
            </w:tr>
            <w:tr w14:paraId="237E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tcPr>
                <w:p w14:paraId="677CCFA3">
                  <w:pPr>
                    <w:adjustRightInd w:val="0"/>
                    <w:snapToGrid w:val="0"/>
                    <w:jc w:val="right"/>
                    <w:rPr>
                      <w:bCs/>
                      <w:color w:val="auto"/>
                      <w:szCs w:val="21"/>
                      <w:highlight w:val="none"/>
                    </w:rPr>
                  </w:pPr>
                  <w:r>
                    <w:rPr>
                      <w:bCs/>
                      <w:color w:val="auto"/>
                      <w:szCs w:val="21"/>
                      <w:highlight w:val="none"/>
                    </w:rPr>
                    <w:t>水分/%   ≤</w:t>
                  </w:r>
                </w:p>
              </w:tc>
              <w:tc>
                <w:tcPr>
                  <w:tcW w:w="6188" w:type="dxa"/>
                  <w:gridSpan w:val="3"/>
                </w:tcPr>
                <w:p w14:paraId="6DC33158">
                  <w:pPr>
                    <w:adjustRightInd w:val="0"/>
                    <w:snapToGrid w:val="0"/>
                    <w:jc w:val="center"/>
                    <w:rPr>
                      <w:bCs/>
                      <w:color w:val="auto"/>
                      <w:szCs w:val="21"/>
                      <w:highlight w:val="none"/>
                    </w:rPr>
                  </w:pPr>
                  <w:r>
                    <w:rPr>
                      <w:bCs/>
                      <w:color w:val="auto"/>
                      <w:szCs w:val="21"/>
                      <w:highlight w:val="none"/>
                    </w:rPr>
                    <w:t>14.00</w:t>
                  </w:r>
                </w:p>
              </w:tc>
            </w:tr>
            <w:tr w14:paraId="160E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tcPr>
                <w:p w14:paraId="48C2E4A7">
                  <w:pPr>
                    <w:adjustRightInd w:val="0"/>
                    <w:snapToGrid w:val="0"/>
                    <w:jc w:val="center"/>
                    <w:rPr>
                      <w:bCs/>
                      <w:color w:val="auto"/>
                      <w:szCs w:val="21"/>
                      <w:highlight w:val="none"/>
                    </w:rPr>
                  </w:pPr>
                  <w:r>
                    <w:rPr>
                      <w:bCs/>
                      <w:color w:val="auto"/>
                      <w:szCs w:val="21"/>
                      <w:highlight w:val="none"/>
                    </w:rPr>
                    <w:t>灰分（干基）/% ≤</w:t>
                  </w:r>
                </w:p>
              </w:tc>
              <w:tc>
                <w:tcPr>
                  <w:tcW w:w="2062" w:type="dxa"/>
                </w:tcPr>
                <w:p w14:paraId="59432ED7">
                  <w:pPr>
                    <w:adjustRightInd w:val="0"/>
                    <w:snapToGrid w:val="0"/>
                    <w:jc w:val="center"/>
                    <w:rPr>
                      <w:bCs/>
                      <w:color w:val="auto"/>
                      <w:szCs w:val="21"/>
                      <w:highlight w:val="none"/>
                    </w:rPr>
                  </w:pPr>
                  <w:r>
                    <w:rPr>
                      <w:bCs/>
                      <w:color w:val="auto"/>
                      <w:szCs w:val="21"/>
                      <w:highlight w:val="none"/>
                    </w:rPr>
                    <w:t>0.25</w:t>
                  </w:r>
                </w:p>
              </w:tc>
              <w:tc>
                <w:tcPr>
                  <w:tcW w:w="2063" w:type="dxa"/>
                </w:tcPr>
                <w:p w14:paraId="24916124">
                  <w:pPr>
                    <w:adjustRightInd w:val="0"/>
                    <w:snapToGrid w:val="0"/>
                    <w:jc w:val="center"/>
                    <w:rPr>
                      <w:bCs/>
                      <w:color w:val="auto"/>
                      <w:szCs w:val="21"/>
                      <w:highlight w:val="none"/>
                    </w:rPr>
                  </w:pPr>
                  <w:r>
                    <w:rPr>
                      <w:bCs/>
                      <w:color w:val="auto"/>
                      <w:szCs w:val="21"/>
                      <w:highlight w:val="none"/>
                    </w:rPr>
                    <w:t>0.30</w:t>
                  </w:r>
                </w:p>
              </w:tc>
              <w:tc>
                <w:tcPr>
                  <w:tcW w:w="2063" w:type="dxa"/>
                </w:tcPr>
                <w:p w14:paraId="5BAAC081">
                  <w:pPr>
                    <w:adjustRightInd w:val="0"/>
                    <w:snapToGrid w:val="0"/>
                    <w:jc w:val="center"/>
                    <w:rPr>
                      <w:bCs/>
                      <w:color w:val="auto"/>
                      <w:szCs w:val="21"/>
                      <w:highlight w:val="none"/>
                    </w:rPr>
                  </w:pPr>
                  <w:r>
                    <w:rPr>
                      <w:bCs/>
                      <w:color w:val="auto"/>
                      <w:szCs w:val="21"/>
                      <w:highlight w:val="none"/>
                    </w:rPr>
                    <w:t>0.40</w:t>
                  </w:r>
                </w:p>
              </w:tc>
            </w:tr>
            <w:tr w14:paraId="5EFE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tcPr>
                <w:p w14:paraId="338E62C8">
                  <w:pPr>
                    <w:adjustRightInd w:val="0"/>
                    <w:snapToGrid w:val="0"/>
                    <w:jc w:val="center"/>
                    <w:rPr>
                      <w:bCs/>
                      <w:color w:val="auto"/>
                      <w:szCs w:val="21"/>
                      <w:highlight w:val="none"/>
                    </w:rPr>
                  </w:pPr>
                  <w:r>
                    <w:rPr>
                      <w:bCs/>
                      <w:color w:val="auto"/>
                      <w:szCs w:val="21"/>
                      <w:highlight w:val="none"/>
                    </w:rPr>
                    <w:t>粘度（6%淀粉糊化液30℃）/mPa·s ≥</w:t>
                  </w:r>
                </w:p>
              </w:tc>
              <w:tc>
                <w:tcPr>
                  <w:tcW w:w="4125" w:type="dxa"/>
                  <w:gridSpan w:val="2"/>
                  <w:vAlign w:val="center"/>
                </w:tcPr>
                <w:p w14:paraId="32386E39">
                  <w:pPr>
                    <w:adjustRightInd w:val="0"/>
                    <w:snapToGrid w:val="0"/>
                    <w:jc w:val="center"/>
                    <w:rPr>
                      <w:bCs/>
                      <w:color w:val="auto"/>
                      <w:szCs w:val="21"/>
                      <w:highlight w:val="none"/>
                    </w:rPr>
                  </w:pPr>
                  <w:r>
                    <w:rPr>
                      <w:bCs/>
                      <w:color w:val="auto"/>
                      <w:szCs w:val="21"/>
                      <w:highlight w:val="none"/>
                    </w:rPr>
                    <w:t>1800</w:t>
                  </w:r>
                </w:p>
              </w:tc>
              <w:tc>
                <w:tcPr>
                  <w:tcW w:w="2063" w:type="dxa"/>
                  <w:vAlign w:val="center"/>
                </w:tcPr>
                <w:p w14:paraId="23A7C913">
                  <w:pPr>
                    <w:adjustRightInd w:val="0"/>
                    <w:snapToGrid w:val="0"/>
                    <w:jc w:val="center"/>
                    <w:rPr>
                      <w:bCs/>
                      <w:color w:val="auto"/>
                      <w:szCs w:val="21"/>
                      <w:highlight w:val="none"/>
                    </w:rPr>
                  </w:pPr>
                  <w:r>
                    <w:rPr>
                      <w:bCs/>
                      <w:color w:val="auto"/>
                      <w:szCs w:val="21"/>
                      <w:highlight w:val="none"/>
                    </w:rPr>
                    <w:t>800</w:t>
                  </w:r>
                </w:p>
              </w:tc>
            </w:tr>
            <w:tr w14:paraId="14F8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tcPr>
                <w:p w14:paraId="7DCAC6C2">
                  <w:pPr>
                    <w:adjustRightInd w:val="0"/>
                    <w:snapToGrid w:val="0"/>
                    <w:jc w:val="center"/>
                    <w:rPr>
                      <w:bCs/>
                      <w:color w:val="auto"/>
                      <w:szCs w:val="21"/>
                      <w:highlight w:val="none"/>
                    </w:rPr>
                  </w:pPr>
                  <w:r>
                    <w:rPr>
                      <w:bCs/>
                      <w:color w:val="auto"/>
                      <w:szCs w:val="21"/>
                      <w:highlight w:val="none"/>
                    </w:rPr>
                    <w:t>葛根素/（mg/kg）≥</w:t>
                  </w:r>
                </w:p>
              </w:tc>
              <w:tc>
                <w:tcPr>
                  <w:tcW w:w="2062" w:type="dxa"/>
                </w:tcPr>
                <w:p w14:paraId="2F0EFAE7">
                  <w:pPr>
                    <w:adjustRightInd w:val="0"/>
                    <w:snapToGrid w:val="0"/>
                    <w:jc w:val="center"/>
                    <w:rPr>
                      <w:bCs/>
                      <w:color w:val="auto"/>
                      <w:szCs w:val="21"/>
                      <w:highlight w:val="none"/>
                    </w:rPr>
                  </w:pPr>
                  <w:r>
                    <w:rPr>
                      <w:bCs/>
                      <w:color w:val="auto"/>
                      <w:szCs w:val="21"/>
                      <w:highlight w:val="none"/>
                    </w:rPr>
                    <w:t>40</w:t>
                  </w:r>
                </w:p>
              </w:tc>
              <w:tc>
                <w:tcPr>
                  <w:tcW w:w="2063" w:type="dxa"/>
                </w:tcPr>
                <w:p w14:paraId="0D1C3300">
                  <w:pPr>
                    <w:adjustRightInd w:val="0"/>
                    <w:snapToGrid w:val="0"/>
                    <w:jc w:val="center"/>
                    <w:rPr>
                      <w:bCs/>
                      <w:color w:val="auto"/>
                      <w:szCs w:val="21"/>
                      <w:highlight w:val="none"/>
                    </w:rPr>
                  </w:pPr>
                  <w:r>
                    <w:rPr>
                      <w:bCs/>
                      <w:color w:val="auto"/>
                      <w:szCs w:val="21"/>
                      <w:highlight w:val="none"/>
                    </w:rPr>
                    <w:t>30</w:t>
                  </w:r>
                </w:p>
              </w:tc>
              <w:tc>
                <w:tcPr>
                  <w:tcW w:w="2063" w:type="dxa"/>
                </w:tcPr>
                <w:p w14:paraId="3E9853D2">
                  <w:pPr>
                    <w:adjustRightInd w:val="0"/>
                    <w:snapToGrid w:val="0"/>
                    <w:jc w:val="center"/>
                    <w:rPr>
                      <w:bCs/>
                      <w:color w:val="auto"/>
                      <w:szCs w:val="21"/>
                      <w:highlight w:val="none"/>
                    </w:rPr>
                  </w:pPr>
                  <w:r>
                    <w:rPr>
                      <w:bCs/>
                      <w:color w:val="auto"/>
                      <w:szCs w:val="21"/>
                      <w:highlight w:val="none"/>
                    </w:rPr>
                    <w:t>20</w:t>
                  </w:r>
                </w:p>
              </w:tc>
            </w:tr>
            <w:tr w14:paraId="2381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tcPr>
                <w:p w14:paraId="64B88E73">
                  <w:pPr>
                    <w:adjustRightInd w:val="0"/>
                    <w:snapToGrid w:val="0"/>
                    <w:jc w:val="center"/>
                    <w:rPr>
                      <w:bCs/>
                      <w:color w:val="auto"/>
                      <w:szCs w:val="21"/>
                      <w:highlight w:val="none"/>
                    </w:rPr>
                  </w:pPr>
                  <w:r>
                    <w:rPr>
                      <w:bCs/>
                      <w:color w:val="auto"/>
                      <w:szCs w:val="21"/>
                      <w:highlight w:val="none"/>
                    </w:rPr>
                    <w:t>酸度/°T    ≤</w:t>
                  </w:r>
                </w:p>
              </w:tc>
              <w:tc>
                <w:tcPr>
                  <w:tcW w:w="6188" w:type="dxa"/>
                  <w:gridSpan w:val="3"/>
                </w:tcPr>
                <w:p w14:paraId="30EBAF92">
                  <w:pPr>
                    <w:adjustRightInd w:val="0"/>
                    <w:snapToGrid w:val="0"/>
                    <w:jc w:val="center"/>
                    <w:rPr>
                      <w:bCs/>
                      <w:color w:val="auto"/>
                      <w:szCs w:val="21"/>
                      <w:highlight w:val="none"/>
                    </w:rPr>
                  </w:pPr>
                  <w:r>
                    <w:rPr>
                      <w:bCs/>
                      <w:color w:val="auto"/>
                      <w:szCs w:val="21"/>
                      <w:highlight w:val="none"/>
                    </w:rPr>
                    <w:t>20.00</w:t>
                  </w:r>
                </w:p>
              </w:tc>
            </w:tr>
          </w:tbl>
          <w:p w14:paraId="5240E4FB">
            <w:pPr>
              <w:adjustRightInd w:val="0"/>
              <w:snapToGrid w:val="0"/>
              <w:spacing w:line="460" w:lineRule="exact"/>
              <w:jc w:val="center"/>
              <w:rPr>
                <w:bCs/>
                <w:color w:val="auto"/>
                <w:sz w:val="24"/>
                <w:highlight w:val="none"/>
              </w:rPr>
            </w:pPr>
          </w:p>
          <w:p w14:paraId="19D7D4D1">
            <w:pPr>
              <w:adjustRightInd w:val="0"/>
              <w:snapToGrid w:val="0"/>
              <w:spacing w:line="460" w:lineRule="exact"/>
              <w:rPr>
                <w:b/>
                <w:color w:val="auto"/>
                <w:sz w:val="24"/>
                <w:highlight w:val="none"/>
              </w:rPr>
            </w:pPr>
            <w:r>
              <w:rPr>
                <w:b/>
                <w:color w:val="auto"/>
                <w:sz w:val="24"/>
                <w:highlight w:val="none"/>
              </w:rPr>
              <w:t>2.3主要建设内容及规模</w:t>
            </w:r>
          </w:p>
          <w:p w14:paraId="489714B0">
            <w:pPr>
              <w:adjustRightInd w:val="0"/>
              <w:snapToGrid w:val="0"/>
              <w:spacing w:line="460" w:lineRule="exact"/>
              <w:ind w:firstLine="480" w:firstLineChars="200"/>
              <w:rPr>
                <w:bCs/>
                <w:color w:val="auto"/>
                <w:sz w:val="24"/>
                <w:highlight w:val="none"/>
              </w:rPr>
            </w:pPr>
            <w:r>
              <w:rPr>
                <w:bCs/>
                <w:color w:val="auto"/>
                <w:sz w:val="24"/>
                <w:highlight w:val="none"/>
              </w:rPr>
              <w:t>建设单位租赁</w:t>
            </w:r>
            <w:r>
              <w:rPr>
                <w:rFonts w:hint="eastAsia"/>
                <w:bCs/>
                <w:color w:val="auto"/>
                <w:sz w:val="24"/>
                <w:highlight w:val="none"/>
              </w:rPr>
              <w:t>厨鼎食品公司</w:t>
            </w:r>
            <w:r>
              <w:rPr>
                <w:bCs/>
                <w:color w:val="auto"/>
                <w:sz w:val="24"/>
                <w:highlight w:val="none"/>
              </w:rPr>
              <w:t>的1#闲置厂房1F和2F建设本项目，</w:t>
            </w:r>
            <w:r>
              <w:rPr>
                <w:color w:val="auto"/>
                <w:sz w:val="24"/>
                <w:highlight w:val="none"/>
              </w:rPr>
              <w:t>租赁</w:t>
            </w:r>
            <w:r>
              <w:rPr>
                <w:rFonts w:hint="eastAsia"/>
                <w:color w:val="auto"/>
                <w:sz w:val="24"/>
                <w:highlight w:val="none"/>
              </w:rPr>
              <w:t>厨鼎食品公司</w:t>
            </w:r>
            <w:r>
              <w:rPr>
                <w:color w:val="auto"/>
                <w:sz w:val="24"/>
                <w:highlight w:val="none"/>
              </w:rPr>
              <w:t>厂区综合楼2F闲置办公室进行办公，</w:t>
            </w:r>
            <w:r>
              <w:rPr>
                <w:bCs/>
                <w:color w:val="auto"/>
                <w:sz w:val="24"/>
                <w:highlight w:val="none"/>
              </w:rPr>
              <w:t>租赁面积</w:t>
            </w:r>
            <w:r>
              <w:rPr>
                <w:color w:val="auto"/>
                <w:sz w:val="24"/>
                <w:highlight w:val="none"/>
              </w:rPr>
              <w:t>1100m</w:t>
            </w:r>
            <w:r>
              <w:rPr>
                <w:color w:val="auto"/>
                <w:sz w:val="24"/>
                <w:highlight w:val="none"/>
                <w:vertAlign w:val="superscript"/>
              </w:rPr>
              <w:t>2</w:t>
            </w:r>
            <w:r>
              <w:rPr>
                <w:color w:val="auto"/>
                <w:sz w:val="24"/>
                <w:highlight w:val="none"/>
              </w:rPr>
              <w:t>。本项目建设内容包括主体工程、辅助工程、公用工程和环保工程，其</w:t>
            </w:r>
            <w:r>
              <w:rPr>
                <w:bCs/>
                <w:color w:val="auto"/>
                <w:sz w:val="24"/>
                <w:szCs w:val="21"/>
                <w:highlight w:val="none"/>
              </w:rPr>
              <w:t>主要建设内容及项目组成情况见</w:t>
            </w:r>
            <w:r>
              <w:rPr>
                <w:bCs/>
                <w:color w:val="auto"/>
                <w:sz w:val="24"/>
                <w:highlight w:val="none"/>
              </w:rPr>
              <w:t>表2.3-1。</w:t>
            </w:r>
          </w:p>
          <w:p w14:paraId="4C059692">
            <w:pPr>
              <w:adjustRightInd w:val="0"/>
              <w:snapToGrid w:val="0"/>
              <w:spacing w:line="460" w:lineRule="exact"/>
              <w:jc w:val="center"/>
              <w:rPr>
                <w:b/>
                <w:color w:val="auto"/>
                <w:sz w:val="24"/>
                <w:highlight w:val="none"/>
              </w:rPr>
            </w:pPr>
            <w:r>
              <w:rPr>
                <w:b/>
                <w:color w:val="auto"/>
                <w:sz w:val="24"/>
                <w:highlight w:val="none"/>
              </w:rPr>
              <w:t xml:space="preserve">表2.3-1 </w:t>
            </w:r>
            <w:r>
              <w:rPr>
                <w:bCs/>
                <w:color w:val="auto"/>
                <w:sz w:val="24"/>
                <w:szCs w:val="21"/>
                <w:highlight w:val="none"/>
              </w:rPr>
              <w:t>主要建设内容及项目组成情况一览表</w:t>
            </w:r>
          </w:p>
          <w:tbl>
            <w:tblPr>
              <w:tblStyle w:val="19"/>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447"/>
              <w:gridCol w:w="1191"/>
              <w:gridCol w:w="4825"/>
              <w:gridCol w:w="840"/>
            </w:tblGrid>
            <w:tr w14:paraId="0FF5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Align w:val="center"/>
                </w:tcPr>
                <w:p w14:paraId="37C5B04B">
                  <w:pPr>
                    <w:adjustRightInd w:val="0"/>
                    <w:snapToGrid w:val="0"/>
                    <w:spacing w:line="300" w:lineRule="exact"/>
                    <w:jc w:val="center"/>
                    <w:rPr>
                      <w:bCs/>
                      <w:color w:val="auto"/>
                      <w:szCs w:val="21"/>
                      <w:highlight w:val="none"/>
                    </w:rPr>
                  </w:pPr>
                  <w:r>
                    <w:rPr>
                      <w:bCs/>
                      <w:color w:val="auto"/>
                      <w:szCs w:val="21"/>
                      <w:highlight w:val="none"/>
                    </w:rPr>
                    <w:t>工程分类</w:t>
                  </w:r>
                </w:p>
              </w:tc>
              <w:tc>
                <w:tcPr>
                  <w:tcW w:w="975" w:type="pct"/>
                  <w:gridSpan w:val="2"/>
                  <w:vAlign w:val="center"/>
                </w:tcPr>
                <w:p w14:paraId="53E9EFD6">
                  <w:pPr>
                    <w:adjustRightInd w:val="0"/>
                    <w:snapToGrid w:val="0"/>
                    <w:spacing w:line="300" w:lineRule="exact"/>
                    <w:jc w:val="center"/>
                    <w:rPr>
                      <w:bCs/>
                      <w:color w:val="auto"/>
                      <w:szCs w:val="21"/>
                      <w:highlight w:val="none"/>
                    </w:rPr>
                  </w:pPr>
                  <w:r>
                    <w:rPr>
                      <w:bCs/>
                      <w:color w:val="auto"/>
                      <w:szCs w:val="21"/>
                      <w:highlight w:val="none"/>
                    </w:rPr>
                    <w:t>项目组成</w:t>
                  </w:r>
                </w:p>
              </w:tc>
              <w:tc>
                <w:tcPr>
                  <w:tcW w:w="2873" w:type="pct"/>
                  <w:vAlign w:val="center"/>
                </w:tcPr>
                <w:p w14:paraId="6EED2709">
                  <w:pPr>
                    <w:adjustRightInd w:val="0"/>
                    <w:snapToGrid w:val="0"/>
                    <w:spacing w:line="300" w:lineRule="exact"/>
                    <w:jc w:val="center"/>
                    <w:rPr>
                      <w:bCs/>
                      <w:color w:val="auto"/>
                      <w:szCs w:val="21"/>
                      <w:highlight w:val="none"/>
                    </w:rPr>
                  </w:pPr>
                  <w:r>
                    <w:rPr>
                      <w:bCs/>
                      <w:color w:val="auto"/>
                      <w:szCs w:val="21"/>
                      <w:highlight w:val="none"/>
                    </w:rPr>
                    <w:t>规模及主要内容</w:t>
                  </w:r>
                </w:p>
              </w:tc>
              <w:tc>
                <w:tcPr>
                  <w:tcW w:w="500" w:type="pct"/>
                  <w:vAlign w:val="center"/>
                </w:tcPr>
                <w:p w14:paraId="2F3138CF">
                  <w:pPr>
                    <w:adjustRightInd w:val="0"/>
                    <w:snapToGrid w:val="0"/>
                    <w:spacing w:line="300" w:lineRule="exact"/>
                    <w:jc w:val="center"/>
                    <w:rPr>
                      <w:bCs/>
                      <w:color w:val="auto"/>
                      <w:szCs w:val="21"/>
                      <w:highlight w:val="none"/>
                    </w:rPr>
                  </w:pPr>
                  <w:r>
                    <w:rPr>
                      <w:bCs/>
                      <w:color w:val="auto"/>
                      <w:szCs w:val="21"/>
                      <w:highlight w:val="none"/>
                    </w:rPr>
                    <w:t>备注</w:t>
                  </w:r>
                </w:p>
              </w:tc>
            </w:tr>
            <w:tr w14:paraId="30F8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pct"/>
                  <w:vMerge w:val="restart"/>
                  <w:vAlign w:val="center"/>
                </w:tcPr>
                <w:p w14:paraId="2C81932F">
                  <w:pPr>
                    <w:adjustRightInd w:val="0"/>
                    <w:snapToGrid w:val="0"/>
                    <w:spacing w:line="300" w:lineRule="exact"/>
                    <w:jc w:val="center"/>
                    <w:rPr>
                      <w:bCs/>
                      <w:color w:val="auto"/>
                      <w:szCs w:val="21"/>
                      <w:highlight w:val="none"/>
                    </w:rPr>
                  </w:pPr>
                  <w:r>
                    <w:rPr>
                      <w:bCs/>
                      <w:color w:val="auto"/>
                      <w:szCs w:val="21"/>
                      <w:highlight w:val="none"/>
                    </w:rPr>
                    <w:t>主体工程</w:t>
                  </w:r>
                </w:p>
              </w:tc>
              <w:tc>
                <w:tcPr>
                  <w:tcW w:w="975" w:type="pct"/>
                  <w:gridSpan w:val="2"/>
                  <w:vAlign w:val="center"/>
                </w:tcPr>
                <w:p w14:paraId="766560C3">
                  <w:pPr>
                    <w:adjustRightInd w:val="0"/>
                    <w:snapToGrid w:val="0"/>
                    <w:spacing w:line="300" w:lineRule="exact"/>
                    <w:jc w:val="center"/>
                    <w:rPr>
                      <w:bCs/>
                      <w:color w:val="auto"/>
                      <w:szCs w:val="21"/>
                      <w:highlight w:val="none"/>
                    </w:rPr>
                  </w:pPr>
                  <w:r>
                    <w:rPr>
                      <w:bCs/>
                      <w:color w:val="auto"/>
                      <w:szCs w:val="21"/>
                      <w:highlight w:val="none"/>
                    </w:rPr>
                    <w:t>清洗间</w:t>
                  </w:r>
                </w:p>
              </w:tc>
              <w:tc>
                <w:tcPr>
                  <w:tcW w:w="2873" w:type="pct"/>
                  <w:vAlign w:val="center"/>
                </w:tcPr>
                <w:p w14:paraId="3EA87DE0">
                  <w:pPr>
                    <w:adjustRightInd w:val="0"/>
                    <w:snapToGrid w:val="0"/>
                    <w:spacing w:line="300" w:lineRule="exact"/>
                    <w:jc w:val="center"/>
                    <w:rPr>
                      <w:bCs/>
                      <w:color w:val="auto"/>
                      <w:szCs w:val="21"/>
                      <w:highlight w:val="none"/>
                    </w:rPr>
                  </w:pPr>
                  <w:r>
                    <w:rPr>
                      <w:bCs/>
                      <w:color w:val="auto"/>
                      <w:szCs w:val="21"/>
                      <w:highlight w:val="none"/>
                    </w:rPr>
                    <w:t>建筑面积约36.11 m</w:t>
                  </w:r>
                  <w:r>
                    <w:rPr>
                      <w:bCs/>
                      <w:color w:val="auto"/>
                      <w:szCs w:val="21"/>
                      <w:highlight w:val="none"/>
                      <w:vertAlign w:val="superscript"/>
                    </w:rPr>
                    <w:t>2</w:t>
                  </w:r>
                  <w:r>
                    <w:rPr>
                      <w:bCs/>
                      <w:color w:val="auto"/>
                      <w:szCs w:val="21"/>
                      <w:highlight w:val="none"/>
                    </w:rPr>
                    <w:t>，设置一台毛刷清洗机用于清洗葛根表皮泥沙等</w:t>
                  </w:r>
                </w:p>
              </w:tc>
              <w:tc>
                <w:tcPr>
                  <w:tcW w:w="500" w:type="pct"/>
                  <w:vAlign w:val="center"/>
                </w:tcPr>
                <w:p w14:paraId="0BDE50B5">
                  <w:pPr>
                    <w:adjustRightInd w:val="0"/>
                    <w:snapToGrid w:val="0"/>
                    <w:spacing w:line="300" w:lineRule="exact"/>
                    <w:jc w:val="center"/>
                    <w:rPr>
                      <w:bCs/>
                      <w:color w:val="auto"/>
                      <w:szCs w:val="21"/>
                      <w:highlight w:val="none"/>
                    </w:rPr>
                  </w:pPr>
                  <w:r>
                    <w:rPr>
                      <w:bCs/>
                      <w:color w:val="auto"/>
                      <w:szCs w:val="21"/>
                      <w:highlight w:val="none"/>
                    </w:rPr>
                    <w:t>新建</w:t>
                  </w:r>
                </w:p>
              </w:tc>
            </w:tr>
            <w:tr w14:paraId="5A50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pct"/>
                  <w:vMerge w:val="continue"/>
                  <w:vAlign w:val="center"/>
                </w:tcPr>
                <w:p w14:paraId="6DFCFC78">
                  <w:pPr>
                    <w:adjustRightInd w:val="0"/>
                    <w:snapToGrid w:val="0"/>
                    <w:spacing w:line="300" w:lineRule="exact"/>
                    <w:jc w:val="center"/>
                    <w:rPr>
                      <w:color w:val="auto"/>
                      <w:highlight w:val="none"/>
                    </w:rPr>
                  </w:pPr>
                </w:p>
              </w:tc>
              <w:tc>
                <w:tcPr>
                  <w:tcW w:w="975" w:type="pct"/>
                  <w:gridSpan w:val="2"/>
                  <w:vAlign w:val="center"/>
                </w:tcPr>
                <w:p w14:paraId="0B99A7A0">
                  <w:pPr>
                    <w:adjustRightInd w:val="0"/>
                    <w:snapToGrid w:val="0"/>
                    <w:spacing w:line="300" w:lineRule="exact"/>
                    <w:jc w:val="center"/>
                    <w:rPr>
                      <w:bCs/>
                      <w:color w:val="auto"/>
                      <w:szCs w:val="21"/>
                      <w:highlight w:val="none"/>
                    </w:rPr>
                  </w:pPr>
                  <w:r>
                    <w:rPr>
                      <w:bCs/>
                      <w:color w:val="auto"/>
                      <w:szCs w:val="21"/>
                      <w:highlight w:val="none"/>
                    </w:rPr>
                    <w:t>粉碎磨浆间</w:t>
                  </w:r>
                </w:p>
              </w:tc>
              <w:tc>
                <w:tcPr>
                  <w:tcW w:w="2873" w:type="pct"/>
                  <w:vAlign w:val="center"/>
                </w:tcPr>
                <w:p w14:paraId="2DA19688">
                  <w:pPr>
                    <w:adjustRightInd w:val="0"/>
                    <w:snapToGrid w:val="0"/>
                    <w:spacing w:line="300" w:lineRule="exact"/>
                    <w:jc w:val="center"/>
                    <w:rPr>
                      <w:bCs/>
                      <w:color w:val="auto"/>
                      <w:szCs w:val="21"/>
                      <w:highlight w:val="none"/>
                    </w:rPr>
                  </w:pPr>
                  <w:r>
                    <w:rPr>
                      <w:bCs/>
                      <w:color w:val="auto"/>
                      <w:szCs w:val="21"/>
                      <w:highlight w:val="none"/>
                    </w:rPr>
                    <w:t>建筑面积约40.88 m</w:t>
                  </w:r>
                  <w:r>
                    <w:rPr>
                      <w:bCs/>
                      <w:color w:val="auto"/>
                      <w:szCs w:val="21"/>
                      <w:highlight w:val="none"/>
                      <w:vertAlign w:val="superscript"/>
                    </w:rPr>
                    <w:t>2</w:t>
                  </w:r>
                  <w:r>
                    <w:rPr>
                      <w:bCs/>
                      <w:color w:val="auto"/>
                      <w:szCs w:val="21"/>
                      <w:highlight w:val="none"/>
                    </w:rPr>
                    <w:t>，设置一台葛根粉碎机、一台浆渣分离机、一台二罗机、一台除砂器和一台除砂器泵</w:t>
                  </w:r>
                </w:p>
              </w:tc>
              <w:tc>
                <w:tcPr>
                  <w:tcW w:w="500" w:type="pct"/>
                  <w:vAlign w:val="center"/>
                </w:tcPr>
                <w:p w14:paraId="0F4F2D4C">
                  <w:pPr>
                    <w:adjustRightInd w:val="0"/>
                    <w:snapToGrid w:val="0"/>
                    <w:spacing w:line="300" w:lineRule="exact"/>
                    <w:jc w:val="center"/>
                    <w:rPr>
                      <w:bCs/>
                      <w:color w:val="auto"/>
                      <w:szCs w:val="21"/>
                      <w:highlight w:val="none"/>
                    </w:rPr>
                  </w:pPr>
                  <w:r>
                    <w:rPr>
                      <w:bCs/>
                      <w:color w:val="auto"/>
                      <w:szCs w:val="21"/>
                      <w:highlight w:val="none"/>
                    </w:rPr>
                    <w:t>新建</w:t>
                  </w:r>
                </w:p>
              </w:tc>
            </w:tr>
            <w:tr w14:paraId="47FF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pct"/>
                  <w:vMerge w:val="continue"/>
                  <w:vAlign w:val="center"/>
                </w:tcPr>
                <w:p w14:paraId="4EDA0181">
                  <w:pPr>
                    <w:adjustRightInd w:val="0"/>
                    <w:snapToGrid w:val="0"/>
                    <w:spacing w:line="300" w:lineRule="exact"/>
                    <w:jc w:val="center"/>
                    <w:rPr>
                      <w:bCs/>
                      <w:color w:val="auto"/>
                      <w:szCs w:val="21"/>
                      <w:highlight w:val="none"/>
                    </w:rPr>
                  </w:pPr>
                </w:p>
              </w:tc>
              <w:tc>
                <w:tcPr>
                  <w:tcW w:w="975" w:type="pct"/>
                  <w:gridSpan w:val="2"/>
                  <w:vAlign w:val="center"/>
                </w:tcPr>
                <w:p w14:paraId="3E04A485">
                  <w:pPr>
                    <w:adjustRightInd w:val="0"/>
                    <w:snapToGrid w:val="0"/>
                    <w:spacing w:line="300" w:lineRule="exact"/>
                    <w:jc w:val="center"/>
                    <w:rPr>
                      <w:bCs/>
                      <w:color w:val="auto"/>
                      <w:szCs w:val="21"/>
                      <w:highlight w:val="none"/>
                    </w:rPr>
                  </w:pPr>
                  <w:r>
                    <w:rPr>
                      <w:bCs/>
                      <w:color w:val="auto"/>
                      <w:szCs w:val="21"/>
                      <w:highlight w:val="none"/>
                    </w:rPr>
                    <w:t>沉淀间</w:t>
                  </w:r>
                </w:p>
              </w:tc>
              <w:tc>
                <w:tcPr>
                  <w:tcW w:w="2873" w:type="pct"/>
                  <w:vAlign w:val="center"/>
                </w:tcPr>
                <w:p w14:paraId="1F51662F">
                  <w:pPr>
                    <w:adjustRightInd w:val="0"/>
                    <w:snapToGrid w:val="0"/>
                    <w:spacing w:line="300" w:lineRule="exact"/>
                    <w:jc w:val="center"/>
                    <w:rPr>
                      <w:bCs/>
                      <w:color w:val="auto"/>
                      <w:szCs w:val="21"/>
                      <w:highlight w:val="none"/>
                    </w:rPr>
                  </w:pPr>
                  <w:r>
                    <w:rPr>
                      <w:bCs/>
                      <w:color w:val="auto"/>
                      <w:szCs w:val="21"/>
                      <w:highlight w:val="none"/>
                    </w:rPr>
                    <w:t>共设两个沉淀间，建筑面积分别约为 50.53 m</w:t>
                  </w:r>
                  <w:r>
                    <w:rPr>
                      <w:bCs/>
                      <w:color w:val="auto"/>
                      <w:szCs w:val="21"/>
                      <w:highlight w:val="none"/>
                      <w:vertAlign w:val="superscript"/>
                    </w:rPr>
                    <w:t>2</w:t>
                  </w:r>
                  <w:r>
                    <w:rPr>
                      <w:bCs/>
                      <w:color w:val="auto"/>
                      <w:szCs w:val="21"/>
                      <w:highlight w:val="none"/>
                    </w:rPr>
                    <w:t>、 24.78 m</w:t>
                  </w:r>
                  <w:r>
                    <w:rPr>
                      <w:bCs/>
                      <w:color w:val="auto"/>
                      <w:szCs w:val="21"/>
                      <w:highlight w:val="none"/>
                      <w:vertAlign w:val="superscript"/>
                    </w:rPr>
                    <w:t>2</w:t>
                  </w:r>
                  <w:r>
                    <w:rPr>
                      <w:bCs/>
                      <w:color w:val="auto"/>
                      <w:szCs w:val="21"/>
                      <w:highlight w:val="none"/>
                    </w:rPr>
                    <w:t>，内设一级沉淀和二级沉淀桶。</w:t>
                  </w:r>
                </w:p>
              </w:tc>
              <w:tc>
                <w:tcPr>
                  <w:tcW w:w="500" w:type="pct"/>
                  <w:vAlign w:val="center"/>
                </w:tcPr>
                <w:p w14:paraId="384E0673">
                  <w:pPr>
                    <w:adjustRightInd w:val="0"/>
                    <w:snapToGrid w:val="0"/>
                    <w:spacing w:line="300" w:lineRule="exact"/>
                    <w:jc w:val="center"/>
                    <w:rPr>
                      <w:bCs/>
                      <w:color w:val="auto"/>
                      <w:szCs w:val="21"/>
                      <w:highlight w:val="none"/>
                    </w:rPr>
                  </w:pPr>
                  <w:r>
                    <w:rPr>
                      <w:bCs/>
                      <w:color w:val="auto"/>
                      <w:szCs w:val="21"/>
                      <w:highlight w:val="none"/>
                    </w:rPr>
                    <w:t>新建</w:t>
                  </w:r>
                </w:p>
              </w:tc>
            </w:tr>
            <w:tr w14:paraId="4CF6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pct"/>
                  <w:vMerge w:val="continue"/>
                  <w:vAlign w:val="center"/>
                </w:tcPr>
                <w:p w14:paraId="4F853F82">
                  <w:pPr>
                    <w:adjustRightInd w:val="0"/>
                    <w:snapToGrid w:val="0"/>
                    <w:spacing w:line="300" w:lineRule="exact"/>
                    <w:jc w:val="center"/>
                    <w:rPr>
                      <w:bCs/>
                      <w:color w:val="auto"/>
                      <w:szCs w:val="21"/>
                      <w:highlight w:val="none"/>
                    </w:rPr>
                  </w:pPr>
                </w:p>
              </w:tc>
              <w:tc>
                <w:tcPr>
                  <w:tcW w:w="975" w:type="pct"/>
                  <w:gridSpan w:val="2"/>
                  <w:vAlign w:val="center"/>
                </w:tcPr>
                <w:p w14:paraId="0A60AE0A">
                  <w:pPr>
                    <w:adjustRightInd w:val="0"/>
                    <w:snapToGrid w:val="0"/>
                    <w:spacing w:line="300" w:lineRule="exact"/>
                    <w:jc w:val="center"/>
                    <w:rPr>
                      <w:bCs/>
                      <w:color w:val="auto"/>
                      <w:szCs w:val="21"/>
                      <w:highlight w:val="none"/>
                    </w:rPr>
                  </w:pPr>
                  <w:r>
                    <w:rPr>
                      <w:bCs/>
                      <w:color w:val="auto"/>
                      <w:szCs w:val="21"/>
                      <w:highlight w:val="none"/>
                    </w:rPr>
                    <w:t>烘干间</w:t>
                  </w:r>
                </w:p>
              </w:tc>
              <w:tc>
                <w:tcPr>
                  <w:tcW w:w="2873" w:type="pct"/>
                  <w:vAlign w:val="center"/>
                </w:tcPr>
                <w:p w14:paraId="4E5142FB">
                  <w:pPr>
                    <w:adjustRightInd w:val="0"/>
                    <w:snapToGrid w:val="0"/>
                    <w:spacing w:line="300" w:lineRule="exact"/>
                    <w:jc w:val="center"/>
                    <w:rPr>
                      <w:bCs/>
                      <w:color w:val="auto"/>
                      <w:szCs w:val="21"/>
                      <w:highlight w:val="none"/>
                    </w:rPr>
                  </w:pPr>
                  <w:r>
                    <w:rPr>
                      <w:bCs/>
                      <w:color w:val="auto"/>
                      <w:szCs w:val="21"/>
                      <w:highlight w:val="none"/>
                    </w:rPr>
                    <w:t>建筑面积约73.31 m</w:t>
                  </w:r>
                  <w:r>
                    <w:rPr>
                      <w:bCs/>
                      <w:color w:val="auto"/>
                      <w:szCs w:val="21"/>
                      <w:highlight w:val="none"/>
                      <w:vertAlign w:val="superscript"/>
                    </w:rPr>
                    <w:t>2</w:t>
                  </w:r>
                  <w:r>
                    <w:rPr>
                      <w:bCs/>
                      <w:color w:val="auto"/>
                      <w:szCs w:val="21"/>
                      <w:highlight w:val="none"/>
                    </w:rPr>
                    <w:t>，设置2台烘干机</w:t>
                  </w:r>
                </w:p>
              </w:tc>
              <w:tc>
                <w:tcPr>
                  <w:tcW w:w="500" w:type="pct"/>
                  <w:vAlign w:val="center"/>
                </w:tcPr>
                <w:p w14:paraId="7EA7E56B">
                  <w:pPr>
                    <w:adjustRightInd w:val="0"/>
                    <w:snapToGrid w:val="0"/>
                    <w:spacing w:line="300" w:lineRule="exact"/>
                    <w:jc w:val="center"/>
                    <w:rPr>
                      <w:bCs/>
                      <w:color w:val="auto"/>
                      <w:szCs w:val="21"/>
                      <w:highlight w:val="none"/>
                    </w:rPr>
                  </w:pPr>
                  <w:r>
                    <w:rPr>
                      <w:bCs/>
                      <w:color w:val="auto"/>
                      <w:szCs w:val="21"/>
                      <w:highlight w:val="none"/>
                    </w:rPr>
                    <w:t>新建</w:t>
                  </w:r>
                </w:p>
              </w:tc>
            </w:tr>
            <w:tr w14:paraId="33C2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50" w:type="pct"/>
                  <w:vMerge w:val="continue"/>
                  <w:vAlign w:val="center"/>
                </w:tcPr>
                <w:p w14:paraId="3EB18856">
                  <w:pPr>
                    <w:adjustRightInd w:val="0"/>
                    <w:snapToGrid w:val="0"/>
                    <w:spacing w:line="300" w:lineRule="exact"/>
                    <w:jc w:val="center"/>
                    <w:rPr>
                      <w:bCs/>
                      <w:color w:val="auto"/>
                      <w:szCs w:val="21"/>
                      <w:highlight w:val="none"/>
                    </w:rPr>
                  </w:pPr>
                </w:p>
              </w:tc>
              <w:tc>
                <w:tcPr>
                  <w:tcW w:w="975" w:type="pct"/>
                  <w:gridSpan w:val="2"/>
                  <w:vAlign w:val="center"/>
                </w:tcPr>
                <w:p w14:paraId="263503EF">
                  <w:pPr>
                    <w:adjustRightInd w:val="0"/>
                    <w:snapToGrid w:val="0"/>
                    <w:spacing w:line="300" w:lineRule="exact"/>
                    <w:jc w:val="center"/>
                    <w:rPr>
                      <w:bCs/>
                      <w:color w:val="auto"/>
                      <w:szCs w:val="21"/>
                      <w:highlight w:val="none"/>
                    </w:rPr>
                  </w:pPr>
                  <w:r>
                    <w:rPr>
                      <w:bCs/>
                      <w:color w:val="auto"/>
                      <w:szCs w:val="21"/>
                      <w:highlight w:val="none"/>
                    </w:rPr>
                    <w:t>内包装间</w:t>
                  </w:r>
                </w:p>
              </w:tc>
              <w:tc>
                <w:tcPr>
                  <w:tcW w:w="2873" w:type="pct"/>
                  <w:vAlign w:val="center"/>
                </w:tcPr>
                <w:p w14:paraId="4BF8144D">
                  <w:pPr>
                    <w:adjustRightInd w:val="0"/>
                    <w:snapToGrid w:val="0"/>
                    <w:spacing w:line="300" w:lineRule="exact"/>
                    <w:jc w:val="center"/>
                    <w:rPr>
                      <w:bCs/>
                      <w:color w:val="auto"/>
                      <w:szCs w:val="21"/>
                      <w:highlight w:val="none"/>
                    </w:rPr>
                  </w:pPr>
                  <w:r>
                    <w:rPr>
                      <w:bCs/>
                      <w:color w:val="auto"/>
                      <w:szCs w:val="21"/>
                      <w:highlight w:val="none"/>
                    </w:rPr>
                    <w:t>建筑面积约39.74 m</w:t>
                  </w:r>
                  <w:r>
                    <w:rPr>
                      <w:bCs/>
                      <w:color w:val="auto"/>
                      <w:szCs w:val="21"/>
                      <w:highlight w:val="none"/>
                      <w:vertAlign w:val="superscript"/>
                    </w:rPr>
                    <w:t>2</w:t>
                  </w:r>
                  <w:r>
                    <w:rPr>
                      <w:bCs/>
                      <w:color w:val="auto"/>
                      <w:szCs w:val="21"/>
                      <w:highlight w:val="none"/>
                    </w:rPr>
                    <w:t>，设置2台包装机；在内包装间和外包装间连接处设置紫外消毒柜，对内包装袋进行消毒</w:t>
                  </w:r>
                </w:p>
              </w:tc>
              <w:tc>
                <w:tcPr>
                  <w:tcW w:w="500" w:type="pct"/>
                  <w:vAlign w:val="center"/>
                </w:tcPr>
                <w:p w14:paraId="37E8BA6A">
                  <w:pPr>
                    <w:adjustRightInd w:val="0"/>
                    <w:snapToGrid w:val="0"/>
                    <w:spacing w:line="300" w:lineRule="exact"/>
                    <w:jc w:val="center"/>
                    <w:rPr>
                      <w:bCs/>
                      <w:color w:val="auto"/>
                      <w:szCs w:val="21"/>
                      <w:highlight w:val="none"/>
                    </w:rPr>
                  </w:pPr>
                  <w:r>
                    <w:rPr>
                      <w:bCs/>
                      <w:color w:val="auto"/>
                      <w:szCs w:val="21"/>
                      <w:highlight w:val="none"/>
                    </w:rPr>
                    <w:t>新建</w:t>
                  </w:r>
                </w:p>
              </w:tc>
            </w:tr>
            <w:tr w14:paraId="421C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50" w:type="pct"/>
                  <w:vMerge w:val="continue"/>
                  <w:vAlign w:val="center"/>
                </w:tcPr>
                <w:p w14:paraId="5D78A7ED">
                  <w:pPr>
                    <w:adjustRightInd w:val="0"/>
                    <w:snapToGrid w:val="0"/>
                    <w:spacing w:line="300" w:lineRule="exact"/>
                    <w:jc w:val="center"/>
                    <w:rPr>
                      <w:color w:val="auto"/>
                      <w:highlight w:val="none"/>
                    </w:rPr>
                  </w:pPr>
                </w:p>
              </w:tc>
              <w:tc>
                <w:tcPr>
                  <w:tcW w:w="975" w:type="pct"/>
                  <w:gridSpan w:val="2"/>
                  <w:vAlign w:val="center"/>
                </w:tcPr>
                <w:p w14:paraId="37FEA4BC">
                  <w:pPr>
                    <w:adjustRightInd w:val="0"/>
                    <w:snapToGrid w:val="0"/>
                    <w:spacing w:line="300" w:lineRule="exact"/>
                    <w:jc w:val="center"/>
                    <w:rPr>
                      <w:bCs/>
                      <w:color w:val="auto"/>
                      <w:szCs w:val="21"/>
                      <w:highlight w:val="none"/>
                    </w:rPr>
                  </w:pPr>
                  <w:r>
                    <w:rPr>
                      <w:bCs/>
                      <w:color w:val="auto"/>
                      <w:szCs w:val="21"/>
                      <w:highlight w:val="none"/>
                    </w:rPr>
                    <w:t>外包装间</w:t>
                  </w:r>
                </w:p>
              </w:tc>
              <w:tc>
                <w:tcPr>
                  <w:tcW w:w="2873" w:type="pct"/>
                  <w:vAlign w:val="center"/>
                </w:tcPr>
                <w:p w14:paraId="124F3EEA">
                  <w:pPr>
                    <w:adjustRightInd w:val="0"/>
                    <w:snapToGrid w:val="0"/>
                    <w:spacing w:line="300" w:lineRule="exact"/>
                    <w:jc w:val="center"/>
                    <w:rPr>
                      <w:bCs/>
                      <w:color w:val="auto"/>
                      <w:szCs w:val="21"/>
                      <w:highlight w:val="none"/>
                    </w:rPr>
                  </w:pPr>
                  <w:r>
                    <w:rPr>
                      <w:bCs/>
                      <w:color w:val="auto"/>
                      <w:szCs w:val="21"/>
                      <w:highlight w:val="none"/>
                    </w:rPr>
                    <w:t>建筑面积约8.79 m</w:t>
                  </w:r>
                  <w:r>
                    <w:rPr>
                      <w:bCs/>
                      <w:color w:val="auto"/>
                      <w:szCs w:val="21"/>
                      <w:highlight w:val="none"/>
                      <w:vertAlign w:val="superscript"/>
                    </w:rPr>
                    <w:t>2</w:t>
                  </w:r>
                  <w:r>
                    <w:rPr>
                      <w:bCs/>
                      <w:color w:val="auto"/>
                      <w:szCs w:val="21"/>
                      <w:highlight w:val="none"/>
                    </w:rPr>
                    <w:t>，为人工包装</w:t>
                  </w:r>
                </w:p>
              </w:tc>
              <w:tc>
                <w:tcPr>
                  <w:tcW w:w="500" w:type="pct"/>
                  <w:vAlign w:val="center"/>
                </w:tcPr>
                <w:p w14:paraId="3DED4A88">
                  <w:pPr>
                    <w:adjustRightInd w:val="0"/>
                    <w:snapToGrid w:val="0"/>
                    <w:spacing w:line="300" w:lineRule="exact"/>
                    <w:jc w:val="center"/>
                    <w:rPr>
                      <w:bCs/>
                      <w:color w:val="auto"/>
                      <w:szCs w:val="21"/>
                      <w:highlight w:val="none"/>
                    </w:rPr>
                  </w:pPr>
                  <w:r>
                    <w:rPr>
                      <w:bCs/>
                      <w:color w:val="auto"/>
                      <w:szCs w:val="21"/>
                      <w:highlight w:val="none"/>
                    </w:rPr>
                    <w:t>新建</w:t>
                  </w:r>
                </w:p>
              </w:tc>
            </w:tr>
            <w:tr w14:paraId="60DE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50" w:type="pct"/>
                  <w:vMerge w:val="restart"/>
                  <w:vAlign w:val="center"/>
                </w:tcPr>
                <w:p w14:paraId="30D4C791">
                  <w:pPr>
                    <w:adjustRightInd w:val="0"/>
                    <w:snapToGrid w:val="0"/>
                    <w:spacing w:line="300" w:lineRule="exact"/>
                    <w:jc w:val="center"/>
                    <w:rPr>
                      <w:bCs/>
                      <w:color w:val="auto"/>
                      <w:szCs w:val="21"/>
                      <w:highlight w:val="none"/>
                    </w:rPr>
                  </w:pPr>
                  <w:r>
                    <w:rPr>
                      <w:bCs/>
                      <w:color w:val="auto"/>
                      <w:szCs w:val="21"/>
                      <w:highlight w:val="none"/>
                    </w:rPr>
                    <w:t>辅助工程</w:t>
                  </w:r>
                </w:p>
              </w:tc>
              <w:tc>
                <w:tcPr>
                  <w:tcW w:w="975" w:type="pct"/>
                  <w:gridSpan w:val="2"/>
                  <w:vAlign w:val="center"/>
                </w:tcPr>
                <w:p w14:paraId="6CCBF3A5">
                  <w:pPr>
                    <w:adjustRightInd w:val="0"/>
                    <w:snapToGrid w:val="0"/>
                    <w:spacing w:line="300" w:lineRule="exact"/>
                    <w:jc w:val="center"/>
                    <w:rPr>
                      <w:bCs/>
                      <w:color w:val="auto"/>
                      <w:szCs w:val="21"/>
                      <w:highlight w:val="none"/>
                    </w:rPr>
                  </w:pPr>
                  <w:r>
                    <w:rPr>
                      <w:bCs/>
                      <w:color w:val="auto"/>
                      <w:szCs w:val="21"/>
                      <w:highlight w:val="none"/>
                    </w:rPr>
                    <w:t>更衣间</w:t>
                  </w:r>
                </w:p>
              </w:tc>
              <w:tc>
                <w:tcPr>
                  <w:tcW w:w="2873" w:type="pct"/>
                  <w:vAlign w:val="center"/>
                </w:tcPr>
                <w:p w14:paraId="3A813A9D">
                  <w:pPr>
                    <w:adjustRightInd w:val="0"/>
                    <w:snapToGrid w:val="0"/>
                    <w:spacing w:line="300" w:lineRule="exact"/>
                    <w:jc w:val="center"/>
                    <w:rPr>
                      <w:bCs/>
                      <w:color w:val="auto"/>
                      <w:szCs w:val="21"/>
                      <w:highlight w:val="none"/>
                    </w:rPr>
                  </w:pPr>
                  <w:r>
                    <w:rPr>
                      <w:bCs/>
                      <w:color w:val="auto"/>
                      <w:szCs w:val="21"/>
                      <w:highlight w:val="none"/>
                    </w:rPr>
                    <w:t>共设两个更衣间，建筑面积分别约为29.57 m</w:t>
                  </w:r>
                  <w:r>
                    <w:rPr>
                      <w:bCs/>
                      <w:color w:val="auto"/>
                      <w:szCs w:val="21"/>
                      <w:highlight w:val="none"/>
                      <w:vertAlign w:val="superscript"/>
                    </w:rPr>
                    <w:t>2</w:t>
                  </w:r>
                  <w:r>
                    <w:rPr>
                      <w:bCs/>
                      <w:color w:val="auto"/>
                      <w:szCs w:val="21"/>
                      <w:highlight w:val="none"/>
                    </w:rPr>
                    <w:t>、 2.88 m</w:t>
                  </w:r>
                  <w:r>
                    <w:rPr>
                      <w:bCs/>
                      <w:color w:val="auto"/>
                      <w:szCs w:val="21"/>
                      <w:highlight w:val="none"/>
                      <w:vertAlign w:val="superscript"/>
                    </w:rPr>
                    <w:t>2</w:t>
                  </w:r>
                  <w:r>
                    <w:rPr>
                      <w:bCs/>
                      <w:color w:val="auto"/>
                      <w:szCs w:val="21"/>
                      <w:highlight w:val="none"/>
                    </w:rPr>
                    <w:t>，用于员工更换衣物</w:t>
                  </w:r>
                </w:p>
              </w:tc>
              <w:tc>
                <w:tcPr>
                  <w:tcW w:w="500" w:type="pct"/>
                  <w:vAlign w:val="center"/>
                </w:tcPr>
                <w:p w14:paraId="1EAFC543">
                  <w:pPr>
                    <w:adjustRightInd w:val="0"/>
                    <w:snapToGrid w:val="0"/>
                    <w:spacing w:line="300" w:lineRule="exact"/>
                    <w:jc w:val="center"/>
                    <w:rPr>
                      <w:bCs/>
                      <w:color w:val="auto"/>
                      <w:szCs w:val="21"/>
                      <w:highlight w:val="none"/>
                    </w:rPr>
                  </w:pPr>
                  <w:r>
                    <w:rPr>
                      <w:bCs/>
                      <w:color w:val="auto"/>
                      <w:szCs w:val="21"/>
                      <w:highlight w:val="none"/>
                    </w:rPr>
                    <w:t>新建</w:t>
                  </w:r>
                </w:p>
              </w:tc>
            </w:tr>
            <w:tr w14:paraId="3621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0" w:type="pct"/>
                  <w:vMerge w:val="continue"/>
                  <w:vAlign w:val="center"/>
                </w:tcPr>
                <w:p w14:paraId="77C70CB9">
                  <w:pPr>
                    <w:adjustRightInd w:val="0"/>
                    <w:snapToGrid w:val="0"/>
                    <w:spacing w:line="300" w:lineRule="exact"/>
                    <w:jc w:val="center"/>
                    <w:rPr>
                      <w:color w:val="auto"/>
                      <w:highlight w:val="none"/>
                    </w:rPr>
                  </w:pPr>
                </w:p>
              </w:tc>
              <w:tc>
                <w:tcPr>
                  <w:tcW w:w="975" w:type="pct"/>
                  <w:gridSpan w:val="2"/>
                  <w:vAlign w:val="center"/>
                </w:tcPr>
                <w:p w14:paraId="0A8F907F">
                  <w:pPr>
                    <w:adjustRightInd w:val="0"/>
                    <w:snapToGrid w:val="0"/>
                    <w:spacing w:line="300" w:lineRule="exact"/>
                    <w:jc w:val="center"/>
                    <w:rPr>
                      <w:bCs/>
                      <w:color w:val="auto"/>
                      <w:szCs w:val="21"/>
                      <w:highlight w:val="none"/>
                    </w:rPr>
                  </w:pPr>
                  <w:r>
                    <w:rPr>
                      <w:bCs/>
                      <w:color w:val="auto"/>
                      <w:szCs w:val="21"/>
                      <w:highlight w:val="none"/>
                    </w:rPr>
                    <w:t>办公</w:t>
                  </w:r>
                </w:p>
              </w:tc>
              <w:tc>
                <w:tcPr>
                  <w:tcW w:w="2873" w:type="pct"/>
                  <w:vAlign w:val="center"/>
                </w:tcPr>
                <w:p w14:paraId="2ACA5706">
                  <w:pPr>
                    <w:adjustRightInd w:val="0"/>
                    <w:snapToGrid w:val="0"/>
                    <w:spacing w:line="300" w:lineRule="exact"/>
                    <w:jc w:val="center"/>
                    <w:rPr>
                      <w:bCs/>
                      <w:color w:val="auto"/>
                      <w:szCs w:val="21"/>
                      <w:highlight w:val="none"/>
                    </w:rPr>
                  </w:pPr>
                  <w:r>
                    <w:rPr>
                      <w:bCs/>
                      <w:color w:val="auto"/>
                      <w:szCs w:val="21"/>
                      <w:highlight w:val="none"/>
                    </w:rPr>
                    <w:t>租赁</w:t>
                  </w:r>
                  <w:r>
                    <w:rPr>
                      <w:rFonts w:hint="eastAsia"/>
                      <w:bCs/>
                      <w:color w:val="auto"/>
                      <w:szCs w:val="21"/>
                      <w:highlight w:val="none"/>
                    </w:rPr>
                    <w:t>厨鼎食品公司</w:t>
                  </w:r>
                  <w:r>
                    <w:rPr>
                      <w:bCs/>
                      <w:color w:val="auto"/>
                      <w:szCs w:val="21"/>
                      <w:highlight w:val="none"/>
                    </w:rPr>
                    <w:t>厂区综合楼2F进行办公，租赁办公室建筑面积约30m</w:t>
                  </w:r>
                  <w:r>
                    <w:rPr>
                      <w:bCs/>
                      <w:color w:val="auto"/>
                      <w:szCs w:val="21"/>
                      <w:highlight w:val="none"/>
                      <w:vertAlign w:val="superscript"/>
                    </w:rPr>
                    <w:t>2</w:t>
                  </w:r>
                </w:p>
              </w:tc>
              <w:tc>
                <w:tcPr>
                  <w:tcW w:w="500" w:type="pct"/>
                  <w:vAlign w:val="center"/>
                </w:tcPr>
                <w:p w14:paraId="30930D7F">
                  <w:pPr>
                    <w:adjustRightInd w:val="0"/>
                    <w:snapToGrid w:val="0"/>
                    <w:spacing w:line="300" w:lineRule="exact"/>
                    <w:jc w:val="center"/>
                    <w:rPr>
                      <w:bCs/>
                      <w:color w:val="auto"/>
                      <w:szCs w:val="21"/>
                      <w:highlight w:val="none"/>
                    </w:rPr>
                  </w:pPr>
                  <w:r>
                    <w:rPr>
                      <w:bCs/>
                      <w:color w:val="auto"/>
                      <w:szCs w:val="21"/>
                      <w:highlight w:val="none"/>
                    </w:rPr>
                    <w:t>依托</w:t>
                  </w:r>
                </w:p>
              </w:tc>
            </w:tr>
            <w:tr w14:paraId="3321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0" w:type="pct"/>
                  <w:vMerge w:val="continue"/>
                  <w:vAlign w:val="center"/>
                </w:tcPr>
                <w:p w14:paraId="66D17B57">
                  <w:pPr>
                    <w:adjustRightInd w:val="0"/>
                    <w:snapToGrid w:val="0"/>
                    <w:spacing w:line="300" w:lineRule="exact"/>
                    <w:jc w:val="center"/>
                    <w:rPr>
                      <w:color w:val="auto"/>
                      <w:highlight w:val="none"/>
                    </w:rPr>
                  </w:pPr>
                </w:p>
              </w:tc>
              <w:tc>
                <w:tcPr>
                  <w:tcW w:w="975" w:type="pct"/>
                  <w:gridSpan w:val="2"/>
                  <w:shd w:val="clear" w:color="auto" w:fill="auto"/>
                  <w:vAlign w:val="center"/>
                </w:tcPr>
                <w:p w14:paraId="15ABCDEC">
                  <w:pPr>
                    <w:adjustRightInd w:val="0"/>
                    <w:snapToGrid w:val="0"/>
                    <w:spacing w:line="300" w:lineRule="exact"/>
                    <w:jc w:val="center"/>
                    <w:rPr>
                      <w:bCs/>
                      <w:color w:val="auto"/>
                      <w:szCs w:val="21"/>
                      <w:highlight w:val="none"/>
                    </w:rPr>
                  </w:pPr>
                  <w:r>
                    <w:rPr>
                      <w:bCs/>
                      <w:color w:val="auto"/>
                      <w:szCs w:val="21"/>
                      <w:highlight w:val="none"/>
                    </w:rPr>
                    <w:t>检验室</w:t>
                  </w:r>
                </w:p>
              </w:tc>
              <w:tc>
                <w:tcPr>
                  <w:tcW w:w="2873" w:type="pct"/>
                  <w:shd w:val="clear" w:color="auto" w:fill="auto"/>
                  <w:vAlign w:val="center"/>
                </w:tcPr>
                <w:p w14:paraId="3D4C6FDF">
                  <w:pPr>
                    <w:adjustRightInd w:val="0"/>
                    <w:snapToGrid w:val="0"/>
                    <w:spacing w:line="300" w:lineRule="exact"/>
                    <w:jc w:val="center"/>
                    <w:rPr>
                      <w:bCs/>
                      <w:color w:val="auto"/>
                      <w:szCs w:val="21"/>
                      <w:highlight w:val="none"/>
                    </w:rPr>
                  </w:pPr>
                  <w:r>
                    <w:rPr>
                      <w:bCs/>
                      <w:color w:val="auto"/>
                      <w:szCs w:val="21"/>
                      <w:highlight w:val="none"/>
                    </w:rPr>
                    <w:t>租赁</w:t>
                  </w:r>
                  <w:r>
                    <w:rPr>
                      <w:rFonts w:hint="eastAsia"/>
                      <w:bCs/>
                      <w:color w:val="auto"/>
                      <w:szCs w:val="21"/>
                      <w:highlight w:val="none"/>
                    </w:rPr>
                    <w:t>厨鼎食品公司</w:t>
                  </w:r>
                  <w:r>
                    <w:rPr>
                      <w:bCs/>
                      <w:color w:val="auto"/>
                      <w:szCs w:val="21"/>
                      <w:highlight w:val="none"/>
                    </w:rPr>
                    <w:t>1#闲置厂房2F中的闲置房间（位于二级沉淀间楼上），建筑面积约15m</w:t>
                  </w:r>
                  <w:r>
                    <w:rPr>
                      <w:bCs/>
                      <w:color w:val="auto"/>
                      <w:szCs w:val="21"/>
                      <w:highlight w:val="none"/>
                      <w:vertAlign w:val="superscript"/>
                    </w:rPr>
                    <w:t>2</w:t>
                  </w:r>
                </w:p>
              </w:tc>
              <w:tc>
                <w:tcPr>
                  <w:tcW w:w="500" w:type="pct"/>
                  <w:shd w:val="clear" w:color="auto" w:fill="auto"/>
                  <w:vAlign w:val="center"/>
                </w:tcPr>
                <w:p w14:paraId="7425EE68">
                  <w:pPr>
                    <w:adjustRightInd w:val="0"/>
                    <w:snapToGrid w:val="0"/>
                    <w:spacing w:line="300" w:lineRule="exact"/>
                    <w:jc w:val="center"/>
                    <w:rPr>
                      <w:bCs/>
                      <w:color w:val="auto"/>
                      <w:szCs w:val="21"/>
                      <w:highlight w:val="none"/>
                    </w:rPr>
                  </w:pPr>
                  <w:r>
                    <w:rPr>
                      <w:bCs/>
                      <w:color w:val="auto"/>
                      <w:szCs w:val="21"/>
                      <w:highlight w:val="none"/>
                    </w:rPr>
                    <w:t>新建</w:t>
                  </w:r>
                </w:p>
              </w:tc>
            </w:tr>
            <w:tr w14:paraId="745A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50" w:type="pct"/>
                  <w:vMerge w:val="restart"/>
                  <w:vAlign w:val="center"/>
                </w:tcPr>
                <w:p w14:paraId="5FBE6325">
                  <w:pPr>
                    <w:adjustRightInd w:val="0"/>
                    <w:snapToGrid w:val="0"/>
                    <w:spacing w:line="300" w:lineRule="exact"/>
                    <w:jc w:val="center"/>
                    <w:rPr>
                      <w:bCs/>
                      <w:color w:val="auto"/>
                      <w:szCs w:val="21"/>
                      <w:highlight w:val="none"/>
                    </w:rPr>
                  </w:pPr>
                  <w:r>
                    <w:rPr>
                      <w:bCs/>
                      <w:color w:val="auto"/>
                      <w:szCs w:val="21"/>
                      <w:highlight w:val="none"/>
                    </w:rPr>
                    <w:t>公用工程</w:t>
                  </w:r>
                </w:p>
              </w:tc>
              <w:tc>
                <w:tcPr>
                  <w:tcW w:w="975" w:type="pct"/>
                  <w:gridSpan w:val="2"/>
                  <w:vAlign w:val="center"/>
                </w:tcPr>
                <w:p w14:paraId="7842B22C">
                  <w:pPr>
                    <w:adjustRightInd w:val="0"/>
                    <w:snapToGrid w:val="0"/>
                    <w:spacing w:line="300" w:lineRule="exact"/>
                    <w:jc w:val="center"/>
                    <w:rPr>
                      <w:bCs/>
                      <w:color w:val="auto"/>
                      <w:szCs w:val="21"/>
                      <w:highlight w:val="none"/>
                    </w:rPr>
                  </w:pPr>
                  <w:r>
                    <w:rPr>
                      <w:bCs/>
                      <w:color w:val="auto"/>
                      <w:szCs w:val="21"/>
                      <w:highlight w:val="none"/>
                    </w:rPr>
                    <w:t>给水</w:t>
                  </w:r>
                </w:p>
              </w:tc>
              <w:tc>
                <w:tcPr>
                  <w:tcW w:w="2873" w:type="pct"/>
                  <w:vAlign w:val="center"/>
                </w:tcPr>
                <w:p w14:paraId="0F982641">
                  <w:pPr>
                    <w:adjustRightInd w:val="0"/>
                    <w:snapToGrid w:val="0"/>
                    <w:spacing w:line="300" w:lineRule="exact"/>
                    <w:jc w:val="center"/>
                    <w:rPr>
                      <w:bCs/>
                      <w:color w:val="auto"/>
                      <w:szCs w:val="21"/>
                      <w:highlight w:val="none"/>
                    </w:rPr>
                  </w:pPr>
                  <w:r>
                    <w:rPr>
                      <w:bCs/>
                      <w:color w:val="auto"/>
                      <w:szCs w:val="21"/>
                      <w:highlight w:val="none"/>
                    </w:rPr>
                    <w:t>市政给水，依托</w:t>
                  </w:r>
                  <w:r>
                    <w:rPr>
                      <w:rFonts w:hint="eastAsia"/>
                      <w:bCs/>
                      <w:color w:val="auto"/>
                      <w:szCs w:val="21"/>
                      <w:highlight w:val="none"/>
                    </w:rPr>
                    <w:t>厨鼎食品公司</w:t>
                  </w:r>
                  <w:r>
                    <w:rPr>
                      <w:bCs/>
                      <w:color w:val="auto"/>
                      <w:szCs w:val="21"/>
                      <w:highlight w:val="none"/>
                    </w:rPr>
                    <w:t>厂区已建成管网供水</w:t>
                  </w:r>
                </w:p>
              </w:tc>
              <w:tc>
                <w:tcPr>
                  <w:tcW w:w="500" w:type="pct"/>
                  <w:vAlign w:val="center"/>
                </w:tcPr>
                <w:p w14:paraId="4DA080FD">
                  <w:pPr>
                    <w:adjustRightInd w:val="0"/>
                    <w:snapToGrid w:val="0"/>
                    <w:spacing w:line="300" w:lineRule="exact"/>
                    <w:jc w:val="center"/>
                    <w:rPr>
                      <w:bCs/>
                      <w:color w:val="auto"/>
                      <w:szCs w:val="21"/>
                      <w:highlight w:val="none"/>
                    </w:rPr>
                  </w:pPr>
                  <w:r>
                    <w:rPr>
                      <w:bCs/>
                      <w:color w:val="auto"/>
                      <w:szCs w:val="21"/>
                      <w:highlight w:val="none"/>
                    </w:rPr>
                    <w:t>依托</w:t>
                  </w:r>
                </w:p>
              </w:tc>
            </w:tr>
            <w:tr w14:paraId="6825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50" w:type="pct"/>
                  <w:vMerge w:val="continue"/>
                  <w:vAlign w:val="center"/>
                </w:tcPr>
                <w:p w14:paraId="01969321">
                  <w:pPr>
                    <w:adjustRightInd w:val="0"/>
                    <w:snapToGrid w:val="0"/>
                    <w:spacing w:line="300" w:lineRule="exact"/>
                    <w:jc w:val="center"/>
                    <w:rPr>
                      <w:bCs/>
                      <w:color w:val="auto"/>
                      <w:szCs w:val="21"/>
                      <w:highlight w:val="none"/>
                    </w:rPr>
                  </w:pPr>
                </w:p>
              </w:tc>
              <w:tc>
                <w:tcPr>
                  <w:tcW w:w="975" w:type="pct"/>
                  <w:gridSpan w:val="2"/>
                  <w:vAlign w:val="center"/>
                </w:tcPr>
                <w:p w14:paraId="6BFAE86F">
                  <w:pPr>
                    <w:adjustRightInd w:val="0"/>
                    <w:snapToGrid w:val="0"/>
                    <w:spacing w:line="300" w:lineRule="exact"/>
                    <w:jc w:val="center"/>
                    <w:rPr>
                      <w:bCs/>
                      <w:color w:val="auto"/>
                      <w:szCs w:val="21"/>
                      <w:highlight w:val="none"/>
                    </w:rPr>
                  </w:pPr>
                  <w:r>
                    <w:rPr>
                      <w:bCs/>
                      <w:color w:val="auto"/>
                      <w:szCs w:val="21"/>
                      <w:highlight w:val="none"/>
                    </w:rPr>
                    <w:t>排水</w:t>
                  </w:r>
                </w:p>
              </w:tc>
              <w:tc>
                <w:tcPr>
                  <w:tcW w:w="2873" w:type="pct"/>
                  <w:vAlign w:val="center"/>
                </w:tcPr>
                <w:p w14:paraId="7075878B">
                  <w:pPr>
                    <w:adjustRightInd w:val="0"/>
                    <w:snapToGrid w:val="0"/>
                    <w:spacing w:line="300" w:lineRule="exact"/>
                    <w:jc w:val="center"/>
                    <w:rPr>
                      <w:color w:val="auto"/>
                      <w:highlight w:val="none"/>
                    </w:rPr>
                  </w:pPr>
                  <w:r>
                    <w:rPr>
                      <w:color w:val="auto"/>
                      <w:highlight w:val="none"/>
                    </w:rPr>
                    <w:t>采用雨污分流，雨水进入市政雨水管网；</w:t>
                  </w:r>
                  <w:r>
                    <w:rPr>
                      <w:bCs/>
                      <w:color w:val="auto"/>
                      <w:highlight w:val="none"/>
                    </w:rPr>
                    <w:t>生活污水依托</w:t>
                  </w:r>
                  <w:r>
                    <w:rPr>
                      <w:rFonts w:hint="eastAsia"/>
                      <w:bCs/>
                      <w:color w:val="auto"/>
                      <w:highlight w:val="none"/>
                    </w:rPr>
                    <w:t>厨鼎食品公司</w:t>
                  </w:r>
                  <w:r>
                    <w:rPr>
                      <w:bCs/>
                      <w:color w:val="auto"/>
                      <w:highlight w:val="none"/>
                    </w:rPr>
                    <w:t>厂区已建化粪池处理后排入</w:t>
                  </w:r>
                  <w:r>
                    <w:rPr>
                      <w:color w:val="auto"/>
                      <w:highlight w:val="none"/>
                    </w:rPr>
                    <w:t>龙市镇工业污水处理厂深度处理达《城镇污水处理厂污染物排放标准》（GB18918-2002）一级A标准后排放；生产废水经自建污水处理设施处理达《淀粉工业水污染物排放限值》（GB25461-2010）表2中的间接排放标准后排入龙市镇工业污水处理厂，深度处理达《城镇污水处理厂污染物排放标准》（GB18918-2002）一级A标准后</w:t>
                  </w:r>
                  <w:r>
                    <w:rPr>
                      <w:color w:val="auto"/>
                      <w:kern w:val="0"/>
                      <w:szCs w:val="21"/>
                      <w:highlight w:val="none"/>
                    </w:rPr>
                    <w:t>排放</w:t>
                  </w:r>
                </w:p>
              </w:tc>
              <w:tc>
                <w:tcPr>
                  <w:tcW w:w="500" w:type="pct"/>
                  <w:vAlign w:val="center"/>
                </w:tcPr>
                <w:p w14:paraId="31CE765B">
                  <w:pPr>
                    <w:adjustRightInd w:val="0"/>
                    <w:snapToGrid w:val="0"/>
                    <w:spacing w:line="300" w:lineRule="exact"/>
                    <w:jc w:val="center"/>
                    <w:rPr>
                      <w:bCs/>
                      <w:color w:val="auto"/>
                      <w:szCs w:val="21"/>
                      <w:highlight w:val="none"/>
                    </w:rPr>
                  </w:pPr>
                  <w:r>
                    <w:rPr>
                      <w:bCs/>
                      <w:color w:val="auto"/>
                      <w:szCs w:val="21"/>
                      <w:highlight w:val="none"/>
                    </w:rPr>
                    <w:t>生活污水处理设施依托，工业废水处理设施新建</w:t>
                  </w:r>
                </w:p>
              </w:tc>
            </w:tr>
            <w:tr w14:paraId="5BEC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50" w:type="pct"/>
                  <w:vMerge w:val="continue"/>
                  <w:vAlign w:val="center"/>
                </w:tcPr>
                <w:p w14:paraId="78F6EDBE">
                  <w:pPr>
                    <w:adjustRightInd w:val="0"/>
                    <w:snapToGrid w:val="0"/>
                    <w:spacing w:line="300" w:lineRule="exact"/>
                    <w:jc w:val="center"/>
                    <w:rPr>
                      <w:bCs/>
                      <w:color w:val="auto"/>
                      <w:szCs w:val="21"/>
                      <w:highlight w:val="none"/>
                    </w:rPr>
                  </w:pPr>
                </w:p>
              </w:tc>
              <w:tc>
                <w:tcPr>
                  <w:tcW w:w="975" w:type="pct"/>
                  <w:gridSpan w:val="2"/>
                  <w:vAlign w:val="center"/>
                </w:tcPr>
                <w:p w14:paraId="7D7EFA79">
                  <w:pPr>
                    <w:adjustRightInd w:val="0"/>
                    <w:snapToGrid w:val="0"/>
                    <w:spacing w:line="300" w:lineRule="exact"/>
                    <w:jc w:val="center"/>
                    <w:rPr>
                      <w:bCs/>
                      <w:color w:val="auto"/>
                      <w:szCs w:val="21"/>
                      <w:highlight w:val="none"/>
                    </w:rPr>
                  </w:pPr>
                  <w:r>
                    <w:rPr>
                      <w:bCs/>
                      <w:color w:val="auto"/>
                      <w:szCs w:val="21"/>
                      <w:highlight w:val="none"/>
                    </w:rPr>
                    <w:t>供电</w:t>
                  </w:r>
                </w:p>
              </w:tc>
              <w:tc>
                <w:tcPr>
                  <w:tcW w:w="2873" w:type="pct"/>
                  <w:vAlign w:val="center"/>
                </w:tcPr>
                <w:p w14:paraId="7CC075C0">
                  <w:pPr>
                    <w:adjustRightInd w:val="0"/>
                    <w:snapToGrid w:val="0"/>
                    <w:spacing w:line="300" w:lineRule="exact"/>
                    <w:jc w:val="center"/>
                    <w:rPr>
                      <w:bCs/>
                      <w:color w:val="auto"/>
                      <w:szCs w:val="21"/>
                      <w:highlight w:val="none"/>
                    </w:rPr>
                  </w:pPr>
                  <w:r>
                    <w:rPr>
                      <w:bCs/>
                      <w:color w:val="auto"/>
                      <w:szCs w:val="21"/>
                      <w:highlight w:val="none"/>
                    </w:rPr>
                    <w:t>依托</w:t>
                  </w:r>
                  <w:r>
                    <w:rPr>
                      <w:rFonts w:hint="eastAsia"/>
                      <w:bCs/>
                      <w:color w:val="auto"/>
                      <w:szCs w:val="21"/>
                      <w:highlight w:val="none"/>
                    </w:rPr>
                    <w:t>厨鼎食品公司</w:t>
                  </w:r>
                  <w:r>
                    <w:rPr>
                      <w:bCs/>
                      <w:color w:val="auto"/>
                      <w:szCs w:val="21"/>
                      <w:highlight w:val="none"/>
                    </w:rPr>
                    <w:t>厂区供电系统</w:t>
                  </w:r>
                </w:p>
              </w:tc>
              <w:tc>
                <w:tcPr>
                  <w:tcW w:w="500" w:type="pct"/>
                  <w:vAlign w:val="center"/>
                </w:tcPr>
                <w:p w14:paraId="697BF258">
                  <w:pPr>
                    <w:adjustRightInd w:val="0"/>
                    <w:snapToGrid w:val="0"/>
                    <w:spacing w:line="300" w:lineRule="exact"/>
                    <w:jc w:val="center"/>
                    <w:rPr>
                      <w:bCs/>
                      <w:color w:val="auto"/>
                      <w:szCs w:val="21"/>
                      <w:highlight w:val="none"/>
                    </w:rPr>
                  </w:pPr>
                  <w:r>
                    <w:rPr>
                      <w:bCs/>
                      <w:color w:val="auto"/>
                      <w:szCs w:val="21"/>
                      <w:highlight w:val="none"/>
                    </w:rPr>
                    <w:t>依托</w:t>
                  </w:r>
                </w:p>
              </w:tc>
            </w:tr>
            <w:tr w14:paraId="0600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50" w:type="pct"/>
                  <w:vMerge w:val="restart"/>
                  <w:vAlign w:val="center"/>
                </w:tcPr>
                <w:p w14:paraId="112E2059">
                  <w:pPr>
                    <w:adjustRightInd w:val="0"/>
                    <w:snapToGrid w:val="0"/>
                    <w:spacing w:line="300" w:lineRule="exact"/>
                    <w:jc w:val="center"/>
                    <w:rPr>
                      <w:bCs/>
                      <w:color w:val="auto"/>
                      <w:szCs w:val="21"/>
                      <w:highlight w:val="none"/>
                    </w:rPr>
                  </w:pPr>
                  <w:r>
                    <w:rPr>
                      <w:bCs/>
                      <w:color w:val="auto"/>
                      <w:szCs w:val="21"/>
                      <w:highlight w:val="none"/>
                    </w:rPr>
                    <w:t>储运工程</w:t>
                  </w:r>
                </w:p>
              </w:tc>
              <w:tc>
                <w:tcPr>
                  <w:tcW w:w="975" w:type="pct"/>
                  <w:gridSpan w:val="2"/>
                  <w:vAlign w:val="center"/>
                </w:tcPr>
                <w:p w14:paraId="29754CA4">
                  <w:pPr>
                    <w:adjustRightInd w:val="0"/>
                    <w:snapToGrid w:val="0"/>
                    <w:spacing w:line="300" w:lineRule="exact"/>
                    <w:jc w:val="center"/>
                    <w:rPr>
                      <w:bCs/>
                      <w:color w:val="auto"/>
                      <w:szCs w:val="21"/>
                      <w:highlight w:val="none"/>
                    </w:rPr>
                  </w:pPr>
                  <w:r>
                    <w:rPr>
                      <w:bCs/>
                      <w:color w:val="auto"/>
                      <w:szCs w:val="21"/>
                      <w:highlight w:val="none"/>
                    </w:rPr>
                    <w:t>鲜葛保鲜库</w:t>
                  </w:r>
                </w:p>
              </w:tc>
              <w:tc>
                <w:tcPr>
                  <w:tcW w:w="2873" w:type="pct"/>
                  <w:vAlign w:val="center"/>
                </w:tcPr>
                <w:p w14:paraId="709B4195">
                  <w:pPr>
                    <w:adjustRightInd w:val="0"/>
                    <w:snapToGrid w:val="0"/>
                    <w:spacing w:line="300" w:lineRule="exact"/>
                    <w:jc w:val="center"/>
                    <w:rPr>
                      <w:bCs/>
                      <w:color w:val="auto"/>
                      <w:szCs w:val="21"/>
                      <w:highlight w:val="none"/>
                    </w:rPr>
                  </w:pPr>
                  <w:r>
                    <w:rPr>
                      <w:bCs/>
                      <w:color w:val="auto"/>
                      <w:szCs w:val="21"/>
                      <w:highlight w:val="none"/>
                    </w:rPr>
                    <w:t>依托</w:t>
                  </w:r>
                  <w:r>
                    <w:rPr>
                      <w:rFonts w:hint="eastAsia"/>
                      <w:bCs/>
                      <w:color w:val="auto"/>
                      <w:szCs w:val="21"/>
                      <w:highlight w:val="none"/>
                    </w:rPr>
                    <w:t>厨鼎食品公司</w:t>
                  </w:r>
                  <w:r>
                    <w:rPr>
                      <w:bCs/>
                      <w:color w:val="auto"/>
                      <w:szCs w:val="21"/>
                      <w:highlight w:val="none"/>
                    </w:rPr>
                    <w:t>现有冷库一间，建筑面积约26.33 m</w:t>
                  </w:r>
                  <w:r>
                    <w:rPr>
                      <w:bCs/>
                      <w:color w:val="auto"/>
                      <w:szCs w:val="21"/>
                      <w:highlight w:val="none"/>
                      <w:vertAlign w:val="superscript"/>
                    </w:rPr>
                    <w:t>2</w:t>
                  </w:r>
                  <w:r>
                    <w:rPr>
                      <w:bCs/>
                      <w:color w:val="auto"/>
                      <w:szCs w:val="21"/>
                      <w:highlight w:val="none"/>
                    </w:rPr>
                    <w:t>，</w:t>
                  </w:r>
                  <w:r>
                    <w:rPr>
                      <w:color w:val="auto"/>
                      <w:highlight w:val="none"/>
                    </w:rPr>
                    <w:t>采用R404A无氟制冷剂，温度5</w:t>
                  </w:r>
                  <w:r>
                    <w:rPr>
                      <w:bCs/>
                      <w:color w:val="auto"/>
                      <w:szCs w:val="21"/>
                      <w:highlight w:val="none"/>
                    </w:rPr>
                    <w:t>℃。用于原料鲜葛的保鲜与储存</w:t>
                  </w:r>
                </w:p>
              </w:tc>
              <w:tc>
                <w:tcPr>
                  <w:tcW w:w="500" w:type="pct"/>
                  <w:vAlign w:val="center"/>
                </w:tcPr>
                <w:p w14:paraId="6B2111A9">
                  <w:pPr>
                    <w:adjustRightInd w:val="0"/>
                    <w:snapToGrid w:val="0"/>
                    <w:spacing w:line="300" w:lineRule="exact"/>
                    <w:jc w:val="center"/>
                    <w:rPr>
                      <w:bCs/>
                      <w:color w:val="auto"/>
                      <w:szCs w:val="21"/>
                      <w:highlight w:val="none"/>
                    </w:rPr>
                  </w:pPr>
                  <w:r>
                    <w:rPr>
                      <w:bCs/>
                      <w:color w:val="auto"/>
                      <w:szCs w:val="21"/>
                      <w:highlight w:val="none"/>
                    </w:rPr>
                    <w:t>依托</w:t>
                  </w:r>
                </w:p>
              </w:tc>
            </w:tr>
            <w:tr w14:paraId="2798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50" w:type="pct"/>
                  <w:vMerge w:val="continue"/>
                  <w:vAlign w:val="center"/>
                </w:tcPr>
                <w:p w14:paraId="7BB972BB">
                  <w:pPr>
                    <w:adjustRightInd w:val="0"/>
                    <w:snapToGrid w:val="0"/>
                    <w:spacing w:line="300" w:lineRule="exact"/>
                    <w:jc w:val="center"/>
                    <w:rPr>
                      <w:color w:val="auto"/>
                      <w:highlight w:val="none"/>
                    </w:rPr>
                  </w:pPr>
                </w:p>
              </w:tc>
              <w:tc>
                <w:tcPr>
                  <w:tcW w:w="975" w:type="pct"/>
                  <w:gridSpan w:val="2"/>
                  <w:vAlign w:val="center"/>
                </w:tcPr>
                <w:p w14:paraId="54D0AC3B">
                  <w:pPr>
                    <w:adjustRightInd w:val="0"/>
                    <w:snapToGrid w:val="0"/>
                    <w:spacing w:line="300" w:lineRule="exact"/>
                    <w:jc w:val="center"/>
                    <w:rPr>
                      <w:bCs/>
                      <w:color w:val="auto"/>
                      <w:szCs w:val="21"/>
                      <w:highlight w:val="none"/>
                    </w:rPr>
                  </w:pPr>
                  <w:r>
                    <w:rPr>
                      <w:bCs/>
                      <w:color w:val="auto"/>
                      <w:szCs w:val="21"/>
                      <w:highlight w:val="none"/>
                    </w:rPr>
                    <w:t>周转间</w:t>
                  </w:r>
                </w:p>
              </w:tc>
              <w:tc>
                <w:tcPr>
                  <w:tcW w:w="2873" w:type="pct"/>
                  <w:vAlign w:val="center"/>
                </w:tcPr>
                <w:p w14:paraId="241CB10E">
                  <w:pPr>
                    <w:adjustRightInd w:val="0"/>
                    <w:snapToGrid w:val="0"/>
                    <w:spacing w:line="300" w:lineRule="exact"/>
                    <w:jc w:val="center"/>
                    <w:rPr>
                      <w:bCs/>
                      <w:color w:val="auto"/>
                      <w:szCs w:val="21"/>
                      <w:highlight w:val="none"/>
                    </w:rPr>
                  </w:pPr>
                  <w:r>
                    <w:rPr>
                      <w:bCs/>
                      <w:color w:val="auto"/>
                      <w:szCs w:val="21"/>
                      <w:highlight w:val="none"/>
                    </w:rPr>
                    <w:t>建筑面积约9.58 m</w:t>
                  </w:r>
                  <w:r>
                    <w:rPr>
                      <w:bCs/>
                      <w:color w:val="auto"/>
                      <w:szCs w:val="21"/>
                      <w:highlight w:val="none"/>
                      <w:vertAlign w:val="superscript"/>
                    </w:rPr>
                    <w:t>2</w:t>
                  </w:r>
                  <w:r>
                    <w:rPr>
                      <w:bCs/>
                      <w:color w:val="auto"/>
                      <w:szCs w:val="21"/>
                      <w:highlight w:val="none"/>
                    </w:rPr>
                    <w:t>，用于将鲜葛根从鲜葛保鲜库向清洗间转移过程的周转</w:t>
                  </w:r>
                </w:p>
              </w:tc>
              <w:tc>
                <w:tcPr>
                  <w:tcW w:w="500" w:type="pct"/>
                  <w:vAlign w:val="center"/>
                </w:tcPr>
                <w:p w14:paraId="43236284">
                  <w:pPr>
                    <w:adjustRightInd w:val="0"/>
                    <w:snapToGrid w:val="0"/>
                    <w:spacing w:line="300" w:lineRule="exact"/>
                    <w:jc w:val="center"/>
                    <w:rPr>
                      <w:bCs/>
                      <w:color w:val="auto"/>
                      <w:szCs w:val="21"/>
                      <w:highlight w:val="none"/>
                    </w:rPr>
                  </w:pPr>
                  <w:r>
                    <w:rPr>
                      <w:bCs/>
                      <w:color w:val="auto"/>
                      <w:szCs w:val="21"/>
                      <w:highlight w:val="none"/>
                    </w:rPr>
                    <w:t>新建</w:t>
                  </w:r>
                </w:p>
              </w:tc>
            </w:tr>
            <w:tr w14:paraId="1FEF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50" w:type="pct"/>
                  <w:vMerge w:val="continue"/>
                  <w:vAlign w:val="center"/>
                </w:tcPr>
                <w:p w14:paraId="2E17655A">
                  <w:pPr>
                    <w:adjustRightInd w:val="0"/>
                    <w:snapToGrid w:val="0"/>
                    <w:spacing w:line="300" w:lineRule="exact"/>
                    <w:jc w:val="center"/>
                    <w:rPr>
                      <w:color w:val="auto"/>
                      <w:highlight w:val="none"/>
                    </w:rPr>
                  </w:pPr>
                </w:p>
              </w:tc>
              <w:tc>
                <w:tcPr>
                  <w:tcW w:w="975" w:type="pct"/>
                  <w:gridSpan w:val="2"/>
                  <w:vMerge w:val="restart"/>
                  <w:vAlign w:val="center"/>
                </w:tcPr>
                <w:p w14:paraId="2B0ADCCE">
                  <w:pPr>
                    <w:adjustRightInd w:val="0"/>
                    <w:snapToGrid w:val="0"/>
                    <w:spacing w:line="300" w:lineRule="exact"/>
                    <w:jc w:val="center"/>
                    <w:rPr>
                      <w:color w:val="auto"/>
                      <w:highlight w:val="none"/>
                    </w:rPr>
                  </w:pPr>
                  <w:r>
                    <w:rPr>
                      <w:color w:val="auto"/>
                      <w:highlight w:val="none"/>
                    </w:rPr>
                    <w:t>原辅材料暂存间</w:t>
                  </w:r>
                </w:p>
              </w:tc>
              <w:tc>
                <w:tcPr>
                  <w:tcW w:w="2873" w:type="pct"/>
                  <w:vAlign w:val="center"/>
                </w:tcPr>
                <w:p w14:paraId="73113342">
                  <w:pPr>
                    <w:adjustRightInd w:val="0"/>
                    <w:snapToGrid w:val="0"/>
                    <w:spacing w:line="300" w:lineRule="exact"/>
                    <w:jc w:val="center"/>
                    <w:rPr>
                      <w:color w:val="auto"/>
                      <w:highlight w:val="none"/>
                    </w:rPr>
                  </w:pPr>
                  <w:r>
                    <w:rPr>
                      <w:color w:val="auto"/>
                      <w:highlight w:val="none"/>
                    </w:rPr>
                    <w:t>1#原辅料暂存间主要为内包装物暂存，位于1#厂房2F，建筑面积约20m</w:t>
                  </w:r>
                  <w:r>
                    <w:rPr>
                      <w:color w:val="auto"/>
                      <w:highlight w:val="none"/>
                      <w:vertAlign w:val="superscript"/>
                    </w:rPr>
                    <w:t>2</w:t>
                  </w:r>
                </w:p>
              </w:tc>
              <w:tc>
                <w:tcPr>
                  <w:tcW w:w="500" w:type="pct"/>
                  <w:vAlign w:val="center"/>
                </w:tcPr>
                <w:p w14:paraId="1C64D35F">
                  <w:pPr>
                    <w:adjustRightInd w:val="0"/>
                    <w:snapToGrid w:val="0"/>
                    <w:spacing w:line="300" w:lineRule="exact"/>
                    <w:jc w:val="center"/>
                    <w:rPr>
                      <w:color w:val="auto"/>
                      <w:highlight w:val="none"/>
                    </w:rPr>
                  </w:pPr>
                  <w:r>
                    <w:rPr>
                      <w:color w:val="auto"/>
                      <w:highlight w:val="none"/>
                    </w:rPr>
                    <w:t>新建</w:t>
                  </w:r>
                </w:p>
              </w:tc>
            </w:tr>
            <w:tr w14:paraId="6BA9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50" w:type="pct"/>
                  <w:vMerge w:val="continue"/>
                  <w:vAlign w:val="center"/>
                </w:tcPr>
                <w:p w14:paraId="4B4AD0C1">
                  <w:pPr>
                    <w:adjustRightInd w:val="0"/>
                    <w:snapToGrid w:val="0"/>
                    <w:spacing w:line="300" w:lineRule="exact"/>
                    <w:jc w:val="center"/>
                    <w:rPr>
                      <w:color w:val="auto"/>
                      <w:highlight w:val="none"/>
                    </w:rPr>
                  </w:pPr>
                </w:p>
              </w:tc>
              <w:tc>
                <w:tcPr>
                  <w:tcW w:w="975" w:type="pct"/>
                  <w:gridSpan w:val="2"/>
                  <w:vMerge w:val="continue"/>
                  <w:vAlign w:val="center"/>
                </w:tcPr>
                <w:p w14:paraId="43A83FF8">
                  <w:pPr>
                    <w:adjustRightInd w:val="0"/>
                    <w:snapToGrid w:val="0"/>
                    <w:spacing w:line="300" w:lineRule="exact"/>
                    <w:jc w:val="center"/>
                    <w:rPr>
                      <w:color w:val="auto"/>
                      <w:highlight w:val="none"/>
                    </w:rPr>
                  </w:pPr>
                </w:p>
              </w:tc>
              <w:tc>
                <w:tcPr>
                  <w:tcW w:w="2873" w:type="pct"/>
                  <w:vAlign w:val="center"/>
                </w:tcPr>
                <w:p w14:paraId="3E6C8E9C">
                  <w:pPr>
                    <w:adjustRightInd w:val="0"/>
                    <w:snapToGrid w:val="0"/>
                    <w:spacing w:line="300" w:lineRule="exact"/>
                    <w:jc w:val="center"/>
                    <w:rPr>
                      <w:color w:val="auto"/>
                      <w:highlight w:val="none"/>
                    </w:rPr>
                  </w:pPr>
                  <w:r>
                    <w:rPr>
                      <w:color w:val="auto"/>
                      <w:highlight w:val="none"/>
                    </w:rPr>
                    <w:t>1#原辅料暂存间主要为外包装物暂存，位于1#厂房2F，建筑面积约20m</w:t>
                  </w:r>
                  <w:r>
                    <w:rPr>
                      <w:color w:val="auto"/>
                      <w:highlight w:val="none"/>
                      <w:vertAlign w:val="superscript"/>
                    </w:rPr>
                    <w:t>2</w:t>
                  </w:r>
                </w:p>
              </w:tc>
              <w:tc>
                <w:tcPr>
                  <w:tcW w:w="500" w:type="pct"/>
                  <w:vAlign w:val="center"/>
                </w:tcPr>
                <w:p w14:paraId="012EB357">
                  <w:pPr>
                    <w:adjustRightInd w:val="0"/>
                    <w:snapToGrid w:val="0"/>
                    <w:spacing w:line="300" w:lineRule="exact"/>
                    <w:jc w:val="center"/>
                    <w:rPr>
                      <w:color w:val="auto"/>
                      <w:highlight w:val="none"/>
                    </w:rPr>
                  </w:pPr>
                  <w:r>
                    <w:rPr>
                      <w:color w:val="auto"/>
                      <w:highlight w:val="none"/>
                    </w:rPr>
                    <w:t>新建</w:t>
                  </w:r>
                </w:p>
              </w:tc>
            </w:tr>
            <w:tr w14:paraId="2F92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50" w:type="pct"/>
                  <w:vMerge w:val="continue"/>
                  <w:vAlign w:val="center"/>
                </w:tcPr>
                <w:p w14:paraId="1DCFF5A8">
                  <w:pPr>
                    <w:adjustRightInd w:val="0"/>
                    <w:snapToGrid w:val="0"/>
                    <w:spacing w:line="300" w:lineRule="exact"/>
                    <w:jc w:val="center"/>
                    <w:rPr>
                      <w:color w:val="auto"/>
                      <w:highlight w:val="none"/>
                    </w:rPr>
                  </w:pPr>
                </w:p>
              </w:tc>
              <w:tc>
                <w:tcPr>
                  <w:tcW w:w="975" w:type="pct"/>
                  <w:gridSpan w:val="2"/>
                  <w:vAlign w:val="center"/>
                </w:tcPr>
                <w:p w14:paraId="48485628">
                  <w:pPr>
                    <w:adjustRightInd w:val="0"/>
                    <w:snapToGrid w:val="0"/>
                    <w:spacing w:line="300" w:lineRule="exact"/>
                    <w:jc w:val="center"/>
                    <w:rPr>
                      <w:color w:val="auto"/>
                      <w:highlight w:val="none"/>
                    </w:rPr>
                  </w:pPr>
                  <w:r>
                    <w:rPr>
                      <w:color w:val="auto"/>
                      <w:highlight w:val="none"/>
                    </w:rPr>
                    <w:t>产品库房</w:t>
                  </w:r>
                </w:p>
              </w:tc>
              <w:tc>
                <w:tcPr>
                  <w:tcW w:w="2873" w:type="pct"/>
                  <w:vAlign w:val="center"/>
                </w:tcPr>
                <w:p w14:paraId="0AF73D9F">
                  <w:pPr>
                    <w:adjustRightInd w:val="0"/>
                    <w:snapToGrid w:val="0"/>
                    <w:spacing w:line="300" w:lineRule="exact"/>
                    <w:jc w:val="center"/>
                    <w:rPr>
                      <w:color w:val="auto"/>
                      <w:highlight w:val="none"/>
                    </w:rPr>
                  </w:pPr>
                  <w:r>
                    <w:rPr>
                      <w:color w:val="auto"/>
                      <w:highlight w:val="none"/>
                    </w:rPr>
                    <w:t>主要用于产品暂存，位于1#厂房2F，建筑面积约20m</w:t>
                  </w:r>
                  <w:r>
                    <w:rPr>
                      <w:color w:val="auto"/>
                      <w:highlight w:val="none"/>
                      <w:vertAlign w:val="superscript"/>
                    </w:rPr>
                    <w:t>2</w:t>
                  </w:r>
                </w:p>
              </w:tc>
              <w:tc>
                <w:tcPr>
                  <w:tcW w:w="500" w:type="pct"/>
                  <w:vAlign w:val="center"/>
                </w:tcPr>
                <w:p w14:paraId="2EC5CA73">
                  <w:pPr>
                    <w:adjustRightInd w:val="0"/>
                    <w:snapToGrid w:val="0"/>
                    <w:spacing w:line="300" w:lineRule="exact"/>
                    <w:jc w:val="center"/>
                    <w:rPr>
                      <w:color w:val="auto"/>
                      <w:highlight w:val="none"/>
                    </w:rPr>
                  </w:pPr>
                  <w:r>
                    <w:rPr>
                      <w:color w:val="auto"/>
                      <w:highlight w:val="none"/>
                    </w:rPr>
                    <w:t>新建</w:t>
                  </w:r>
                </w:p>
              </w:tc>
            </w:tr>
            <w:tr w14:paraId="7081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50" w:type="pct"/>
                  <w:vMerge w:val="continue"/>
                  <w:vAlign w:val="center"/>
                </w:tcPr>
                <w:p w14:paraId="1DAB3183">
                  <w:pPr>
                    <w:adjustRightInd w:val="0"/>
                    <w:snapToGrid w:val="0"/>
                    <w:spacing w:line="300" w:lineRule="exact"/>
                    <w:jc w:val="center"/>
                    <w:rPr>
                      <w:color w:val="auto"/>
                      <w:highlight w:val="none"/>
                    </w:rPr>
                  </w:pPr>
                </w:p>
              </w:tc>
              <w:tc>
                <w:tcPr>
                  <w:tcW w:w="975" w:type="pct"/>
                  <w:gridSpan w:val="2"/>
                  <w:vAlign w:val="center"/>
                </w:tcPr>
                <w:p w14:paraId="0F6981C9">
                  <w:pPr>
                    <w:adjustRightInd w:val="0"/>
                    <w:snapToGrid w:val="0"/>
                    <w:spacing w:line="300" w:lineRule="exact"/>
                    <w:jc w:val="center"/>
                    <w:rPr>
                      <w:bCs/>
                      <w:color w:val="auto"/>
                      <w:szCs w:val="21"/>
                      <w:highlight w:val="none"/>
                    </w:rPr>
                  </w:pPr>
                  <w:r>
                    <w:rPr>
                      <w:bCs/>
                      <w:color w:val="auto"/>
                      <w:szCs w:val="21"/>
                      <w:highlight w:val="none"/>
                    </w:rPr>
                    <w:t>外部运输</w:t>
                  </w:r>
                </w:p>
              </w:tc>
              <w:tc>
                <w:tcPr>
                  <w:tcW w:w="2873" w:type="pct"/>
                  <w:vAlign w:val="center"/>
                </w:tcPr>
                <w:p w14:paraId="48C3F6D1">
                  <w:pPr>
                    <w:adjustRightInd w:val="0"/>
                    <w:snapToGrid w:val="0"/>
                    <w:spacing w:line="300" w:lineRule="exact"/>
                    <w:jc w:val="center"/>
                    <w:rPr>
                      <w:bCs/>
                      <w:color w:val="auto"/>
                      <w:szCs w:val="21"/>
                      <w:highlight w:val="none"/>
                    </w:rPr>
                  </w:pPr>
                  <w:r>
                    <w:rPr>
                      <w:bCs/>
                      <w:color w:val="auto"/>
                      <w:szCs w:val="21"/>
                      <w:highlight w:val="none"/>
                    </w:rPr>
                    <w:t>公路运输</w:t>
                  </w:r>
                </w:p>
              </w:tc>
              <w:tc>
                <w:tcPr>
                  <w:tcW w:w="500" w:type="pct"/>
                  <w:vAlign w:val="center"/>
                </w:tcPr>
                <w:p w14:paraId="7E3371EE">
                  <w:pPr>
                    <w:adjustRightInd w:val="0"/>
                    <w:snapToGrid w:val="0"/>
                    <w:spacing w:line="300" w:lineRule="exact"/>
                    <w:jc w:val="center"/>
                    <w:rPr>
                      <w:bCs/>
                      <w:color w:val="auto"/>
                      <w:szCs w:val="21"/>
                      <w:highlight w:val="none"/>
                    </w:rPr>
                  </w:pPr>
                  <w:r>
                    <w:rPr>
                      <w:bCs/>
                      <w:color w:val="auto"/>
                      <w:szCs w:val="21"/>
                      <w:highlight w:val="none"/>
                    </w:rPr>
                    <w:t>依托</w:t>
                  </w:r>
                </w:p>
              </w:tc>
            </w:tr>
            <w:tr w14:paraId="1975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pct"/>
                  <w:vMerge w:val="restart"/>
                  <w:vAlign w:val="center"/>
                </w:tcPr>
                <w:p w14:paraId="1E749340">
                  <w:pPr>
                    <w:adjustRightInd w:val="0"/>
                    <w:snapToGrid w:val="0"/>
                    <w:spacing w:line="300" w:lineRule="exact"/>
                    <w:jc w:val="center"/>
                    <w:rPr>
                      <w:bCs/>
                      <w:color w:val="auto"/>
                      <w:szCs w:val="21"/>
                      <w:highlight w:val="none"/>
                    </w:rPr>
                  </w:pPr>
                  <w:r>
                    <w:rPr>
                      <w:bCs/>
                      <w:color w:val="auto"/>
                      <w:szCs w:val="21"/>
                      <w:highlight w:val="none"/>
                    </w:rPr>
                    <w:t>环保工程</w:t>
                  </w:r>
                </w:p>
              </w:tc>
              <w:tc>
                <w:tcPr>
                  <w:tcW w:w="975" w:type="pct"/>
                  <w:gridSpan w:val="2"/>
                  <w:vMerge w:val="restart"/>
                  <w:vAlign w:val="center"/>
                </w:tcPr>
                <w:p w14:paraId="444381DA">
                  <w:pPr>
                    <w:adjustRightInd w:val="0"/>
                    <w:snapToGrid w:val="0"/>
                    <w:spacing w:line="300" w:lineRule="exact"/>
                    <w:jc w:val="center"/>
                    <w:rPr>
                      <w:bCs/>
                      <w:color w:val="auto"/>
                      <w:szCs w:val="21"/>
                      <w:highlight w:val="none"/>
                    </w:rPr>
                  </w:pPr>
                  <w:r>
                    <w:rPr>
                      <w:bCs/>
                      <w:color w:val="auto"/>
                      <w:szCs w:val="21"/>
                      <w:highlight w:val="none"/>
                    </w:rPr>
                    <w:t>废水</w:t>
                  </w:r>
                </w:p>
              </w:tc>
              <w:tc>
                <w:tcPr>
                  <w:tcW w:w="2873" w:type="pct"/>
                  <w:vAlign w:val="center"/>
                </w:tcPr>
                <w:p w14:paraId="589C3EA6">
                  <w:pPr>
                    <w:pStyle w:val="9"/>
                    <w:spacing w:line="300" w:lineRule="exact"/>
                    <w:jc w:val="center"/>
                    <w:rPr>
                      <w:rFonts w:ascii="Times New Roman" w:hAnsi="Times New Roman"/>
                      <w:bCs/>
                      <w:color w:val="auto"/>
                      <w:szCs w:val="21"/>
                      <w:highlight w:val="none"/>
                    </w:rPr>
                  </w:pPr>
                  <w:r>
                    <w:rPr>
                      <w:rFonts w:ascii="Times New Roman" w:hAnsi="Times New Roman"/>
                      <w:bCs/>
                      <w:color w:val="auto"/>
                      <w:szCs w:val="21"/>
                      <w:highlight w:val="none"/>
                    </w:rPr>
                    <w:t>新建一套生产废水处理设施，设计处理能力15</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/d</w:t>
                  </w:r>
                  <w:r>
                    <w:rPr>
                      <w:rFonts w:ascii="Times New Roman" w:hAnsi="Times New Roman"/>
                      <w:bCs/>
                      <w:color w:val="auto"/>
                      <w:szCs w:val="21"/>
                      <w:highlight w:val="none"/>
                    </w:rPr>
                    <w:t>，处理达到《淀粉工业水污染物排放限值》（GB25461-2010）表2中的间接排放标准后排入低浓度污水管网，经</w:t>
                  </w:r>
                  <w:r>
                    <w:rPr>
                      <w:rFonts w:ascii="Times New Roman" w:hAnsi="Times New Roman"/>
                      <w:color w:val="auto"/>
                      <w:szCs w:val="21"/>
                      <w:highlight w:val="none"/>
                    </w:rPr>
                    <w:t>龙市镇工业污水处理厂进一步处理达《城镇污水处理厂污染物排放标准》（GB18918－2002）一级A标准</w:t>
                  </w:r>
                  <w:r>
                    <w:rPr>
                      <w:rFonts w:ascii="Times New Roman" w:hAnsi="Times New Roman"/>
                      <w:color w:val="auto"/>
                      <w:kern w:val="0"/>
                      <w:szCs w:val="21"/>
                      <w:highlight w:val="none"/>
                    </w:rPr>
                    <w:t>外排地表水体</w:t>
                  </w:r>
                </w:p>
              </w:tc>
              <w:tc>
                <w:tcPr>
                  <w:tcW w:w="500" w:type="pct"/>
                  <w:vAlign w:val="center"/>
                </w:tcPr>
                <w:p w14:paraId="03722D7B">
                  <w:pPr>
                    <w:adjustRightInd w:val="0"/>
                    <w:snapToGrid w:val="0"/>
                    <w:spacing w:line="300" w:lineRule="exact"/>
                    <w:jc w:val="center"/>
                    <w:rPr>
                      <w:bCs/>
                      <w:color w:val="auto"/>
                      <w:szCs w:val="21"/>
                      <w:highlight w:val="none"/>
                    </w:rPr>
                  </w:pPr>
                  <w:r>
                    <w:rPr>
                      <w:bCs/>
                      <w:color w:val="auto"/>
                      <w:szCs w:val="21"/>
                      <w:highlight w:val="none"/>
                    </w:rPr>
                    <w:t>新建</w:t>
                  </w:r>
                </w:p>
              </w:tc>
            </w:tr>
            <w:tr w14:paraId="592E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pct"/>
                  <w:vMerge w:val="continue"/>
                  <w:vAlign w:val="center"/>
                </w:tcPr>
                <w:p w14:paraId="11DD2C4E">
                  <w:pPr>
                    <w:adjustRightInd w:val="0"/>
                    <w:snapToGrid w:val="0"/>
                    <w:spacing w:line="300" w:lineRule="exact"/>
                    <w:jc w:val="center"/>
                    <w:rPr>
                      <w:color w:val="auto"/>
                      <w:highlight w:val="none"/>
                    </w:rPr>
                  </w:pPr>
                </w:p>
              </w:tc>
              <w:tc>
                <w:tcPr>
                  <w:tcW w:w="975" w:type="pct"/>
                  <w:gridSpan w:val="2"/>
                  <w:vMerge w:val="continue"/>
                  <w:vAlign w:val="center"/>
                </w:tcPr>
                <w:p w14:paraId="74619779">
                  <w:pPr>
                    <w:adjustRightInd w:val="0"/>
                    <w:snapToGrid w:val="0"/>
                    <w:spacing w:line="300" w:lineRule="exact"/>
                    <w:jc w:val="center"/>
                    <w:rPr>
                      <w:bCs/>
                      <w:color w:val="auto"/>
                      <w:szCs w:val="21"/>
                      <w:highlight w:val="none"/>
                    </w:rPr>
                  </w:pPr>
                </w:p>
              </w:tc>
              <w:tc>
                <w:tcPr>
                  <w:tcW w:w="2873" w:type="pct"/>
                  <w:vAlign w:val="center"/>
                </w:tcPr>
                <w:p w14:paraId="48C0D6FA">
                  <w:pPr>
                    <w:widowControl/>
                    <w:spacing w:line="300" w:lineRule="exact"/>
                    <w:jc w:val="center"/>
                    <w:rPr>
                      <w:bCs/>
                      <w:color w:val="auto"/>
                      <w:szCs w:val="21"/>
                      <w:highlight w:val="none"/>
                    </w:rPr>
                  </w:pPr>
                  <w:r>
                    <w:rPr>
                      <w:bCs/>
                      <w:color w:val="auto"/>
                      <w:szCs w:val="21"/>
                      <w:highlight w:val="none"/>
                    </w:rPr>
                    <w:t>本项目厂内不设食宿，员工办公及卫生间均依托</w:t>
                  </w:r>
                  <w:r>
                    <w:rPr>
                      <w:rFonts w:hint="eastAsia"/>
                      <w:bCs/>
                      <w:color w:val="auto"/>
                      <w:szCs w:val="21"/>
                      <w:highlight w:val="none"/>
                    </w:rPr>
                    <w:t>厨鼎食品公司</w:t>
                  </w:r>
                  <w:r>
                    <w:rPr>
                      <w:bCs/>
                      <w:color w:val="auto"/>
                      <w:szCs w:val="21"/>
                      <w:highlight w:val="none"/>
                    </w:rPr>
                    <w:t>，员工产生的生活污水无法单独分开收集处理，因此本项目员工产生的生活污水依托</w:t>
                  </w:r>
                  <w:r>
                    <w:rPr>
                      <w:rFonts w:hint="eastAsia"/>
                      <w:bCs/>
                      <w:color w:val="auto"/>
                      <w:szCs w:val="21"/>
                      <w:highlight w:val="none"/>
                    </w:rPr>
                    <w:t>厨鼎食品公司</w:t>
                  </w:r>
                  <w:r>
                    <w:rPr>
                      <w:bCs/>
                      <w:color w:val="auto"/>
                      <w:szCs w:val="21"/>
                      <w:highlight w:val="none"/>
                    </w:rPr>
                    <w:t>现有生活污水处理措施收集，通过已建化粪池收集预处理后经高浓度专用管道接入龙市镇工业污水处理厂。</w:t>
                  </w:r>
                </w:p>
              </w:tc>
              <w:tc>
                <w:tcPr>
                  <w:tcW w:w="500" w:type="pct"/>
                  <w:vAlign w:val="center"/>
                </w:tcPr>
                <w:p w14:paraId="01E799F5">
                  <w:pPr>
                    <w:adjustRightInd w:val="0"/>
                    <w:snapToGrid w:val="0"/>
                    <w:spacing w:line="300" w:lineRule="exact"/>
                    <w:jc w:val="center"/>
                    <w:rPr>
                      <w:bCs/>
                      <w:color w:val="auto"/>
                      <w:szCs w:val="21"/>
                      <w:highlight w:val="none"/>
                    </w:rPr>
                  </w:pPr>
                  <w:r>
                    <w:rPr>
                      <w:bCs/>
                      <w:color w:val="auto"/>
                      <w:szCs w:val="21"/>
                      <w:highlight w:val="none"/>
                    </w:rPr>
                    <w:t>依托</w:t>
                  </w:r>
                </w:p>
              </w:tc>
            </w:tr>
            <w:tr w14:paraId="0FB0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pct"/>
                  <w:vMerge w:val="continue"/>
                  <w:vAlign w:val="center"/>
                </w:tcPr>
                <w:p w14:paraId="5A655791">
                  <w:pPr>
                    <w:adjustRightInd w:val="0"/>
                    <w:snapToGrid w:val="0"/>
                    <w:spacing w:line="300" w:lineRule="exact"/>
                    <w:jc w:val="center"/>
                    <w:rPr>
                      <w:color w:val="auto"/>
                      <w:highlight w:val="none"/>
                    </w:rPr>
                  </w:pPr>
                </w:p>
              </w:tc>
              <w:tc>
                <w:tcPr>
                  <w:tcW w:w="975" w:type="pct"/>
                  <w:gridSpan w:val="2"/>
                  <w:vAlign w:val="center"/>
                </w:tcPr>
                <w:p w14:paraId="5F7DB64B">
                  <w:pPr>
                    <w:adjustRightInd w:val="0"/>
                    <w:snapToGrid w:val="0"/>
                    <w:spacing w:line="300" w:lineRule="exact"/>
                    <w:jc w:val="center"/>
                    <w:rPr>
                      <w:bCs/>
                      <w:color w:val="auto"/>
                      <w:szCs w:val="21"/>
                      <w:highlight w:val="none"/>
                    </w:rPr>
                  </w:pPr>
                  <w:r>
                    <w:rPr>
                      <w:bCs/>
                      <w:color w:val="auto"/>
                      <w:szCs w:val="21"/>
                      <w:highlight w:val="none"/>
                    </w:rPr>
                    <w:t>废气</w:t>
                  </w:r>
                </w:p>
              </w:tc>
              <w:tc>
                <w:tcPr>
                  <w:tcW w:w="2873" w:type="pct"/>
                  <w:vAlign w:val="center"/>
                </w:tcPr>
                <w:p w14:paraId="1CBE511B">
                  <w:pPr>
                    <w:widowControl/>
                    <w:spacing w:line="300" w:lineRule="exact"/>
                    <w:jc w:val="center"/>
                    <w:rPr>
                      <w:bCs/>
                      <w:color w:val="auto"/>
                      <w:szCs w:val="21"/>
                      <w:highlight w:val="none"/>
                    </w:rPr>
                  </w:pPr>
                  <w:r>
                    <w:rPr>
                      <w:bCs/>
                      <w:color w:val="auto"/>
                      <w:szCs w:val="21"/>
                      <w:highlight w:val="none"/>
                    </w:rPr>
                    <w:t>主要为包装环节产生的微量颗粒物。在</w:t>
                  </w:r>
                  <w:r>
                    <w:rPr>
                      <w:color w:val="auto"/>
                      <w:szCs w:val="21"/>
                      <w:highlight w:val="none"/>
                    </w:rPr>
                    <w:t>封闭车间内自然沉降，安排人员定期清扫</w:t>
                  </w:r>
                  <w:r>
                    <w:rPr>
                      <w:color w:val="auto"/>
                      <w:kern w:val="0"/>
                      <w:szCs w:val="21"/>
                      <w:highlight w:val="none"/>
                      <w:lang w:bidi="ar"/>
                    </w:rPr>
                    <w:t>。</w:t>
                  </w:r>
                </w:p>
              </w:tc>
              <w:tc>
                <w:tcPr>
                  <w:tcW w:w="500" w:type="pct"/>
                  <w:vAlign w:val="center"/>
                </w:tcPr>
                <w:p w14:paraId="160F2E60">
                  <w:pPr>
                    <w:adjustRightInd w:val="0"/>
                    <w:snapToGrid w:val="0"/>
                    <w:spacing w:line="300" w:lineRule="exact"/>
                    <w:jc w:val="center"/>
                    <w:rPr>
                      <w:bCs/>
                      <w:color w:val="auto"/>
                      <w:szCs w:val="21"/>
                      <w:highlight w:val="none"/>
                    </w:rPr>
                  </w:pPr>
                  <w:r>
                    <w:rPr>
                      <w:bCs/>
                      <w:color w:val="auto"/>
                      <w:szCs w:val="21"/>
                      <w:highlight w:val="none"/>
                    </w:rPr>
                    <w:t>新建</w:t>
                  </w:r>
                </w:p>
              </w:tc>
            </w:tr>
            <w:tr w14:paraId="6F0C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650" w:type="pct"/>
                  <w:vMerge w:val="continue"/>
                  <w:vAlign w:val="center"/>
                </w:tcPr>
                <w:p w14:paraId="5BE56E55">
                  <w:pPr>
                    <w:adjustRightInd w:val="0"/>
                    <w:snapToGrid w:val="0"/>
                    <w:spacing w:line="300" w:lineRule="exact"/>
                    <w:jc w:val="center"/>
                    <w:rPr>
                      <w:bCs/>
                      <w:color w:val="auto"/>
                      <w:szCs w:val="21"/>
                      <w:highlight w:val="none"/>
                    </w:rPr>
                  </w:pPr>
                </w:p>
              </w:tc>
              <w:tc>
                <w:tcPr>
                  <w:tcW w:w="266" w:type="pct"/>
                  <w:vMerge w:val="restart"/>
                  <w:vAlign w:val="center"/>
                </w:tcPr>
                <w:p w14:paraId="02D154F6">
                  <w:pPr>
                    <w:adjustRightInd w:val="0"/>
                    <w:snapToGrid w:val="0"/>
                    <w:spacing w:line="300" w:lineRule="exact"/>
                    <w:jc w:val="center"/>
                    <w:rPr>
                      <w:bCs/>
                      <w:color w:val="auto"/>
                      <w:szCs w:val="21"/>
                      <w:highlight w:val="none"/>
                    </w:rPr>
                  </w:pPr>
                  <w:r>
                    <w:rPr>
                      <w:bCs/>
                      <w:color w:val="auto"/>
                      <w:szCs w:val="21"/>
                      <w:highlight w:val="none"/>
                    </w:rPr>
                    <w:t>固体废物</w:t>
                  </w:r>
                </w:p>
              </w:tc>
              <w:tc>
                <w:tcPr>
                  <w:tcW w:w="709" w:type="pct"/>
                  <w:vAlign w:val="center"/>
                </w:tcPr>
                <w:p w14:paraId="503051C9">
                  <w:pPr>
                    <w:adjustRightInd w:val="0"/>
                    <w:snapToGrid w:val="0"/>
                    <w:spacing w:line="300" w:lineRule="exact"/>
                    <w:jc w:val="center"/>
                    <w:rPr>
                      <w:bCs/>
                      <w:color w:val="auto"/>
                      <w:szCs w:val="21"/>
                      <w:highlight w:val="none"/>
                    </w:rPr>
                  </w:pPr>
                  <w:r>
                    <w:rPr>
                      <w:bCs/>
                      <w:color w:val="auto"/>
                      <w:szCs w:val="21"/>
                      <w:highlight w:val="none"/>
                    </w:rPr>
                    <w:t>一般工业固体废物</w:t>
                  </w:r>
                </w:p>
              </w:tc>
              <w:tc>
                <w:tcPr>
                  <w:tcW w:w="2873" w:type="pct"/>
                  <w:vAlign w:val="center"/>
                </w:tcPr>
                <w:p w14:paraId="0DC62408">
                  <w:pPr>
                    <w:adjustRightInd w:val="0"/>
                    <w:snapToGrid w:val="0"/>
                    <w:spacing w:line="300" w:lineRule="exact"/>
                    <w:jc w:val="center"/>
                    <w:rPr>
                      <w:bCs/>
                      <w:color w:val="auto"/>
                      <w:szCs w:val="21"/>
                      <w:highlight w:val="none"/>
                    </w:rPr>
                  </w:pPr>
                  <w:r>
                    <w:rPr>
                      <w:bCs/>
                      <w:color w:val="auto"/>
                      <w:szCs w:val="21"/>
                      <w:highlight w:val="none"/>
                    </w:rPr>
                    <w:t>主要为生产过程中产生的葛根渣及包装环节产生的废包装。设1个一般固体废物暂存间，1#暂存间面积为10m</w:t>
                  </w:r>
                  <w:r>
                    <w:rPr>
                      <w:bCs/>
                      <w:color w:val="auto"/>
                      <w:szCs w:val="21"/>
                      <w:highlight w:val="none"/>
                      <w:vertAlign w:val="superscript"/>
                    </w:rPr>
                    <w:t>2</w:t>
                  </w:r>
                  <w:r>
                    <w:rPr>
                      <w:bCs/>
                      <w:color w:val="auto"/>
                      <w:szCs w:val="21"/>
                      <w:highlight w:val="none"/>
                    </w:rPr>
                    <w:t>。设置垃圾箱单独收集，葛根渣交由</w:t>
                  </w:r>
                  <w:r>
                    <w:rPr>
                      <w:color w:val="auto"/>
                      <w:szCs w:val="21"/>
                      <w:highlight w:val="none"/>
                    </w:rPr>
                    <w:t>重庆市合川区钵耳山高粱种植农民专业合作社用于农业生产、土壤改良、农作物种植等方式进行回收利用处理；废包装经收集后出售给废品回收单位。</w:t>
                  </w:r>
                </w:p>
              </w:tc>
              <w:tc>
                <w:tcPr>
                  <w:tcW w:w="500" w:type="pct"/>
                  <w:vAlign w:val="center"/>
                </w:tcPr>
                <w:p w14:paraId="0F06D87D">
                  <w:pPr>
                    <w:adjustRightInd w:val="0"/>
                    <w:snapToGrid w:val="0"/>
                    <w:spacing w:line="300" w:lineRule="exact"/>
                    <w:jc w:val="center"/>
                    <w:rPr>
                      <w:bCs/>
                      <w:color w:val="auto"/>
                      <w:szCs w:val="21"/>
                      <w:highlight w:val="none"/>
                    </w:rPr>
                  </w:pPr>
                  <w:r>
                    <w:rPr>
                      <w:bCs/>
                      <w:color w:val="auto"/>
                      <w:szCs w:val="21"/>
                      <w:highlight w:val="none"/>
                    </w:rPr>
                    <w:t>新建</w:t>
                  </w:r>
                </w:p>
              </w:tc>
            </w:tr>
            <w:tr w14:paraId="5E85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50" w:type="pct"/>
                  <w:vMerge w:val="continue"/>
                  <w:vAlign w:val="center"/>
                </w:tcPr>
                <w:p w14:paraId="55ADAD8F">
                  <w:pPr>
                    <w:adjustRightInd w:val="0"/>
                    <w:snapToGrid w:val="0"/>
                    <w:spacing w:line="300" w:lineRule="exact"/>
                    <w:jc w:val="center"/>
                    <w:rPr>
                      <w:color w:val="auto"/>
                      <w:highlight w:val="none"/>
                    </w:rPr>
                  </w:pPr>
                </w:p>
              </w:tc>
              <w:tc>
                <w:tcPr>
                  <w:tcW w:w="266" w:type="pct"/>
                  <w:vMerge w:val="continue"/>
                  <w:vAlign w:val="center"/>
                </w:tcPr>
                <w:p w14:paraId="436547DF">
                  <w:pPr>
                    <w:adjustRightInd w:val="0"/>
                    <w:snapToGrid w:val="0"/>
                    <w:spacing w:line="300" w:lineRule="exact"/>
                    <w:jc w:val="center"/>
                    <w:rPr>
                      <w:color w:val="auto"/>
                      <w:highlight w:val="none"/>
                    </w:rPr>
                  </w:pPr>
                </w:p>
              </w:tc>
              <w:tc>
                <w:tcPr>
                  <w:tcW w:w="709" w:type="pct"/>
                  <w:vAlign w:val="center"/>
                </w:tcPr>
                <w:p w14:paraId="79C660EB">
                  <w:pPr>
                    <w:adjustRightInd w:val="0"/>
                    <w:snapToGrid w:val="0"/>
                    <w:spacing w:line="300" w:lineRule="exact"/>
                    <w:jc w:val="center"/>
                    <w:rPr>
                      <w:bCs/>
                      <w:color w:val="auto"/>
                      <w:szCs w:val="21"/>
                      <w:highlight w:val="none"/>
                    </w:rPr>
                  </w:pPr>
                  <w:r>
                    <w:rPr>
                      <w:bCs/>
                      <w:color w:val="auto"/>
                      <w:szCs w:val="21"/>
                      <w:highlight w:val="none"/>
                    </w:rPr>
                    <w:t>生活垃圾</w:t>
                  </w:r>
                </w:p>
              </w:tc>
              <w:tc>
                <w:tcPr>
                  <w:tcW w:w="2873" w:type="pct"/>
                  <w:vAlign w:val="center"/>
                </w:tcPr>
                <w:p w14:paraId="181BC335">
                  <w:pPr>
                    <w:adjustRightInd w:val="0"/>
                    <w:snapToGrid w:val="0"/>
                    <w:spacing w:line="300" w:lineRule="exact"/>
                    <w:jc w:val="center"/>
                    <w:rPr>
                      <w:bCs/>
                      <w:color w:val="auto"/>
                      <w:szCs w:val="21"/>
                      <w:highlight w:val="none"/>
                    </w:rPr>
                  </w:pPr>
                  <w:r>
                    <w:rPr>
                      <w:color w:val="auto"/>
                      <w:szCs w:val="21"/>
                      <w:highlight w:val="none"/>
                    </w:rPr>
                    <w:t>依托</w:t>
                  </w:r>
                  <w:r>
                    <w:rPr>
                      <w:rFonts w:hint="eastAsia"/>
                      <w:color w:val="auto"/>
                      <w:szCs w:val="21"/>
                      <w:highlight w:val="none"/>
                    </w:rPr>
                    <w:t>厨鼎食品公司</w:t>
                  </w:r>
                  <w:r>
                    <w:rPr>
                      <w:color w:val="auto"/>
                      <w:szCs w:val="21"/>
                      <w:highlight w:val="none"/>
                    </w:rPr>
                    <w:t>厂区垃圾桶收集，由环卫部门清运。</w:t>
                  </w:r>
                </w:p>
              </w:tc>
              <w:tc>
                <w:tcPr>
                  <w:tcW w:w="500" w:type="pct"/>
                  <w:vAlign w:val="center"/>
                </w:tcPr>
                <w:p w14:paraId="0151B780">
                  <w:pPr>
                    <w:adjustRightInd w:val="0"/>
                    <w:snapToGrid w:val="0"/>
                    <w:spacing w:line="300" w:lineRule="exact"/>
                    <w:jc w:val="center"/>
                    <w:rPr>
                      <w:bCs/>
                      <w:color w:val="auto"/>
                      <w:szCs w:val="21"/>
                      <w:highlight w:val="none"/>
                    </w:rPr>
                  </w:pPr>
                  <w:r>
                    <w:rPr>
                      <w:bCs/>
                      <w:color w:val="auto"/>
                      <w:szCs w:val="21"/>
                      <w:highlight w:val="none"/>
                    </w:rPr>
                    <w:t>依托</w:t>
                  </w:r>
                </w:p>
              </w:tc>
            </w:tr>
            <w:tr w14:paraId="6E20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pct"/>
                  <w:vMerge w:val="continue"/>
                  <w:vAlign w:val="center"/>
                </w:tcPr>
                <w:p w14:paraId="3592658E">
                  <w:pPr>
                    <w:adjustRightInd w:val="0"/>
                    <w:snapToGrid w:val="0"/>
                    <w:spacing w:line="300" w:lineRule="exact"/>
                    <w:jc w:val="center"/>
                    <w:rPr>
                      <w:color w:val="auto"/>
                      <w:highlight w:val="none"/>
                    </w:rPr>
                  </w:pPr>
                </w:p>
              </w:tc>
              <w:tc>
                <w:tcPr>
                  <w:tcW w:w="975" w:type="pct"/>
                  <w:gridSpan w:val="2"/>
                  <w:vAlign w:val="center"/>
                </w:tcPr>
                <w:p w14:paraId="70B5A49F">
                  <w:pPr>
                    <w:adjustRightInd w:val="0"/>
                    <w:snapToGrid w:val="0"/>
                    <w:spacing w:line="300" w:lineRule="exact"/>
                    <w:jc w:val="center"/>
                    <w:rPr>
                      <w:bCs/>
                      <w:color w:val="auto"/>
                      <w:szCs w:val="21"/>
                      <w:highlight w:val="none"/>
                    </w:rPr>
                  </w:pPr>
                  <w:r>
                    <w:rPr>
                      <w:bCs/>
                      <w:color w:val="auto"/>
                      <w:szCs w:val="21"/>
                      <w:highlight w:val="none"/>
                    </w:rPr>
                    <w:t>设备噪声</w:t>
                  </w:r>
                </w:p>
              </w:tc>
              <w:tc>
                <w:tcPr>
                  <w:tcW w:w="2873" w:type="pct"/>
                  <w:vAlign w:val="center"/>
                </w:tcPr>
                <w:p w14:paraId="0274D5B4">
                  <w:pPr>
                    <w:adjustRightInd w:val="0"/>
                    <w:snapToGrid w:val="0"/>
                    <w:spacing w:line="300" w:lineRule="exact"/>
                    <w:jc w:val="center"/>
                    <w:rPr>
                      <w:bCs/>
                      <w:color w:val="auto"/>
                      <w:szCs w:val="21"/>
                      <w:highlight w:val="none"/>
                    </w:rPr>
                  </w:pPr>
                  <w:r>
                    <w:rPr>
                      <w:color w:val="auto"/>
                      <w:szCs w:val="21"/>
                      <w:highlight w:val="none"/>
                    </w:rPr>
                    <w:t>采取基础减震、建筑隔声等措施</w:t>
                  </w:r>
                </w:p>
              </w:tc>
              <w:tc>
                <w:tcPr>
                  <w:tcW w:w="500" w:type="pct"/>
                  <w:vAlign w:val="center"/>
                </w:tcPr>
                <w:p w14:paraId="6B8244AB">
                  <w:pPr>
                    <w:adjustRightInd w:val="0"/>
                    <w:snapToGrid w:val="0"/>
                    <w:spacing w:line="300" w:lineRule="exact"/>
                    <w:jc w:val="center"/>
                    <w:rPr>
                      <w:bCs/>
                      <w:color w:val="auto"/>
                      <w:szCs w:val="21"/>
                      <w:highlight w:val="none"/>
                    </w:rPr>
                  </w:pPr>
                  <w:r>
                    <w:rPr>
                      <w:bCs/>
                      <w:color w:val="auto"/>
                      <w:szCs w:val="21"/>
                      <w:highlight w:val="none"/>
                    </w:rPr>
                    <w:t>新建</w:t>
                  </w:r>
                </w:p>
              </w:tc>
            </w:tr>
          </w:tbl>
          <w:p w14:paraId="1BFEC2AD">
            <w:pPr>
              <w:adjustRightInd w:val="0"/>
              <w:snapToGrid w:val="0"/>
              <w:rPr>
                <w:b/>
                <w:color w:val="auto"/>
                <w:sz w:val="24"/>
                <w:highlight w:val="none"/>
              </w:rPr>
            </w:pPr>
          </w:p>
          <w:p w14:paraId="5FE380B5">
            <w:pPr>
              <w:adjustRightInd w:val="0"/>
              <w:snapToGrid w:val="0"/>
              <w:spacing w:line="460" w:lineRule="exact"/>
              <w:rPr>
                <w:b/>
                <w:color w:val="auto"/>
                <w:sz w:val="24"/>
                <w:highlight w:val="none"/>
              </w:rPr>
            </w:pPr>
            <w:r>
              <w:rPr>
                <w:b/>
                <w:color w:val="auto"/>
                <w:sz w:val="24"/>
                <w:highlight w:val="none"/>
              </w:rPr>
              <w:t>2.3.2依托关系</w:t>
            </w:r>
          </w:p>
          <w:p w14:paraId="4D5D3CF4">
            <w:pPr>
              <w:adjustRightInd w:val="0"/>
              <w:snapToGrid w:val="0"/>
              <w:spacing w:line="460" w:lineRule="exact"/>
              <w:ind w:firstLine="480" w:firstLineChars="200"/>
              <w:rPr>
                <w:bCs/>
                <w:color w:val="auto"/>
                <w:sz w:val="24"/>
                <w:highlight w:val="none"/>
              </w:rPr>
            </w:pPr>
            <w:r>
              <w:rPr>
                <w:bCs/>
                <w:color w:val="auto"/>
                <w:sz w:val="24"/>
                <w:highlight w:val="none"/>
              </w:rPr>
              <w:t>本项目位于重庆市合川区龙市镇龙马大道7号，拟租赁</w:t>
            </w:r>
            <w:r>
              <w:rPr>
                <w:rFonts w:hint="eastAsia"/>
                <w:color w:val="auto"/>
                <w:sz w:val="24"/>
                <w:highlight w:val="none"/>
              </w:rPr>
              <w:t>厨鼎食品公司</w:t>
            </w:r>
            <w:r>
              <w:rPr>
                <w:color w:val="auto"/>
                <w:sz w:val="24"/>
                <w:highlight w:val="none"/>
              </w:rPr>
              <w:t>厂区1#</w:t>
            </w:r>
            <w:r>
              <w:rPr>
                <w:bCs/>
                <w:color w:val="auto"/>
                <w:sz w:val="24"/>
                <w:highlight w:val="none"/>
              </w:rPr>
              <w:t>闲置厂房1F和2F，用于建设本项目，租赁面积1100 m</w:t>
            </w:r>
            <w:r>
              <w:rPr>
                <w:bCs/>
                <w:color w:val="auto"/>
                <w:sz w:val="24"/>
                <w:highlight w:val="none"/>
                <w:vertAlign w:val="superscript"/>
              </w:rPr>
              <w:t>2</w:t>
            </w:r>
            <w:r>
              <w:rPr>
                <w:bCs/>
                <w:color w:val="auto"/>
                <w:sz w:val="24"/>
                <w:highlight w:val="none"/>
              </w:rPr>
              <w:t>。项目依托关系详见表2.3-2。</w:t>
            </w:r>
          </w:p>
          <w:p w14:paraId="78BB2898">
            <w:pPr>
              <w:adjustRightInd w:val="0"/>
              <w:snapToGrid w:val="0"/>
              <w:spacing w:line="460" w:lineRule="exact"/>
              <w:jc w:val="center"/>
              <w:rPr>
                <w:b/>
                <w:color w:val="auto"/>
                <w:sz w:val="24"/>
                <w:highlight w:val="none"/>
              </w:rPr>
            </w:pPr>
            <w:r>
              <w:rPr>
                <w:b/>
                <w:color w:val="auto"/>
                <w:sz w:val="24"/>
                <w:highlight w:val="none"/>
              </w:rPr>
              <w:t>表2.3-2 项目依托关系一览表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2"/>
              <w:gridCol w:w="5273"/>
              <w:gridCol w:w="1314"/>
            </w:tblGrid>
            <w:tr w14:paraId="245C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475E399D">
                  <w:pPr>
                    <w:adjustRightInd w:val="0"/>
                    <w:snapToGrid w:val="0"/>
                    <w:spacing w:line="300" w:lineRule="exact"/>
                    <w:jc w:val="center"/>
                    <w:rPr>
                      <w:bCs/>
                      <w:color w:val="auto"/>
                      <w:szCs w:val="21"/>
                      <w:highlight w:val="none"/>
                    </w:rPr>
                  </w:pPr>
                  <w:r>
                    <w:rPr>
                      <w:bCs/>
                      <w:color w:val="auto"/>
                      <w:szCs w:val="21"/>
                      <w:highlight w:val="none"/>
                    </w:rPr>
                    <w:t>序号</w:t>
                  </w:r>
                </w:p>
              </w:tc>
              <w:tc>
                <w:tcPr>
                  <w:tcW w:w="666" w:type="pct"/>
                  <w:vAlign w:val="center"/>
                </w:tcPr>
                <w:p w14:paraId="130EEE99">
                  <w:pPr>
                    <w:adjustRightInd w:val="0"/>
                    <w:snapToGrid w:val="0"/>
                    <w:spacing w:line="300" w:lineRule="exact"/>
                    <w:jc w:val="center"/>
                    <w:rPr>
                      <w:bCs/>
                      <w:color w:val="auto"/>
                      <w:szCs w:val="21"/>
                      <w:highlight w:val="none"/>
                    </w:rPr>
                  </w:pPr>
                  <w:r>
                    <w:rPr>
                      <w:bCs/>
                      <w:color w:val="auto"/>
                      <w:szCs w:val="21"/>
                      <w:highlight w:val="none"/>
                    </w:rPr>
                    <w:t>内容</w:t>
                  </w:r>
                </w:p>
              </w:tc>
              <w:tc>
                <w:tcPr>
                  <w:tcW w:w="3130" w:type="pct"/>
                  <w:vAlign w:val="center"/>
                </w:tcPr>
                <w:p w14:paraId="2CE6D95D">
                  <w:pPr>
                    <w:adjustRightInd w:val="0"/>
                    <w:snapToGrid w:val="0"/>
                    <w:spacing w:line="300" w:lineRule="exact"/>
                    <w:jc w:val="center"/>
                    <w:rPr>
                      <w:bCs/>
                      <w:color w:val="auto"/>
                      <w:szCs w:val="21"/>
                      <w:highlight w:val="none"/>
                    </w:rPr>
                  </w:pPr>
                  <w:r>
                    <w:rPr>
                      <w:bCs/>
                      <w:color w:val="auto"/>
                      <w:szCs w:val="21"/>
                      <w:highlight w:val="none"/>
                    </w:rPr>
                    <w:t>建设情况</w:t>
                  </w:r>
                </w:p>
              </w:tc>
              <w:tc>
                <w:tcPr>
                  <w:tcW w:w="780" w:type="pct"/>
                  <w:vAlign w:val="center"/>
                </w:tcPr>
                <w:p w14:paraId="76A640CF">
                  <w:pPr>
                    <w:adjustRightInd w:val="0"/>
                    <w:snapToGrid w:val="0"/>
                    <w:spacing w:line="300" w:lineRule="exact"/>
                    <w:jc w:val="center"/>
                    <w:rPr>
                      <w:bCs/>
                      <w:color w:val="auto"/>
                      <w:szCs w:val="21"/>
                      <w:highlight w:val="none"/>
                    </w:rPr>
                  </w:pPr>
                  <w:r>
                    <w:rPr>
                      <w:bCs/>
                      <w:color w:val="auto"/>
                      <w:szCs w:val="21"/>
                      <w:highlight w:val="none"/>
                    </w:rPr>
                    <w:t>依托可行性</w:t>
                  </w:r>
                </w:p>
              </w:tc>
            </w:tr>
            <w:tr w14:paraId="516F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43A054B8">
                  <w:pPr>
                    <w:adjustRightInd w:val="0"/>
                    <w:snapToGrid w:val="0"/>
                    <w:spacing w:line="300" w:lineRule="exact"/>
                    <w:jc w:val="center"/>
                    <w:rPr>
                      <w:bCs/>
                      <w:color w:val="auto"/>
                      <w:szCs w:val="21"/>
                      <w:highlight w:val="none"/>
                    </w:rPr>
                  </w:pPr>
                  <w:r>
                    <w:rPr>
                      <w:bCs/>
                      <w:color w:val="auto"/>
                      <w:szCs w:val="21"/>
                      <w:highlight w:val="none"/>
                    </w:rPr>
                    <w:t>1</w:t>
                  </w:r>
                </w:p>
              </w:tc>
              <w:tc>
                <w:tcPr>
                  <w:tcW w:w="666" w:type="pct"/>
                  <w:vAlign w:val="center"/>
                </w:tcPr>
                <w:p w14:paraId="782B5885">
                  <w:pPr>
                    <w:adjustRightInd w:val="0"/>
                    <w:snapToGrid w:val="0"/>
                    <w:spacing w:line="300" w:lineRule="exact"/>
                    <w:jc w:val="center"/>
                    <w:rPr>
                      <w:bCs/>
                      <w:color w:val="auto"/>
                      <w:szCs w:val="21"/>
                      <w:highlight w:val="none"/>
                    </w:rPr>
                  </w:pPr>
                  <w:r>
                    <w:rPr>
                      <w:bCs/>
                      <w:color w:val="auto"/>
                      <w:szCs w:val="21"/>
                      <w:highlight w:val="none"/>
                    </w:rPr>
                    <w:t>厂房</w:t>
                  </w:r>
                </w:p>
              </w:tc>
              <w:tc>
                <w:tcPr>
                  <w:tcW w:w="3130" w:type="pct"/>
                  <w:vAlign w:val="center"/>
                </w:tcPr>
                <w:p w14:paraId="6AE6BF10">
                  <w:pPr>
                    <w:adjustRightInd w:val="0"/>
                    <w:snapToGrid w:val="0"/>
                    <w:spacing w:line="300" w:lineRule="exact"/>
                    <w:jc w:val="center"/>
                    <w:rPr>
                      <w:bCs/>
                      <w:color w:val="auto"/>
                      <w:szCs w:val="21"/>
                      <w:highlight w:val="none"/>
                    </w:rPr>
                  </w:pPr>
                  <w:r>
                    <w:rPr>
                      <w:rFonts w:hint="eastAsia"/>
                      <w:bCs/>
                      <w:color w:val="auto"/>
                      <w:szCs w:val="21"/>
                      <w:highlight w:val="none"/>
                    </w:rPr>
                    <w:t>厨鼎食品公司</w:t>
                  </w:r>
                  <w:r>
                    <w:rPr>
                      <w:bCs/>
                      <w:color w:val="auto"/>
                      <w:szCs w:val="21"/>
                      <w:highlight w:val="none"/>
                    </w:rPr>
                    <w:t>生产项目均布置在2#厂房，1#厂房</w:t>
                  </w:r>
                  <w:r>
                    <w:rPr>
                      <w:rFonts w:hint="eastAsia"/>
                      <w:bCs/>
                      <w:color w:val="auto"/>
                      <w:szCs w:val="21"/>
                      <w:highlight w:val="none"/>
                    </w:rPr>
                    <w:t>未布置生产线，处于</w:t>
                  </w:r>
                  <w:r>
                    <w:rPr>
                      <w:bCs/>
                      <w:color w:val="auto"/>
                      <w:szCs w:val="21"/>
                      <w:highlight w:val="none"/>
                    </w:rPr>
                    <w:t>闲置</w:t>
                  </w:r>
                  <w:r>
                    <w:rPr>
                      <w:rFonts w:hint="eastAsia"/>
                      <w:bCs/>
                      <w:color w:val="auto"/>
                      <w:szCs w:val="21"/>
                      <w:highlight w:val="none"/>
                    </w:rPr>
                    <w:t>状态</w:t>
                  </w:r>
                  <w:r>
                    <w:rPr>
                      <w:bCs/>
                      <w:color w:val="auto"/>
                      <w:szCs w:val="21"/>
                      <w:highlight w:val="none"/>
                    </w:rPr>
                    <w:t>，本项目依托1#厂房1F和2F进行建设</w:t>
                  </w:r>
                </w:p>
              </w:tc>
              <w:tc>
                <w:tcPr>
                  <w:tcW w:w="780" w:type="pct"/>
                  <w:vAlign w:val="center"/>
                </w:tcPr>
                <w:p w14:paraId="734234FA">
                  <w:pPr>
                    <w:adjustRightInd w:val="0"/>
                    <w:snapToGrid w:val="0"/>
                    <w:spacing w:line="300" w:lineRule="exact"/>
                    <w:jc w:val="center"/>
                    <w:rPr>
                      <w:bCs/>
                      <w:color w:val="auto"/>
                      <w:szCs w:val="21"/>
                      <w:highlight w:val="none"/>
                    </w:rPr>
                  </w:pPr>
                  <w:r>
                    <w:rPr>
                      <w:bCs/>
                      <w:color w:val="auto"/>
                      <w:szCs w:val="21"/>
                      <w:highlight w:val="none"/>
                    </w:rPr>
                    <w:t>可行</w:t>
                  </w:r>
                </w:p>
              </w:tc>
            </w:tr>
            <w:tr w14:paraId="047F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69E405C9">
                  <w:pPr>
                    <w:adjustRightInd w:val="0"/>
                    <w:snapToGrid w:val="0"/>
                    <w:spacing w:line="300" w:lineRule="exact"/>
                    <w:jc w:val="center"/>
                    <w:rPr>
                      <w:bCs/>
                      <w:color w:val="auto"/>
                      <w:szCs w:val="21"/>
                      <w:highlight w:val="none"/>
                    </w:rPr>
                  </w:pPr>
                  <w:r>
                    <w:rPr>
                      <w:bCs/>
                      <w:color w:val="auto"/>
                      <w:szCs w:val="21"/>
                      <w:highlight w:val="none"/>
                    </w:rPr>
                    <w:t>2</w:t>
                  </w:r>
                </w:p>
              </w:tc>
              <w:tc>
                <w:tcPr>
                  <w:tcW w:w="666" w:type="pct"/>
                  <w:vAlign w:val="center"/>
                </w:tcPr>
                <w:p w14:paraId="21508F6F">
                  <w:pPr>
                    <w:adjustRightInd w:val="0"/>
                    <w:snapToGrid w:val="0"/>
                    <w:spacing w:line="300" w:lineRule="exact"/>
                    <w:jc w:val="center"/>
                    <w:rPr>
                      <w:bCs/>
                      <w:color w:val="auto"/>
                      <w:szCs w:val="21"/>
                      <w:highlight w:val="none"/>
                    </w:rPr>
                  </w:pPr>
                  <w:r>
                    <w:rPr>
                      <w:bCs/>
                      <w:color w:val="auto"/>
                      <w:szCs w:val="21"/>
                      <w:highlight w:val="none"/>
                    </w:rPr>
                    <w:t>供水</w:t>
                  </w:r>
                </w:p>
              </w:tc>
              <w:tc>
                <w:tcPr>
                  <w:tcW w:w="3130" w:type="pct"/>
                  <w:vAlign w:val="center"/>
                </w:tcPr>
                <w:p w14:paraId="2C674E68">
                  <w:pPr>
                    <w:adjustRightInd w:val="0"/>
                    <w:snapToGrid w:val="0"/>
                    <w:spacing w:line="300" w:lineRule="exact"/>
                    <w:jc w:val="center"/>
                    <w:rPr>
                      <w:bCs/>
                      <w:color w:val="auto"/>
                      <w:szCs w:val="21"/>
                      <w:highlight w:val="none"/>
                    </w:rPr>
                  </w:pPr>
                  <w:r>
                    <w:rPr>
                      <w:color w:val="auto"/>
                      <w:kern w:val="0"/>
                      <w:szCs w:val="21"/>
                      <w:highlight w:val="none"/>
                    </w:rPr>
                    <w:t>依托</w:t>
                  </w:r>
                  <w:r>
                    <w:rPr>
                      <w:rFonts w:hint="eastAsia"/>
                      <w:bCs/>
                      <w:color w:val="auto"/>
                      <w:szCs w:val="21"/>
                      <w:highlight w:val="none"/>
                    </w:rPr>
                    <w:t>厨鼎食品公司</w:t>
                  </w:r>
                  <w:r>
                    <w:rPr>
                      <w:bCs/>
                      <w:snapToGrid w:val="0"/>
                      <w:color w:val="auto"/>
                      <w:kern w:val="0"/>
                      <w:szCs w:val="21"/>
                      <w:highlight w:val="none"/>
                    </w:rPr>
                    <w:t>厂区</w:t>
                  </w:r>
                  <w:r>
                    <w:rPr>
                      <w:snapToGrid w:val="0"/>
                      <w:color w:val="auto"/>
                      <w:kern w:val="0"/>
                      <w:szCs w:val="21"/>
                      <w:highlight w:val="none"/>
                    </w:rPr>
                    <w:t>现有给水管网</w:t>
                  </w:r>
                  <w:r>
                    <w:rPr>
                      <w:color w:val="auto"/>
                      <w:kern w:val="0"/>
                      <w:szCs w:val="21"/>
                      <w:highlight w:val="none"/>
                    </w:rPr>
                    <w:t>提供，满足本项目生产需求</w:t>
                  </w:r>
                </w:p>
              </w:tc>
              <w:tc>
                <w:tcPr>
                  <w:tcW w:w="780" w:type="pct"/>
                  <w:vAlign w:val="center"/>
                </w:tcPr>
                <w:p w14:paraId="27389C6E">
                  <w:pPr>
                    <w:adjustRightInd w:val="0"/>
                    <w:snapToGrid w:val="0"/>
                    <w:spacing w:line="300" w:lineRule="exact"/>
                    <w:jc w:val="center"/>
                    <w:rPr>
                      <w:bCs/>
                      <w:color w:val="auto"/>
                      <w:szCs w:val="21"/>
                      <w:highlight w:val="none"/>
                    </w:rPr>
                  </w:pPr>
                  <w:r>
                    <w:rPr>
                      <w:bCs/>
                      <w:color w:val="auto"/>
                      <w:szCs w:val="21"/>
                      <w:highlight w:val="none"/>
                    </w:rPr>
                    <w:t>可行</w:t>
                  </w:r>
                </w:p>
              </w:tc>
            </w:tr>
            <w:tr w14:paraId="6D70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Align w:val="center"/>
                </w:tcPr>
                <w:p w14:paraId="17964653">
                  <w:pPr>
                    <w:adjustRightInd w:val="0"/>
                    <w:snapToGrid w:val="0"/>
                    <w:spacing w:line="300" w:lineRule="exact"/>
                    <w:jc w:val="center"/>
                    <w:rPr>
                      <w:bCs/>
                      <w:color w:val="auto"/>
                      <w:szCs w:val="21"/>
                      <w:highlight w:val="none"/>
                    </w:rPr>
                  </w:pPr>
                  <w:r>
                    <w:rPr>
                      <w:bCs/>
                      <w:color w:val="auto"/>
                      <w:szCs w:val="21"/>
                      <w:highlight w:val="none"/>
                    </w:rPr>
                    <w:t>3</w:t>
                  </w:r>
                </w:p>
              </w:tc>
              <w:tc>
                <w:tcPr>
                  <w:tcW w:w="666" w:type="pct"/>
                  <w:vAlign w:val="center"/>
                </w:tcPr>
                <w:p w14:paraId="79C6D557">
                  <w:pPr>
                    <w:adjustRightInd w:val="0"/>
                    <w:snapToGrid w:val="0"/>
                    <w:spacing w:line="300" w:lineRule="exact"/>
                    <w:jc w:val="center"/>
                    <w:rPr>
                      <w:bCs/>
                      <w:color w:val="auto"/>
                      <w:szCs w:val="21"/>
                      <w:highlight w:val="none"/>
                    </w:rPr>
                  </w:pPr>
                  <w:r>
                    <w:rPr>
                      <w:bCs/>
                      <w:color w:val="auto"/>
                      <w:szCs w:val="21"/>
                      <w:highlight w:val="none"/>
                    </w:rPr>
                    <w:t>供电</w:t>
                  </w:r>
                </w:p>
              </w:tc>
              <w:tc>
                <w:tcPr>
                  <w:tcW w:w="3130" w:type="pct"/>
                  <w:vAlign w:val="center"/>
                </w:tcPr>
                <w:p w14:paraId="6A0F7BBA">
                  <w:pPr>
                    <w:adjustRightInd w:val="0"/>
                    <w:snapToGrid w:val="0"/>
                    <w:spacing w:line="300" w:lineRule="exact"/>
                    <w:jc w:val="center"/>
                    <w:rPr>
                      <w:bCs/>
                      <w:color w:val="auto"/>
                      <w:szCs w:val="21"/>
                      <w:highlight w:val="none"/>
                    </w:rPr>
                  </w:pPr>
                  <w:r>
                    <w:rPr>
                      <w:color w:val="auto"/>
                      <w:szCs w:val="21"/>
                      <w:highlight w:val="none"/>
                    </w:rPr>
                    <w:t>依托</w:t>
                  </w:r>
                  <w:r>
                    <w:rPr>
                      <w:rFonts w:hint="eastAsia"/>
                      <w:bCs/>
                      <w:color w:val="auto"/>
                      <w:szCs w:val="21"/>
                      <w:highlight w:val="none"/>
                    </w:rPr>
                    <w:t>厨鼎食品公司</w:t>
                  </w:r>
                  <w:r>
                    <w:rPr>
                      <w:bCs/>
                      <w:snapToGrid w:val="0"/>
                      <w:color w:val="auto"/>
                      <w:szCs w:val="21"/>
                      <w:highlight w:val="none"/>
                    </w:rPr>
                    <w:t>厂区</w:t>
                  </w:r>
                  <w:r>
                    <w:rPr>
                      <w:color w:val="auto"/>
                      <w:szCs w:val="21"/>
                      <w:highlight w:val="none"/>
                    </w:rPr>
                    <w:t>现有供电系统提供，能够满足项目生产需求</w:t>
                  </w:r>
                </w:p>
              </w:tc>
              <w:tc>
                <w:tcPr>
                  <w:tcW w:w="780" w:type="pct"/>
                  <w:vAlign w:val="center"/>
                </w:tcPr>
                <w:p w14:paraId="6FEFBC62">
                  <w:pPr>
                    <w:adjustRightInd w:val="0"/>
                    <w:snapToGrid w:val="0"/>
                    <w:spacing w:line="300" w:lineRule="exact"/>
                    <w:jc w:val="center"/>
                    <w:rPr>
                      <w:bCs/>
                      <w:color w:val="auto"/>
                      <w:szCs w:val="21"/>
                      <w:highlight w:val="none"/>
                    </w:rPr>
                  </w:pPr>
                  <w:r>
                    <w:rPr>
                      <w:bCs/>
                      <w:color w:val="auto"/>
                      <w:szCs w:val="21"/>
                      <w:highlight w:val="none"/>
                    </w:rPr>
                    <w:t>可行</w:t>
                  </w:r>
                </w:p>
              </w:tc>
            </w:tr>
            <w:tr w14:paraId="00BE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Align w:val="center"/>
                </w:tcPr>
                <w:p w14:paraId="430C4760">
                  <w:pPr>
                    <w:adjustRightInd w:val="0"/>
                    <w:snapToGrid w:val="0"/>
                    <w:spacing w:line="300" w:lineRule="exact"/>
                    <w:jc w:val="center"/>
                    <w:rPr>
                      <w:bCs/>
                      <w:color w:val="auto"/>
                      <w:szCs w:val="21"/>
                      <w:highlight w:val="none"/>
                    </w:rPr>
                  </w:pPr>
                  <w:r>
                    <w:rPr>
                      <w:bCs/>
                      <w:color w:val="auto"/>
                      <w:szCs w:val="21"/>
                      <w:highlight w:val="none"/>
                    </w:rPr>
                    <w:t>4</w:t>
                  </w:r>
                </w:p>
              </w:tc>
              <w:tc>
                <w:tcPr>
                  <w:tcW w:w="666" w:type="pct"/>
                  <w:vAlign w:val="center"/>
                </w:tcPr>
                <w:p w14:paraId="7F8777DC">
                  <w:pPr>
                    <w:adjustRightInd w:val="0"/>
                    <w:snapToGrid w:val="0"/>
                    <w:spacing w:line="300" w:lineRule="exact"/>
                    <w:jc w:val="center"/>
                    <w:rPr>
                      <w:bCs/>
                      <w:color w:val="auto"/>
                      <w:szCs w:val="21"/>
                      <w:highlight w:val="none"/>
                    </w:rPr>
                  </w:pPr>
                  <w:r>
                    <w:rPr>
                      <w:color w:val="auto"/>
                      <w:highlight w:val="none"/>
                    </w:rPr>
                    <w:t>冷库</w:t>
                  </w:r>
                </w:p>
              </w:tc>
              <w:tc>
                <w:tcPr>
                  <w:tcW w:w="3130" w:type="pct"/>
                  <w:vAlign w:val="center"/>
                </w:tcPr>
                <w:p w14:paraId="78094E42">
                  <w:pPr>
                    <w:adjustRightInd w:val="0"/>
                    <w:snapToGrid w:val="0"/>
                    <w:spacing w:line="300" w:lineRule="exact"/>
                    <w:jc w:val="left"/>
                    <w:rPr>
                      <w:bCs/>
                      <w:color w:val="auto"/>
                      <w:szCs w:val="21"/>
                      <w:highlight w:val="none"/>
                    </w:rPr>
                  </w:pPr>
                  <w:r>
                    <w:rPr>
                      <w:bCs/>
                      <w:color w:val="auto"/>
                      <w:szCs w:val="21"/>
                      <w:highlight w:val="none"/>
                    </w:rPr>
                    <w:t>厨鼎共2座冷库，均采用R404A无氟制冷剂，温度5~-18℃。1座位于2#厂房1F，1座位于1#厂房1F，主要用于储存火锅底料生产中需冷冻保存的原料（固态牛油）、半成品和成品，目前2#厂房</w:t>
                  </w:r>
                  <w:r>
                    <w:rPr>
                      <w:color w:val="auto"/>
                      <w:highlight w:val="none"/>
                    </w:rPr>
                    <w:t>冷库</w:t>
                  </w:r>
                  <w:r>
                    <w:rPr>
                      <w:bCs/>
                      <w:color w:val="auto"/>
                      <w:szCs w:val="21"/>
                      <w:highlight w:val="none"/>
                    </w:rPr>
                    <w:t>可满足</w:t>
                  </w:r>
                  <w:r>
                    <w:rPr>
                      <w:rFonts w:hint="eastAsia"/>
                      <w:bCs/>
                      <w:color w:val="auto"/>
                      <w:szCs w:val="21"/>
                      <w:highlight w:val="none"/>
                    </w:rPr>
                    <w:t>厨鼎食品公司</w:t>
                  </w:r>
                  <w:r>
                    <w:rPr>
                      <w:bCs/>
                      <w:color w:val="auto"/>
                      <w:szCs w:val="21"/>
                      <w:highlight w:val="none"/>
                    </w:rPr>
                    <w:t>现有项目的储存要求，1#厂房中的冷库处于闲置状态。冷库最大储存量20t，可满足本项目4天生产需求，可满足本项目生产建设需要。</w:t>
                  </w:r>
                </w:p>
              </w:tc>
              <w:tc>
                <w:tcPr>
                  <w:tcW w:w="780" w:type="pct"/>
                  <w:vAlign w:val="center"/>
                </w:tcPr>
                <w:p w14:paraId="1C349D6A">
                  <w:pPr>
                    <w:adjustRightInd w:val="0"/>
                    <w:snapToGrid w:val="0"/>
                    <w:spacing w:line="300" w:lineRule="exact"/>
                    <w:jc w:val="center"/>
                    <w:rPr>
                      <w:bCs/>
                      <w:color w:val="auto"/>
                      <w:szCs w:val="21"/>
                      <w:highlight w:val="none"/>
                    </w:rPr>
                  </w:pPr>
                  <w:r>
                    <w:rPr>
                      <w:bCs/>
                      <w:color w:val="auto"/>
                      <w:szCs w:val="21"/>
                      <w:highlight w:val="none"/>
                    </w:rPr>
                    <w:t>可行</w:t>
                  </w:r>
                </w:p>
              </w:tc>
            </w:tr>
            <w:tr w14:paraId="7D9B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2" w:type="pct"/>
                  <w:vAlign w:val="center"/>
                </w:tcPr>
                <w:p w14:paraId="5F4703A5">
                  <w:pPr>
                    <w:adjustRightInd w:val="0"/>
                    <w:snapToGrid w:val="0"/>
                    <w:spacing w:line="300" w:lineRule="exact"/>
                    <w:jc w:val="center"/>
                    <w:rPr>
                      <w:bCs/>
                      <w:color w:val="auto"/>
                      <w:szCs w:val="21"/>
                      <w:highlight w:val="none"/>
                    </w:rPr>
                  </w:pPr>
                  <w:r>
                    <w:rPr>
                      <w:bCs/>
                      <w:color w:val="auto"/>
                      <w:szCs w:val="21"/>
                      <w:highlight w:val="none"/>
                    </w:rPr>
                    <w:t>5</w:t>
                  </w:r>
                </w:p>
              </w:tc>
              <w:tc>
                <w:tcPr>
                  <w:tcW w:w="666" w:type="pct"/>
                  <w:vAlign w:val="center"/>
                </w:tcPr>
                <w:p w14:paraId="36F57DD6">
                  <w:pPr>
                    <w:adjustRightInd w:val="0"/>
                    <w:snapToGrid w:val="0"/>
                    <w:spacing w:line="300" w:lineRule="exact"/>
                    <w:jc w:val="center"/>
                    <w:rPr>
                      <w:bCs/>
                      <w:color w:val="auto"/>
                      <w:szCs w:val="21"/>
                      <w:highlight w:val="none"/>
                    </w:rPr>
                  </w:pPr>
                  <w:r>
                    <w:rPr>
                      <w:bCs/>
                      <w:color w:val="auto"/>
                      <w:szCs w:val="21"/>
                      <w:highlight w:val="none"/>
                    </w:rPr>
                    <w:t>生活污水预处理</w:t>
                  </w:r>
                </w:p>
              </w:tc>
              <w:tc>
                <w:tcPr>
                  <w:tcW w:w="3130" w:type="pct"/>
                  <w:vAlign w:val="center"/>
                </w:tcPr>
                <w:p w14:paraId="44633A45">
                  <w:pPr>
                    <w:adjustRightInd w:val="0"/>
                    <w:snapToGrid w:val="0"/>
                    <w:spacing w:line="300" w:lineRule="exact"/>
                    <w:rPr>
                      <w:bCs/>
                      <w:color w:val="auto"/>
                      <w:highlight w:val="none"/>
                    </w:rPr>
                  </w:pPr>
                  <w:r>
                    <w:rPr>
                      <w:rFonts w:hint="eastAsia"/>
                      <w:color w:val="auto"/>
                      <w:szCs w:val="21"/>
                      <w:highlight w:val="none"/>
                    </w:rPr>
                    <w:t>厨鼎食品公司</w:t>
                  </w:r>
                  <w:r>
                    <w:rPr>
                      <w:color w:val="auto"/>
                      <w:szCs w:val="21"/>
                      <w:highlight w:val="none"/>
                    </w:rPr>
                    <w:t>与龙市镇工业污水处理厂签订了污水接管协议，于2022年开始，</w:t>
                  </w:r>
                  <w:r>
                    <w:rPr>
                      <w:rFonts w:hint="eastAsia"/>
                      <w:color w:val="auto"/>
                      <w:szCs w:val="21"/>
                      <w:highlight w:val="none"/>
                    </w:rPr>
                    <w:t>厨鼎食品公司</w:t>
                  </w:r>
                  <w:r>
                    <w:rPr>
                      <w:color w:val="auto"/>
                      <w:szCs w:val="21"/>
                      <w:highlight w:val="none"/>
                    </w:rPr>
                    <w:t>产生的生活污水经化粪池处理后与隔油池预处理后的生产废水进入收集池，综合污水达龙市镇工业污水处理厂接管协议标准后</w:t>
                  </w:r>
                  <w:r>
                    <w:rPr>
                      <w:bCs/>
                      <w:color w:val="auto"/>
                      <w:spacing w:val="-6"/>
                      <w:szCs w:val="21"/>
                      <w:highlight w:val="none"/>
                    </w:rPr>
                    <w:t>通过厂区支管接入园区高浓度废水主管道后进入</w:t>
                  </w:r>
                  <w:r>
                    <w:rPr>
                      <w:color w:val="auto"/>
                      <w:szCs w:val="21"/>
                      <w:highlight w:val="none"/>
                    </w:rPr>
                    <w:t>龙市镇工业污水处理厂处理。</w:t>
                  </w:r>
                  <w:r>
                    <w:rPr>
                      <w:rFonts w:hint="eastAsia"/>
                      <w:bCs/>
                      <w:color w:val="auto"/>
                      <w:szCs w:val="21"/>
                      <w:highlight w:val="none"/>
                    </w:rPr>
                    <w:t>厨鼎食品公司</w:t>
                  </w:r>
                  <w:r>
                    <w:rPr>
                      <w:bCs/>
                      <w:color w:val="auto"/>
                      <w:szCs w:val="21"/>
                      <w:highlight w:val="none"/>
                    </w:rPr>
                    <w:t xml:space="preserve">已建化粪池处理能力10 </w:t>
                  </w:r>
                  <w:r>
                    <w:rPr>
                      <w:color w:val="auto"/>
                      <w:szCs w:val="21"/>
                      <w:highlight w:val="none"/>
                    </w:rPr>
                    <w:t>m</w:t>
                  </w:r>
                  <w:r>
                    <w:rPr>
                      <w:color w:val="auto"/>
                      <w:szCs w:val="21"/>
                      <w:highlight w:val="none"/>
                      <w:vertAlign w:val="superscript"/>
                    </w:rPr>
                    <w:t>3</w:t>
                  </w:r>
                  <w:r>
                    <w:rPr>
                      <w:color w:val="auto"/>
                      <w:szCs w:val="21"/>
                      <w:highlight w:val="none"/>
                    </w:rPr>
                    <w:t>/d，现生活污水产生量约7.5 m</w:t>
                  </w:r>
                  <w:r>
                    <w:rPr>
                      <w:color w:val="auto"/>
                      <w:szCs w:val="21"/>
                      <w:highlight w:val="none"/>
                      <w:vertAlign w:val="superscript"/>
                    </w:rPr>
                    <w:t>3</w:t>
                  </w:r>
                  <w:r>
                    <w:rPr>
                      <w:color w:val="auto"/>
                      <w:szCs w:val="21"/>
                      <w:highlight w:val="none"/>
                    </w:rPr>
                    <w:t>/d，尚有2.5m</w:t>
                  </w:r>
                  <w:r>
                    <w:rPr>
                      <w:color w:val="auto"/>
                      <w:szCs w:val="21"/>
                      <w:highlight w:val="none"/>
                      <w:vertAlign w:val="superscript"/>
                    </w:rPr>
                    <w:t>3</w:t>
                  </w:r>
                  <w:r>
                    <w:rPr>
                      <w:color w:val="auto"/>
                      <w:szCs w:val="21"/>
                      <w:highlight w:val="none"/>
                    </w:rPr>
                    <w:t>/d的余量。本项目</w:t>
                  </w:r>
                  <w:r>
                    <w:rPr>
                      <w:bCs/>
                      <w:color w:val="auto"/>
                      <w:szCs w:val="21"/>
                      <w:highlight w:val="none"/>
                    </w:rPr>
                    <w:t>生活污水产生量为0.425</w:t>
                  </w:r>
                  <w:r>
                    <w:rPr>
                      <w:color w:val="auto"/>
                      <w:szCs w:val="21"/>
                      <w:highlight w:val="none"/>
                    </w:rPr>
                    <w:t>m</w:t>
                  </w:r>
                  <w:r>
                    <w:rPr>
                      <w:color w:val="auto"/>
                      <w:szCs w:val="21"/>
                      <w:highlight w:val="none"/>
                      <w:vertAlign w:val="superscript"/>
                    </w:rPr>
                    <w:t>3</w:t>
                  </w:r>
                  <w:r>
                    <w:rPr>
                      <w:color w:val="auto"/>
                      <w:szCs w:val="21"/>
                      <w:highlight w:val="none"/>
                    </w:rPr>
                    <w:t>/d，有能力接纳本项目产生的生活污水。</w:t>
                  </w:r>
                </w:p>
              </w:tc>
              <w:tc>
                <w:tcPr>
                  <w:tcW w:w="780" w:type="pct"/>
                  <w:vAlign w:val="center"/>
                </w:tcPr>
                <w:p w14:paraId="4A770D05">
                  <w:pPr>
                    <w:adjustRightInd w:val="0"/>
                    <w:snapToGrid w:val="0"/>
                    <w:spacing w:line="300" w:lineRule="exact"/>
                    <w:jc w:val="center"/>
                    <w:rPr>
                      <w:bCs/>
                      <w:color w:val="auto"/>
                      <w:szCs w:val="21"/>
                      <w:highlight w:val="none"/>
                    </w:rPr>
                  </w:pPr>
                  <w:r>
                    <w:rPr>
                      <w:bCs/>
                      <w:color w:val="auto"/>
                      <w:szCs w:val="21"/>
                      <w:highlight w:val="none"/>
                    </w:rPr>
                    <w:t>可行</w:t>
                  </w:r>
                </w:p>
              </w:tc>
            </w:tr>
          </w:tbl>
          <w:p w14:paraId="420E8153">
            <w:pPr>
              <w:adjustRightInd w:val="0"/>
              <w:snapToGrid w:val="0"/>
              <w:spacing w:line="460" w:lineRule="exact"/>
              <w:rPr>
                <w:b/>
                <w:color w:val="auto"/>
                <w:sz w:val="24"/>
                <w:highlight w:val="none"/>
              </w:rPr>
            </w:pPr>
            <w:r>
              <w:rPr>
                <w:b/>
                <w:color w:val="auto"/>
                <w:sz w:val="24"/>
                <w:highlight w:val="none"/>
              </w:rPr>
              <w:t>2.4主要原辅材料用量及能源消耗</w:t>
            </w:r>
          </w:p>
          <w:p w14:paraId="4E36FCBF">
            <w:pPr>
              <w:spacing w:line="460" w:lineRule="exact"/>
              <w:ind w:firstLine="480" w:firstLineChars="200"/>
              <w:rPr>
                <w:bCs/>
                <w:color w:val="auto"/>
                <w:sz w:val="24"/>
                <w:highlight w:val="none"/>
              </w:rPr>
            </w:pPr>
            <w:r>
              <w:rPr>
                <w:bCs/>
                <w:color w:val="auto"/>
                <w:sz w:val="24"/>
                <w:highlight w:val="none"/>
              </w:rPr>
              <w:t>本项目主要原辅材料为新鲜葛根，年用量为600t/a，具体见表2.4-1。</w:t>
            </w:r>
          </w:p>
          <w:p w14:paraId="0E965701">
            <w:pPr>
              <w:jc w:val="center"/>
              <w:rPr>
                <w:b/>
                <w:color w:val="auto"/>
                <w:sz w:val="24"/>
                <w:highlight w:val="none"/>
              </w:rPr>
            </w:pPr>
            <w:r>
              <w:rPr>
                <w:b/>
                <w:color w:val="auto"/>
                <w:sz w:val="24"/>
                <w:highlight w:val="none"/>
              </w:rPr>
              <w:t>表2.4-1 主要原辅材料消耗情况统计表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142"/>
              <w:gridCol w:w="1424"/>
              <w:gridCol w:w="1672"/>
              <w:gridCol w:w="1466"/>
              <w:gridCol w:w="1313"/>
            </w:tblGrid>
            <w:tr w14:paraId="684F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33" w:type="pct"/>
                  <w:vAlign w:val="center"/>
                </w:tcPr>
                <w:p w14:paraId="3CD48CE2">
                  <w:pPr>
                    <w:adjustRightInd w:val="0"/>
                    <w:snapToGrid w:val="0"/>
                    <w:jc w:val="center"/>
                    <w:rPr>
                      <w:bCs/>
                      <w:color w:val="auto"/>
                      <w:sz w:val="24"/>
                      <w:highlight w:val="none"/>
                    </w:rPr>
                  </w:pPr>
                  <w:r>
                    <w:rPr>
                      <w:bCs/>
                      <w:color w:val="auto"/>
                      <w:szCs w:val="21"/>
                      <w:highlight w:val="none"/>
                    </w:rPr>
                    <w:t>名称</w:t>
                  </w:r>
                </w:p>
              </w:tc>
              <w:tc>
                <w:tcPr>
                  <w:tcW w:w="678" w:type="pct"/>
                  <w:vAlign w:val="center"/>
                </w:tcPr>
                <w:p w14:paraId="039F1AB6">
                  <w:pPr>
                    <w:adjustRightInd w:val="0"/>
                    <w:snapToGrid w:val="0"/>
                    <w:jc w:val="center"/>
                    <w:rPr>
                      <w:bCs/>
                      <w:color w:val="auto"/>
                      <w:sz w:val="24"/>
                      <w:highlight w:val="none"/>
                    </w:rPr>
                  </w:pPr>
                  <w:r>
                    <w:rPr>
                      <w:bCs/>
                      <w:color w:val="auto"/>
                      <w:szCs w:val="21"/>
                      <w:highlight w:val="none"/>
                    </w:rPr>
                    <w:t>用量（t/a）</w:t>
                  </w:r>
                </w:p>
              </w:tc>
              <w:tc>
                <w:tcPr>
                  <w:tcW w:w="845" w:type="pct"/>
                  <w:vAlign w:val="center"/>
                </w:tcPr>
                <w:p w14:paraId="3640EC93">
                  <w:pPr>
                    <w:adjustRightInd w:val="0"/>
                    <w:snapToGrid w:val="0"/>
                    <w:jc w:val="center"/>
                    <w:rPr>
                      <w:bCs/>
                      <w:color w:val="auto"/>
                      <w:sz w:val="24"/>
                      <w:highlight w:val="none"/>
                    </w:rPr>
                  </w:pPr>
                  <w:r>
                    <w:rPr>
                      <w:bCs/>
                      <w:color w:val="auto"/>
                      <w:szCs w:val="21"/>
                      <w:highlight w:val="none"/>
                    </w:rPr>
                    <w:t>含水率（%）</w:t>
                  </w:r>
                </w:p>
              </w:tc>
              <w:tc>
                <w:tcPr>
                  <w:tcW w:w="992" w:type="pct"/>
                  <w:vAlign w:val="center"/>
                </w:tcPr>
                <w:p w14:paraId="3C56F7A2">
                  <w:pPr>
                    <w:adjustRightInd w:val="0"/>
                    <w:snapToGrid w:val="0"/>
                    <w:jc w:val="center"/>
                    <w:rPr>
                      <w:bCs/>
                      <w:color w:val="auto"/>
                      <w:sz w:val="24"/>
                      <w:highlight w:val="none"/>
                    </w:rPr>
                  </w:pPr>
                  <w:r>
                    <w:rPr>
                      <w:bCs/>
                      <w:color w:val="auto"/>
                      <w:szCs w:val="21"/>
                      <w:highlight w:val="none"/>
                    </w:rPr>
                    <w:t>淀粉含量（%）</w:t>
                  </w:r>
                </w:p>
              </w:tc>
              <w:tc>
                <w:tcPr>
                  <w:tcW w:w="870" w:type="pct"/>
                  <w:vAlign w:val="center"/>
                </w:tcPr>
                <w:p w14:paraId="21AD5DBB">
                  <w:pPr>
                    <w:adjustRightInd w:val="0"/>
                    <w:snapToGrid w:val="0"/>
                    <w:jc w:val="center"/>
                    <w:rPr>
                      <w:bCs/>
                      <w:color w:val="auto"/>
                      <w:sz w:val="24"/>
                      <w:highlight w:val="none"/>
                    </w:rPr>
                  </w:pPr>
                  <w:r>
                    <w:rPr>
                      <w:bCs/>
                      <w:color w:val="auto"/>
                      <w:szCs w:val="21"/>
                      <w:highlight w:val="none"/>
                    </w:rPr>
                    <w:t>最大储存量</w:t>
                  </w:r>
                </w:p>
              </w:tc>
              <w:tc>
                <w:tcPr>
                  <w:tcW w:w="779" w:type="pct"/>
                  <w:vAlign w:val="center"/>
                </w:tcPr>
                <w:p w14:paraId="154F9767">
                  <w:pPr>
                    <w:adjustRightInd w:val="0"/>
                    <w:snapToGrid w:val="0"/>
                    <w:jc w:val="center"/>
                    <w:rPr>
                      <w:bCs/>
                      <w:color w:val="auto"/>
                      <w:szCs w:val="21"/>
                      <w:highlight w:val="none"/>
                    </w:rPr>
                  </w:pPr>
                  <w:r>
                    <w:rPr>
                      <w:bCs/>
                      <w:color w:val="auto"/>
                      <w:szCs w:val="21"/>
                      <w:highlight w:val="none"/>
                    </w:rPr>
                    <w:t>存储位置</w:t>
                  </w:r>
                </w:p>
              </w:tc>
            </w:tr>
            <w:tr w14:paraId="119B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33" w:type="pct"/>
                  <w:vAlign w:val="center"/>
                </w:tcPr>
                <w:p w14:paraId="1A300A14">
                  <w:pPr>
                    <w:adjustRightInd w:val="0"/>
                    <w:snapToGrid w:val="0"/>
                    <w:jc w:val="center"/>
                    <w:rPr>
                      <w:bCs/>
                      <w:color w:val="auto"/>
                      <w:sz w:val="24"/>
                      <w:highlight w:val="none"/>
                    </w:rPr>
                  </w:pPr>
                  <w:r>
                    <w:rPr>
                      <w:bCs/>
                      <w:color w:val="auto"/>
                      <w:szCs w:val="21"/>
                      <w:highlight w:val="none"/>
                    </w:rPr>
                    <w:t>鲜葛根</w:t>
                  </w:r>
                </w:p>
              </w:tc>
              <w:tc>
                <w:tcPr>
                  <w:tcW w:w="678" w:type="pct"/>
                  <w:vAlign w:val="center"/>
                </w:tcPr>
                <w:p w14:paraId="154E1898">
                  <w:pPr>
                    <w:adjustRightInd w:val="0"/>
                    <w:snapToGrid w:val="0"/>
                    <w:jc w:val="center"/>
                    <w:rPr>
                      <w:bCs/>
                      <w:color w:val="auto"/>
                      <w:sz w:val="24"/>
                      <w:highlight w:val="none"/>
                    </w:rPr>
                  </w:pPr>
                  <w:r>
                    <w:rPr>
                      <w:bCs/>
                      <w:color w:val="auto"/>
                      <w:szCs w:val="21"/>
                      <w:highlight w:val="none"/>
                    </w:rPr>
                    <w:t>600</w:t>
                  </w:r>
                </w:p>
              </w:tc>
              <w:tc>
                <w:tcPr>
                  <w:tcW w:w="845" w:type="pct"/>
                  <w:vAlign w:val="center"/>
                </w:tcPr>
                <w:p w14:paraId="3B952E98">
                  <w:pPr>
                    <w:adjustRightInd w:val="0"/>
                    <w:snapToGrid w:val="0"/>
                    <w:jc w:val="center"/>
                    <w:rPr>
                      <w:bCs/>
                      <w:color w:val="auto"/>
                      <w:sz w:val="24"/>
                      <w:highlight w:val="none"/>
                    </w:rPr>
                  </w:pPr>
                  <w:r>
                    <w:rPr>
                      <w:bCs/>
                      <w:color w:val="auto"/>
                      <w:szCs w:val="21"/>
                      <w:highlight w:val="none"/>
                    </w:rPr>
                    <w:t>70</w:t>
                  </w:r>
                </w:p>
              </w:tc>
              <w:tc>
                <w:tcPr>
                  <w:tcW w:w="992" w:type="pct"/>
                  <w:vAlign w:val="center"/>
                </w:tcPr>
                <w:p w14:paraId="3CB39509">
                  <w:pPr>
                    <w:adjustRightInd w:val="0"/>
                    <w:snapToGrid w:val="0"/>
                    <w:jc w:val="center"/>
                    <w:rPr>
                      <w:bCs/>
                      <w:color w:val="auto"/>
                      <w:sz w:val="24"/>
                      <w:highlight w:val="none"/>
                    </w:rPr>
                  </w:pPr>
                  <w:r>
                    <w:rPr>
                      <w:bCs/>
                      <w:color w:val="auto"/>
                      <w:szCs w:val="21"/>
                      <w:highlight w:val="none"/>
                    </w:rPr>
                    <w:t>16~20</w:t>
                  </w:r>
                </w:p>
              </w:tc>
              <w:tc>
                <w:tcPr>
                  <w:tcW w:w="870" w:type="pct"/>
                  <w:vAlign w:val="center"/>
                </w:tcPr>
                <w:p w14:paraId="76FF38CB">
                  <w:pPr>
                    <w:adjustRightInd w:val="0"/>
                    <w:snapToGrid w:val="0"/>
                    <w:jc w:val="center"/>
                    <w:rPr>
                      <w:bCs/>
                      <w:color w:val="auto"/>
                      <w:sz w:val="24"/>
                      <w:highlight w:val="none"/>
                    </w:rPr>
                  </w:pPr>
                  <w:r>
                    <w:rPr>
                      <w:bCs/>
                      <w:color w:val="auto"/>
                      <w:szCs w:val="21"/>
                      <w:highlight w:val="none"/>
                    </w:rPr>
                    <w:t>20t</w:t>
                  </w:r>
                </w:p>
              </w:tc>
              <w:tc>
                <w:tcPr>
                  <w:tcW w:w="779" w:type="pct"/>
                  <w:vAlign w:val="center"/>
                </w:tcPr>
                <w:p w14:paraId="56F7B491">
                  <w:pPr>
                    <w:adjustRightInd w:val="0"/>
                    <w:snapToGrid w:val="0"/>
                    <w:jc w:val="center"/>
                    <w:rPr>
                      <w:bCs/>
                      <w:color w:val="auto"/>
                      <w:szCs w:val="21"/>
                      <w:highlight w:val="none"/>
                    </w:rPr>
                  </w:pPr>
                  <w:r>
                    <w:rPr>
                      <w:bCs/>
                      <w:color w:val="auto"/>
                      <w:szCs w:val="21"/>
                      <w:highlight w:val="none"/>
                    </w:rPr>
                    <w:t>鲜葛保鲜库</w:t>
                  </w:r>
                </w:p>
              </w:tc>
            </w:tr>
          </w:tbl>
          <w:p w14:paraId="19F9F1ED">
            <w:pPr>
              <w:spacing w:line="460" w:lineRule="exact"/>
              <w:ind w:firstLine="480" w:firstLineChars="200"/>
              <w:rPr>
                <w:bCs/>
                <w:color w:val="auto"/>
                <w:sz w:val="24"/>
                <w:highlight w:val="none"/>
              </w:rPr>
            </w:pPr>
            <w:r>
              <w:rPr>
                <w:bCs/>
                <w:color w:val="auto"/>
                <w:sz w:val="24"/>
                <w:highlight w:val="none"/>
              </w:rPr>
              <w:t>葛根属于被子植物门、豆科葛属植物。鲜葛根含水率约70%左右，含淀粉约16%～20%。根据葛根成熟及采挖时间，主要为每年10月～次年3月，因此本项目为季节性生产，每年生产约120天。建设单位主要从农户或当地农民专业合作社按批次收购新鲜葛根，暂存于本项目鲜葛保鲜库，最大储存量为20t，可供4天生产使用。本项目采用湿法生产葛根粉，产品得率约15%。</w:t>
            </w:r>
          </w:p>
          <w:p w14:paraId="63604837">
            <w:pPr>
              <w:adjustRightInd w:val="0"/>
              <w:snapToGrid w:val="0"/>
              <w:spacing w:line="460" w:lineRule="exact"/>
              <w:ind w:firstLine="480" w:firstLineChars="200"/>
              <w:rPr>
                <w:bCs/>
                <w:color w:val="auto"/>
                <w:sz w:val="24"/>
                <w:highlight w:val="none"/>
              </w:rPr>
            </w:pPr>
            <w:r>
              <w:rPr>
                <w:bCs/>
                <w:color w:val="auto"/>
                <w:sz w:val="24"/>
                <w:highlight w:val="none"/>
              </w:rPr>
              <w:t>本项目主要能源消耗为水和电，能源消耗情况见表2.4-2。</w:t>
            </w:r>
          </w:p>
          <w:p w14:paraId="4618E4F3">
            <w:pPr>
              <w:adjustRightInd w:val="0"/>
              <w:snapToGrid w:val="0"/>
              <w:spacing w:line="460" w:lineRule="exact"/>
              <w:jc w:val="center"/>
              <w:rPr>
                <w:b/>
                <w:color w:val="auto"/>
                <w:sz w:val="24"/>
                <w:highlight w:val="none"/>
              </w:rPr>
            </w:pPr>
            <w:r>
              <w:rPr>
                <w:b/>
                <w:color w:val="auto"/>
                <w:sz w:val="24"/>
                <w:highlight w:val="none"/>
              </w:rPr>
              <w:t>2.4-2 主要能源消耗统计表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361"/>
              <w:gridCol w:w="2084"/>
              <w:gridCol w:w="2066"/>
              <w:gridCol w:w="1686"/>
            </w:tblGrid>
            <w:tr w14:paraId="68C1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Align w:val="center"/>
                </w:tcPr>
                <w:p w14:paraId="1C54536A">
                  <w:pPr>
                    <w:adjustRightInd w:val="0"/>
                    <w:snapToGrid w:val="0"/>
                    <w:spacing w:line="300" w:lineRule="exact"/>
                    <w:jc w:val="center"/>
                    <w:rPr>
                      <w:bCs/>
                      <w:color w:val="auto"/>
                      <w:szCs w:val="21"/>
                      <w:highlight w:val="none"/>
                    </w:rPr>
                  </w:pPr>
                  <w:r>
                    <w:rPr>
                      <w:bCs/>
                      <w:color w:val="auto"/>
                      <w:szCs w:val="21"/>
                      <w:highlight w:val="none"/>
                    </w:rPr>
                    <w:t>序号</w:t>
                  </w:r>
                </w:p>
              </w:tc>
              <w:tc>
                <w:tcPr>
                  <w:tcW w:w="808" w:type="pct"/>
                  <w:vAlign w:val="center"/>
                </w:tcPr>
                <w:p w14:paraId="47120CE6">
                  <w:pPr>
                    <w:adjustRightInd w:val="0"/>
                    <w:snapToGrid w:val="0"/>
                    <w:spacing w:line="300" w:lineRule="exact"/>
                    <w:jc w:val="center"/>
                    <w:rPr>
                      <w:bCs/>
                      <w:color w:val="auto"/>
                      <w:szCs w:val="21"/>
                      <w:highlight w:val="none"/>
                    </w:rPr>
                  </w:pPr>
                  <w:r>
                    <w:rPr>
                      <w:bCs/>
                      <w:color w:val="auto"/>
                      <w:szCs w:val="21"/>
                      <w:highlight w:val="none"/>
                    </w:rPr>
                    <w:t>能源</w:t>
                  </w:r>
                </w:p>
              </w:tc>
              <w:tc>
                <w:tcPr>
                  <w:tcW w:w="1237" w:type="pct"/>
                  <w:vAlign w:val="center"/>
                </w:tcPr>
                <w:p w14:paraId="3B2D0804">
                  <w:pPr>
                    <w:adjustRightInd w:val="0"/>
                    <w:snapToGrid w:val="0"/>
                    <w:spacing w:line="300" w:lineRule="exact"/>
                    <w:jc w:val="center"/>
                    <w:rPr>
                      <w:bCs/>
                      <w:color w:val="auto"/>
                      <w:szCs w:val="21"/>
                      <w:highlight w:val="none"/>
                    </w:rPr>
                  </w:pPr>
                  <w:r>
                    <w:rPr>
                      <w:bCs/>
                      <w:color w:val="auto"/>
                      <w:szCs w:val="21"/>
                      <w:highlight w:val="none"/>
                    </w:rPr>
                    <w:t>单位</w:t>
                  </w:r>
                </w:p>
              </w:tc>
              <w:tc>
                <w:tcPr>
                  <w:tcW w:w="1226" w:type="pct"/>
                  <w:vAlign w:val="center"/>
                </w:tcPr>
                <w:p w14:paraId="2E88BA52">
                  <w:pPr>
                    <w:adjustRightInd w:val="0"/>
                    <w:snapToGrid w:val="0"/>
                    <w:spacing w:line="300" w:lineRule="exact"/>
                    <w:jc w:val="center"/>
                    <w:rPr>
                      <w:bCs/>
                      <w:color w:val="auto"/>
                      <w:szCs w:val="21"/>
                      <w:highlight w:val="none"/>
                    </w:rPr>
                  </w:pPr>
                  <w:r>
                    <w:rPr>
                      <w:bCs/>
                      <w:color w:val="auto"/>
                      <w:szCs w:val="21"/>
                      <w:highlight w:val="none"/>
                    </w:rPr>
                    <w:t>年消耗量</w:t>
                  </w:r>
                </w:p>
              </w:tc>
              <w:tc>
                <w:tcPr>
                  <w:tcW w:w="1000" w:type="pct"/>
                  <w:vAlign w:val="center"/>
                </w:tcPr>
                <w:p w14:paraId="45B5DC6A">
                  <w:pPr>
                    <w:adjustRightInd w:val="0"/>
                    <w:snapToGrid w:val="0"/>
                    <w:spacing w:line="300" w:lineRule="exact"/>
                    <w:jc w:val="center"/>
                    <w:rPr>
                      <w:bCs/>
                      <w:color w:val="auto"/>
                      <w:szCs w:val="21"/>
                      <w:highlight w:val="none"/>
                    </w:rPr>
                  </w:pPr>
                  <w:r>
                    <w:rPr>
                      <w:bCs/>
                      <w:color w:val="auto"/>
                      <w:szCs w:val="21"/>
                      <w:highlight w:val="none"/>
                    </w:rPr>
                    <w:t>来源</w:t>
                  </w:r>
                </w:p>
              </w:tc>
            </w:tr>
            <w:tr w14:paraId="5E92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Align w:val="center"/>
                </w:tcPr>
                <w:p w14:paraId="635DBB85">
                  <w:pPr>
                    <w:adjustRightInd w:val="0"/>
                    <w:snapToGrid w:val="0"/>
                    <w:spacing w:line="300" w:lineRule="exact"/>
                    <w:jc w:val="center"/>
                    <w:rPr>
                      <w:bCs/>
                      <w:color w:val="auto"/>
                      <w:szCs w:val="21"/>
                      <w:highlight w:val="none"/>
                    </w:rPr>
                  </w:pPr>
                  <w:r>
                    <w:rPr>
                      <w:bCs/>
                      <w:color w:val="auto"/>
                      <w:szCs w:val="21"/>
                      <w:highlight w:val="none"/>
                    </w:rPr>
                    <w:t>1</w:t>
                  </w:r>
                </w:p>
              </w:tc>
              <w:tc>
                <w:tcPr>
                  <w:tcW w:w="808" w:type="pct"/>
                  <w:vAlign w:val="center"/>
                </w:tcPr>
                <w:p w14:paraId="09AF6B25">
                  <w:pPr>
                    <w:adjustRightInd w:val="0"/>
                    <w:snapToGrid w:val="0"/>
                    <w:spacing w:line="300" w:lineRule="exact"/>
                    <w:jc w:val="center"/>
                    <w:rPr>
                      <w:bCs/>
                      <w:color w:val="auto"/>
                      <w:szCs w:val="21"/>
                      <w:highlight w:val="none"/>
                    </w:rPr>
                  </w:pPr>
                  <w:r>
                    <w:rPr>
                      <w:bCs/>
                      <w:color w:val="auto"/>
                      <w:szCs w:val="21"/>
                      <w:highlight w:val="none"/>
                    </w:rPr>
                    <w:t>水</w:t>
                  </w:r>
                </w:p>
              </w:tc>
              <w:tc>
                <w:tcPr>
                  <w:tcW w:w="1237" w:type="pct"/>
                  <w:vAlign w:val="center"/>
                </w:tcPr>
                <w:p w14:paraId="3A82B484">
                  <w:pPr>
                    <w:pStyle w:val="46"/>
                    <w:snapToGrid w:val="0"/>
                    <w:spacing w:line="300" w:lineRule="exact"/>
                    <w:rPr>
                      <w:bCs/>
                      <w:color w:val="auto"/>
                      <w:szCs w:val="21"/>
                      <w:highlight w:val="none"/>
                    </w:rPr>
                  </w:pPr>
                  <w:r>
                    <w:rPr>
                      <w:color w:val="auto"/>
                      <w:szCs w:val="21"/>
                      <w:highlight w:val="none"/>
                    </w:rPr>
                    <w:t>m</w:t>
                  </w:r>
                  <w:r>
                    <w:rPr>
                      <w:color w:val="auto"/>
                      <w:szCs w:val="21"/>
                      <w:highlight w:val="none"/>
                      <w:vertAlign w:val="superscript"/>
                    </w:rPr>
                    <w:t>3</w:t>
                  </w:r>
                  <w:r>
                    <w:rPr>
                      <w:color w:val="auto"/>
                      <w:szCs w:val="21"/>
                      <w:highlight w:val="none"/>
                    </w:rPr>
                    <w:t>/a</w:t>
                  </w:r>
                </w:p>
              </w:tc>
              <w:tc>
                <w:tcPr>
                  <w:tcW w:w="1226" w:type="pct"/>
                  <w:vAlign w:val="center"/>
                </w:tcPr>
                <w:p w14:paraId="05AB80AE">
                  <w:pPr>
                    <w:adjustRightInd w:val="0"/>
                    <w:snapToGrid w:val="0"/>
                    <w:spacing w:line="300" w:lineRule="exact"/>
                    <w:jc w:val="center"/>
                    <w:rPr>
                      <w:bCs/>
                      <w:color w:val="auto"/>
                      <w:szCs w:val="21"/>
                      <w:highlight w:val="none"/>
                    </w:rPr>
                  </w:pPr>
                  <w:r>
                    <w:rPr>
                      <w:bCs/>
                      <w:color w:val="auto"/>
                      <w:szCs w:val="21"/>
                      <w:highlight w:val="none"/>
                    </w:rPr>
                    <w:t>1391.994</w:t>
                  </w:r>
                </w:p>
              </w:tc>
              <w:tc>
                <w:tcPr>
                  <w:tcW w:w="1000" w:type="pct"/>
                  <w:vMerge w:val="restart"/>
                  <w:vAlign w:val="center"/>
                </w:tcPr>
                <w:p w14:paraId="5F43100D">
                  <w:pPr>
                    <w:adjustRightInd w:val="0"/>
                    <w:snapToGrid w:val="0"/>
                    <w:spacing w:line="300" w:lineRule="exact"/>
                    <w:jc w:val="center"/>
                    <w:rPr>
                      <w:bCs/>
                      <w:color w:val="auto"/>
                      <w:szCs w:val="21"/>
                      <w:highlight w:val="none"/>
                    </w:rPr>
                  </w:pPr>
                  <w:r>
                    <w:rPr>
                      <w:bCs/>
                      <w:color w:val="auto"/>
                      <w:szCs w:val="21"/>
                      <w:highlight w:val="none"/>
                    </w:rPr>
                    <w:t>市政供给</w:t>
                  </w:r>
                </w:p>
              </w:tc>
            </w:tr>
            <w:tr w14:paraId="6BC6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pct"/>
                  <w:vAlign w:val="center"/>
                </w:tcPr>
                <w:p w14:paraId="64D3D799">
                  <w:pPr>
                    <w:adjustRightInd w:val="0"/>
                    <w:snapToGrid w:val="0"/>
                    <w:spacing w:line="300" w:lineRule="exact"/>
                    <w:jc w:val="center"/>
                    <w:rPr>
                      <w:bCs/>
                      <w:color w:val="auto"/>
                      <w:szCs w:val="21"/>
                      <w:highlight w:val="none"/>
                    </w:rPr>
                  </w:pPr>
                  <w:r>
                    <w:rPr>
                      <w:bCs/>
                      <w:color w:val="auto"/>
                      <w:szCs w:val="21"/>
                      <w:highlight w:val="none"/>
                    </w:rPr>
                    <w:t>2</w:t>
                  </w:r>
                </w:p>
              </w:tc>
              <w:tc>
                <w:tcPr>
                  <w:tcW w:w="808" w:type="pct"/>
                  <w:vAlign w:val="center"/>
                </w:tcPr>
                <w:p w14:paraId="76469C39">
                  <w:pPr>
                    <w:adjustRightInd w:val="0"/>
                    <w:snapToGrid w:val="0"/>
                    <w:spacing w:line="300" w:lineRule="exact"/>
                    <w:jc w:val="center"/>
                    <w:rPr>
                      <w:bCs/>
                      <w:color w:val="auto"/>
                      <w:szCs w:val="21"/>
                      <w:highlight w:val="none"/>
                    </w:rPr>
                  </w:pPr>
                  <w:r>
                    <w:rPr>
                      <w:bCs/>
                      <w:color w:val="auto"/>
                      <w:szCs w:val="21"/>
                      <w:highlight w:val="none"/>
                    </w:rPr>
                    <w:t>电</w:t>
                  </w:r>
                </w:p>
              </w:tc>
              <w:tc>
                <w:tcPr>
                  <w:tcW w:w="1237" w:type="pct"/>
                  <w:vAlign w:val="center"/>
                </w:tcPr>
                <w:p w14:paraId="36A4EB1B">
                  <w:pPr>
                    <w:pStyle w:val="46"/>
                    <w:snapToGrid w:val="0"/>
                    <w:spacing w:line="300" w:lineRule="exact"/>
                    <w:rPr>
                      <w:bCs/>
                      <w:color w:val="auto"/>
                      <w:szCs w:val="21"/>
                      <w:highlight w:val="none"/>
                    </w:rPr>
                  </w:pPr>
                  <w:r>
                    <w:rPr>
                      <w:color w:val="auto"/>
                      <w:szCs w:val="21"/>
                      <w:highlight w:val="none"/>
                    </w:rPr>
                    <w:t>万kwh/a</w:t>
                  </w:r>
                </w:p>
              </w:tc>
              <w:tc>
                <w:tcPr>
                  <w:tcW w:w="1226" w:type="pct"/>
                  <w:vAlign w:val="center"/>
                </w:tcPr>
                <w:p w14:paraId="78E73BA6">
                  <w:pPr>
                    <w:adjustRightInd w:val="0"/>
                    <w:snapToGrid w:val="0"/>
                    <w:spacing w:line="300" w:lineRule="exact"/>
                    <w:jc w:val="center"/>
                    <w:rPr>
                      <w:bCs/>
                      <w:color w:val="auto"/>
                      <w:szCs w:val="21"/>
                      <w:highlight w:val="none"/>
                    </w:rPr>
                  </w:pPr>
                  <w:r>
                    <w:rPr>
                      <w:bCs/>
                      <w:color w:val="auto"/>
                      <w:szCs w:val="21"/>
                      <w:highlight w:val="none"/>
                    </w:rPr>
                    <w:t>10</w:t>
                  </w:r>
                </w:p>
              </w:tc>
              <w:tc>
                <w:tcPr>
                  <w:tcW w:w="1000" w:type="pct"/>
                  <w:vMerge w:val="continue"/>
                  <w:vAlign w:val="center"/>
                </w:tcPr>
                <w:p w14:paraId="2922CDDD">
                  <w:pPr>
                    <w:adjustRightInd w:val="0"/>
                    <w:snapToGrid w:val="0"/>
                    <w:spacing w:line="300" w:lineRule="exact"/>
                    <w:jc w:val="center"/>
                    <w:rPr>
                      <w:bCs/>
                      <w:color w:val="auto"/>
                      <w:szCs w:val="21"/>
                      <w:highlight w:val="none"/>
                    </w:rPr>
                  </w:pPr>
                </w:p>
              </w:tc>
            </w:tr>
          </w:tbl>
          <w:p w14:paraId="4A24443B">
            <w:pPr>
              <w:adjustRightInd w:val="0"/>
              <w:snapToGrid w:val="0"/>
              <w:spacing w:line="460" w:lineRule="exact"/>
              <w:rPr>
                <w:b/>
                <w:color w:val="auto"/>
                <w:sz w:val="24"/>
                <w:highlight w:val="none"/>
              </w:rPr>
            </w:pPr>
            <w:r>
              <w:rPr>
                <w:b/>
                <w:color w:val="auto"/>
                <w:sz w:val="24"/>
                <w:highlight w:val="none"/>
              </w:rPr>
              <w:t>2.5主要生产设备</w:t>
            </w:r>
          </w:p>
          <w:p w14:paraId="19356E25">
            <w:pPr>
              <w:adjustRightInd w:val="0"/>
              <w:snapToGrid w:val="0"/>
              <w:spacing w:line="460" w:lineRule="exact"/>
              <w:ind w:firstLine="480" w:firstLineChars="200"/>
              <w:rPr>
                <w:bCs/>
                <w:color w:val="auto"/>
                <w:sz w:val="24"/>
                <w:highlight w:val="none"/>
              </w:rPr>
            </w:pPr>
            <w:r>
              <w:rPr>
                <w:bCs/>
                <w:color w:val="auto"/>
                <w:sz w:val="24"/>
                <w:highlight w:val="none"/>
              </w:rPr>
              <w:t>本项目主要生产设备见表2.5-1。</w:t>
            </w:r>
          </w:p>
          <w:p w14:paraId="6B1B5940">
            <w:pPr>
              <w:adjustRightInd w:val="0"/>
              <w:snapToGrid w:val="0"/>
              <w:spacing w:line="460" w:lineRule="exact"/>
              <w:jc w:val="center"/>
              <w:rPr>
                <w:b/>
                <w:color w:val="auto"/>
                <w:sz w:val="24"/>
                <w:highlight w:val="none"/>
              </w:rPr>
            </w:pPr>
            <w:r>
              <w:rPr>
                <w:b/>
                <w:color w:val="auto"/>
                <w:sz w:val="24"/>
                <w:highlight w:val="none"/>
              </w:rPr>
              <w:t>表2.5-1  主要生产设备</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2087"/>
              <w:gridCol w:w="632"/>
              <w:gridCol w:w="541"/>
              <w:gridCol w:w="1263"/>
              <w:gridCol w:w="1767"/>
              <w:gridCol w:w="1496"/>
            </w:tblGrid>
            <w:tr w14:paraId="7CD7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0FE6C088">
                  <w:pPr>
                    <w:adjustRightInd w:val="0"/>
                    <w:snapToGrid w:val="0"/>
                    <w:spacing w:line="300" w:lineRule="exact"/>
                    <w:jc w:val="center"/>
                    <w:rPr>
                      <w:bCs/>
                      <w:color w:val="auto"/>
                      <w:szCs w:val="21"/>
                      <w:highlight w:val="none"/>
                    </w:rPr>
                  </w:pPr>
                  <w:r>
                    <w:rPr>
                      <w:bCs/>
                      <w:color w:val="auto"/>
                      <w:szCs w:val="21"/>
                      <w:highlight w:val="none"/>
                    </w:rPr>
                    <w:t>序号</w:t>
                  </w:r>
                </w:p>
              </w:tc>
              <w:tc>
                <w:tcPr>
                  <w:tcW w:w="1239" w:type="pct"/>
                  <w:vAlign w:val="center"/>
                </w:tcPr>
                <w:p w14:paraId="27E555DB">
                  <w:pPr>
                    <w:adjustRightInd w:val="0"/>
                    <w:snapToGrid w:val="0"/>
                    <w:spacing w:line="300" w:lineRule="exact"/>
                    <w:jc w:val="center"/>
                    <w:rPr>
                      <w:bCs/>
                      <w:color w:val="auto"/>
                      <w:szCs w:val="21"/>
                      <w:highlight w:val="none"/>
                    </w:rPr>
                  </w:pPr>
                  <w:r>
                    <w:rPr>
                      <w:bCs/>
                      <w:color w:val="auto"/>
                      <w:szCs w:val="21"/>
                      <w:highlight w:val="none"/>
                    </w:rPr>
                    <w:t>设备名称</w:t>
                  </w:r>
                </w:p>
              </w:tc>
              <w:tc>
                <w:tcPr>
                  <w:tcW w:w="375" w:type="pct"/>
                  <w:vAlign w:val="center"/>
                </w:tcPr>
                <w:p w14:paraId="49571B28">
                  <w:pPr>
                    <w:adjustRightInd w:val="0"/>
                    <w:snapToGrid w:val="0"/>
                    <w:spacing w:line="300" w:lineRule="exact"/>
                    <w:jc w:val="center"/>
                    <w:rPr>
                      <w:bCs/>
                      <w:color w:val="auto"/>
                      <w:szCs w:val="21"/>
                      <w:highlight w:val="none"/>
                    </w:rPr>
                  </w:pPr>
                  <w:r>
                    <w:rPr>
                      <w:bCs/>
                      <w:color w:val="auto"/>
                      <w:szCs w:val="21"/>
                      <w:highlight w:val="none"/>
                    </w:rPr>
                    <w:t>单位</w:t>
                  </w:r>
                </w:p>
              </w:tc>
              <w:tc>
                <w:tcPr>
                  <w:tcW w:w="321" w:type="pct"/>
                  <w:vAlign w:val="center"/>
                </w:tcPr>
                <w:p w14:paraId="7DAA0449">
                  <w:pPr>
                    <w:adjustRightInd w:val="0"/>
                    <w:snapToGrid w:val="0"/>
                    <w:spacing w:line="300" w:lineRule="exact"/>
                    <w:jc w:val="center"/>
                    <w:rPr>
                      <w:bCs/>
                      <w:color w:val="auto"/>
                      <w:szCs w:val="21"/>
                      <w:highlight w:val="none"/>
                    </w:rPr>
                  </w:pPr>
                  <w:r>
                    <w:rPr>
                      <w:bCs/>
                      <w:color w:val="auto"/>
                      <w:szCs w:val="21"/>
                      <w:highlight w:val="none"/>
                    </w:rPr>
                    <w:t>数量</w:t>
                  </w:r>
                </w:p>
              </w:tc>
              <w:tc>
                <w:tcPr>
                  <w:tcW w:w="750" w:type="pct"/>
                  <w:vAlign w:val="center"/>
                </w:tcPr>
                <w:p w14:paraId="0471F49B">
                  <w:pPr>
                    <w:adjustRightInd w:val="0"/>
                    <w:snapToGrid w:val="0"/>
                    <w:spacing w:line="300" w:lineRule="exact"/>
                    <w:jc w:val="center"/>
                    <w:rPr>
                      <w:bCs/>
                      <w:color w:val="auto"/>
                      <w:szCs w:val="21"/>
                      <w:highlight w:val="none"/>
                    </w:rPr>
                  </w:pPr>
                  <w:r>
                    <w:rPr>
                      <w:bCs/>
                      <w:color w:val="auto"/>
                      <w:szCs w:val="21"/>
                      <w:highlight w:val="none"/>
                    </w:rPr>
                    <w:t>型号</w:t>
                  </w:r>
                </w:p>
              </w:tc>
              <w:tc>
                <w:tcPr>
                  <w:tcW w:w="1049" w:type="pct"/>
                  <w:vAlign w:val="center"/>
                </w:tcPr>
                <w:p w14:paraId="3BAD53FE">
                  <w:pPr>
                    <w:adjustRightInd w:val="0"/>
                    <w:snapToGrid w:val="0"/>
                    <w:spacing w:line="300" w:lineRule="exact"/>
                    <w:jc w:val="center"/>
                    <w:rPr>
                      <w:bCs/>
                      <w:color w:val="auto"/>
                      <w:szCs w:val="21"/>
                      <w:highlight w:val="none"/>
                    </w:rPr>
                  </w:pPr>
                  <w:r>
                    <w:rPr>
                      <w:bCs/>
                      <w:color w:val="auto"/>
                      <w:szCs w:val="21"/>
                      <w:highlight w:val="none"/>
                    </w:rPr>
                    <w:t>用途</w:t>
                  </w:r>
                </w:p>
              </w:tc>
              <w:tc>
                <w:tcPr>
                  <w:tcW w:w="887" w:type="pct"/>
                  <w:vAlign w:val="center"/>
                </w:tcPr>
                <w:p w14:paraId="419DF00B">
                  <w:pPr>
                    <w:adjustRightInd w:val="0"/>
                    <w:snapToGrid w:val="0"/>
                    <w:spacing w:line="300" w:lineRule="exact"/>
                    <w:jc w:val="center"/>
                    <w:rPr>
                      <w:bCs/>
                      <w:color w:val="auto"/>
                      <w:szCs w:val="21"/>
                      <w:highlight w:val="none"/>
                    </w:rPr>
                  </w:pPr>
                  <w:r>
                    <w:rPr>
                      <w:bCs/>
                      <w:color w:val="auto"/>
                      <w:szCs w:val="21"/>
                      <w:highlight w:val="none"/>
                    </w:rPr>
                    <w:t>位置</w:t>
                  </w:r>
                </w:p>
              </w:tc>
            </w:tr>
            <w:tr w14:paraId="274F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5E8FB93A">
                  <w:pPr>
                    <w:adjustRightInd w:val="0"/>
                    <w:snapToGrid w:val="0"/>
                    <w:spacing w:line="300" w:lineRule="exact"/>
                    <w:jc w:val="left"/>
                    <w:rPr>
                      <w:b/>
                      <w:color w:val="auto"/>
                      <w:szCs w:val="21"/>
                      <w:highlight w:val="none"/>
                    </w:rPr>
                  </w:pPr>
                  <w:r>
                    <w:rPr>
                      <w:b/>
                      <w:color w:val="auto"/>
                      <w:szCs w:val="21"/>
                      <w:highlight w:val="none"/>
                    </w:rPr>
                    <w:t>一、</w:t>
                  </w:r>
                </w:p>
              </w:tc>
              <w:tc>
                <w:tcPr>
                  <w:tcW w:w="4622" w:type="pct"/>
                  <w:gridSpan w:val="6"/>
                  <w:vAlign w:val="center"/>
                </w:tcPr>
                <w:p w14:paraId="314E9B38">
                  <w:pPr>
                    <w:adjustRightInd w:val="0"/>
                    <w:snapToGrid w:val="0"/>
                    <w:spacing w:line="300" w:lineRule="exact"/>
                    <w:jc w:val="left"/>
                    <w:rPr>
                      <w:b/>
                      <w:color w:val="auto"/>
                      <w:szCs w:val="21"/>
                      <w:highlight w:val="none"/>
                    </w:rPr>
                  </w:pPr>
                  <w:r>
                    <w:rPr>
                      <w:b/>
                      <w:color w:val="auto"/>
                      <w:szCs w:val="21"/>
                      <w:highlight w:val="none"/>
                    </w:rPr>
                    <w:t>主要生产设备</w:t>
                  </w:r>
                </w:p>
              </w:tc>
            </w:tr>
            <w:tr w14:paraId="5F08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77" w:type="pct"/>
                  <w:vAlign w:val="center"/>
                </w:tcPr>
                <w:p w14:paraId="62DEE965">
                  <w:pPr>
                    <w:adjustRightInd w:val="0"/>
                    <w:snapToGrid w:val="0"/>
                    <w:spacing w:line="300" w:lineRule="exact"/>
                    <w:jc w:val="center"/>
                    <w:rPr>
                      <w:bCs/>
                      <w:color w:val="auto"/>
                      <w:szCs w:val="21"/>
                      <w:highlight w:val="none"/>
                    </w:rPr>
                  </w:pPr>
                  <w:r>
                    <w:rPr>
                      <w:bCs/>
                      <w:color w:val="auto"/>
                      <w:szCs w:val="21"/>
                      <w:highlight w:val="none"/>
                    </w:rPr>
                    <w:t>1</w:t>
                  </w:r>
                </w:p>
              </w:tc>
              <w:tc>
                <w:tcPr>
                  <w:tcW w:w="1239" w:type="pct"/>
                  <w:vAlign w:val="center"/>
                </w:tcPr>
                <w:p w14:paraId="73E45F3D">
                  <w:pPr>
                    <w:adjustRightInd w:val="0"/>
                    <w:snapToGrid w:val="0"/>
                    <w:spacing w:line="300" w:lineRule="exact"/>
                    <w:jc w:val="center"/>
                    <w:rPr>
                      <w:bCs/>
                      <w:color w:val="auto"/>
                      <w:szCs w:val="21"/>
                      <w:highlight w:val="none"/>
                    </w:rPr>
                  </w:pPr>
                  <w:r>
                    <w:rPr>
                      <w:bCs/>
                      <w:color w:val="auto"/>
                      <w:szCs w:val="21"/>
                      <w:highlight w:val="none"/>
                    </w:rPr>
                    <w:t>毛刷清洗机</w:t>
                  </w:r>
                </w:p>
              </w:tc>
              <w:tc>
                <w:tcPr>
                  <w:tcW w:w="375" w:type="pct"/>
                  <w:vAlign w:val="center"/>
                </w:tcPr>
                <w:p w14:paraId="168E99D7">
                  <w:pPr>
                    <w:adjustRightInd w:val="0"/>
                    <w:snapToGrid w:val="0"/>
                    <w:spacing w:line="300" w:lineRule="exact"/>
                    <w:jc w:val="center"/>
                    <w:rPr>
                      <w:bCs/>
                      <w:color w:val="auto"/>
                      <w:szCs w:val="21"/>
                      <w:highlight w:val="none"/>
                    </w:rPr>
                  </w:pPr>
                  <w:r>
                    <w:rPr>
                      <w:bCs/>
                      <w:color w:val="auto"/>
                      <w:szCs w:val="21"/>
                      <w:highlight w:val="none"/>
                    </w:rPr>
                    <w:t>台</w:t>
                  </w:r>
                </w:p>
              </w:tc>
              <w:tc>
                <w:tcPr>
                  <w:tcW w:w="321" w:type="pct"/>
                  <w:vAlign w:val="center"/>
                </w:tcPr>
                <w:p w14:paraId="21E3CDAB">
                  <w:pPr>
                    <w:adjustRightInd w:val="0"/>
                    <w:snapToGrid w:val="0"/>
                    <w:spacing w:line="300" w:lineRule="exact"/>
                    <w:jc w:val="center"/>
                    <w:rPr>
                      <w:bCs/>
                      <w:color w:val="auto"/>
                      <w:szCs w:val="21"/>
                      <w:highlight w:val="none"/>
                    </w:rPr>
                  </w:pPr>
                  <w:r>
                    <w:rPr>
                      <w:bCs/>
                      <w:color w:val="auto"/>
                      <w:szCs w:val="21"/>
                      <w:highlight w:val="none"/>
                    </w:rPr>
                    <w:t>1</w:t>
                  </w:r>
                </w:p>
              </w:tc>
              <w:tc>
                <w:tcPr>
                  <w:tcW w:w="750" w:type="pct"/>
                  <w:vAlign w:val="center"/>
                </w:tcPr>
                <w:p w14:paraId="19E5F932">
                  <w:pPr>
                    <w:adjustRightInd w:val="0"/>
                    <w:snapToGrid w:val="0"/>
                    <w:spacing w:line="300" w:lineRule="exact"/>
                    <w:jc w:val="center"/>
                    <w:rPr>
                      <w:bCs/>
                      <w:color w:val="auto"/>
                      <w:szCs w:val="21"/>
                      <w:highlight w:val="none"/>
                    </w:rPr>
                  </w:pPr>
                  <w:r>
                    <w:rPr>
                      <w:bCs/>
                      <w:color w:val="auto"/>
                      <w:szCs w:val="21"/>
                      <w:highlight w:val="none"/>
                    </w:rPr>
                    <w:t>RY-220型</w:t>
                  </w:r>
                </w:p>
              </w:tc>
              <w:tc>
                <w:tcPr>
                  <w:tcW w:w="1049" w:type="pct"/>
                  <w:vAlign w:val="center"/>
                </w:tcPr>
                <w:p w14:paraId="00F34B5B">
                  <w:pPr>
                    <w:adjustRightInd w:val="0"/>
                    <w:snapToGrid w:val="0"/>
                    <w:spacing w:line="300" w:lineRule="exact"/>
                    <w:jc w:val="center"/>
                    <w:rPr>
                      <w:bCs/>
                      <w:color w:val="auto"/>
                      <w:szCs w:val="21"/>
                      <w:highlight w:val="none"/>
                    </w:rPr>
                  </w:pPr>
                  <w:r>
                    <w:rPr>
                      <w:bCs/>
                      <w:color w:val="auto"/>
                      <w:szCs w:val="21"/>
                      <w:highlight w:val="none"/>
                    </w:rPr>
                    <w:t>清洗葛根表皮</w:t>
                  </w:r>
                </w:p>
              </w:tc>
              <w:tc>
                <w:tcPr>
                  <w:tcW w:w="887" w:type="pct"/>
                  <w:vMerge w:val="restart"/>
                  <w:vAlign w:val="center"/>
                </w:tcPr>
                <w:p w14:paraId="3C769F40">
                  <w:pPr>
                    <w:adjustRightInd w:val="0"/>
                    <w:snapToGrid w:val="0"/>
                    <w:spacing w:line="300" w:lineRule="exact"/>
                    <w:jc w:val="center"/>
                    <w:rPr>
                      <w:bCs/>
                      <w:color w:val="auto"/>
                      <w:szCs w:val="21"/>
                      <w:highlight w:val="none"/>
                    </w:rPr>
                  </w:pPr>
                  <w:r>
                    <w:rPr>
                      <w:bCs/>
                      <w:color w:val="auto"/>
                      <w:szCs w:val="21"/>
                      <w:highlight w:val="none"/>
                    </w:rPr>
                    <w:t>清洗间</w:t>
                  </w:r>
                </w:p>
              </w:tc>
            </w:tr>
            <w:tr w14:paraId="68FD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77" w:type="pct"/>
                  <w:shd w:val="clear" w:color="auto" w:fill="auto"/>
                  <w:vAlign w:val="center"/>
                </w:tcPr>
                <w:p w14:paraId="016AF68A">
                  <w:pPr>
                    <w:adjustRightInd w:val="0"/>
                    <w:snapToGrid w:val="0"/>
                    <w:spacing w:line="300" w:lineRule="exact"/>
                    <w:jc w:val="center"/>
                    <w:rPr>
                      <w:bCs/>
                      <w:color w:val="auto"/>
                      <w:szCs w:val="21"/>
                      <w:highlight w:val="none"/>
                    </w:rPr>
                  </w:pPr>
                  <w:r>
                    <w:rPr>
                      <w:bCs/>
                      <w:color w:val="auto"/>
                      <w:szCs w:val="21"/>
                      <w:highlight w:val="none"/>
                    </w:rPr>
                    <w:t>2</w:t>
                  </w:r>
                </w:p>
              </w:tc>
              <w:tc>
                <w:tcPr>
                  <w:tcW w:w="1239" w:type="pct"/>
                  <w:shd w:val="clear" w:color="auto" w:fill="auto"/>
                  <w:vAlign w:val="center"/>
                </w:tcPr>
                <w:p w14:paraId="4A1B5F37">
                  <w:pPr>
                    <w:adjustRightInd w:val="0"/>
                    <w:snapToGrid w:val="0"/>
                    <w:spacing w:line="300" w:lineRule="exact"/>
                    <w:jc w:val="center"/>
                    <w:rPr>
                      <w:bCs/>
                      <w:color w:val="auto"/>
                      <w:szCs w:val="21"/>
                      <w:highlight w:val="none"/>
                    </w:rPr>
                  </w:pPr>
                  <w:r>
                    <w:rPr>
                      <w:bCs/>
                      <w:color w:val="auto"/>
                      <w:szCs w:val="21"/>
                      <w:highlight w:val="none"/>
                    </w:rPr>
                    <w:t>二级清洗用桶</w:t>
                  </w:r>
                </w:p>
              </w:tc>
              <w:tc>
                <w:tcPr>
                  <w:tcW w:w="375" w:type="pct"/>
                  <w:shd w:val="clear" w:color="auto" w:fill="auto"/>
                  <w:vAlign w:val="center"/>
                </w:tcPr>
                <w:p w14:paraId="2F1767F4">
                  <w:pPr>
                    <w:adjustRightInd w:val="0"/>
                    <w:snapToGrid w:val="0"/>
                    <w:spacing w:line="300" w:lineRule="exact"/>
                    <w:jc w:val="center"/>
                    <w:rPr>
                      <w:bCs/>
                      <w:color w:val="auto"/>
                      <w:szCs w:val="21"/>
                      <w:highlight w:val="none"/>
                    </w:rPr>
                  </w:pPr>
                  <w:r>
                    <w:rPr>
                      <w:bCs/>
                      <w:color w:val="auto"/>
                      <w:szCs w:val="21"/>
                      <w:highlight w:val="none"/>
                    </w:rPr>
                    <w:t>桶</w:t>
                  </w:r>
                </w:p>
              </w:tc>
              <w:tc>
                <w:tcPr>
                  <w:tcW w:w="321" w:type="pct"/>
                  <w:shd w:val="clear" w:color="auto" w:fill="auto"/>
                  <w:vAlign w:val="center"/>
                </w:tcPr>
                <w:p w14:paraId="35BF73ED">
                  <w:pPr>
                    <w:adjustRightInd w:val="0"/>
                    <w:snapToGrid w:val="0"/>
                    <w:spacing w:line="300" w:lineRule="exact"/>
                    <w:jc w:val="center"/>
                    <w:rPr>
                      <w:bCs/>
                      <w:color w:val="auto"/>
                      <w:szCs w:val="21"/>
                      <w:highlight w:val="none"/>
                    </w:rPr>
                  </w:pPr>
                  <w:r>
                    <w:rPr>
                      <w:bCs/>
                      <w:color w:val="auto"/>
                      <w:szCs w:val="21"/>
                      <w:highlight w:val="none"/>
                    </w:rPr>
                    <w:t>1</w:t>
                  </w:r>
                </w:p>
              </w:tc>
              <w:tc>
                <w:tcPr>
                  <w:tcW w:w="750" w:type="pct"/>
                  <w:shd w:val="clear" w:color="auto" w:fill="auto"/>
                  <w:vAlign w:val="center"/>
                </w:tcPr>
                <w:p w14:paraId="0037CC4D">
                  <w:pPr>
                    <w:adjustRightInd w:val="0"/>
                    <w:snapToGrid w:val="0"/>
                    <w:spacing w:line="300" w:lineRule="exact"/>
                    <w:jc w:val="center"/>
                    <w:rPr>
                      <w:bCs/>
                      <w:color w:val="auto"/>
                      <w:szCs w:val="21"/>
                      <w:highlight w:val="none"/>
                    </w:rPr>
                  </w:pPr>
                  <w:r>
                    <w:rPr>
                      <w:bCs/>
                      <w:color w:val="auto"/>
                      <w:szCs w:val="21"/>
                      <w:highlight w:val="none"/>
                    </w:rPr>
                    <w:t>1</w:t>
                  </w:r>
                  <w:r>
                    <w:rPr>
                      <w:color w:val="auto"/>
                      <w:sz w:val="24"/>
                      <w:szCs w:val="21"/>
                      <w:highlight w:val="none"/>
                    </w:rPr>
                    <w:t>m</w:t>
                  </w:r>
                  <w:r>
                    <w:rPr>
                      <w:color w:val="auto"/>
                      <w:sz w:val="24"/>
                      <w:szCs w:val="21"/>
                      <w:highlight w:val="none"/>
                      <w:vertAlign w:val="superscript"/>
                    </w:rPr>
                    <w:t>3</w:t>
                  </w:r>
                  <w:r>
                    <w:rPr>
                      <w:bCs/>
                      <w:color w:val="auto"/>
                      <w:szCs w:val="21"/>
                      <w:highlight w:val="none"/>
                    </w:rPr>
                    <w:t>/桶</w:t>
                  </w:r>
                </w:p>
              </w:tc>
              <w:tc>
                <w:tcPr>
                  <w:tcW w:w="1049" w:type="pct"/>
                  <w:shd w:val="clear" w:color="auto" w:fill="auto"/>
                  <w:vAlign w:val="center"/>
                </w:tcPr>
                <w:p w14:paraId="46A2F61D">
                  <w:pPr>
                    <w:adjustRightInd w:val="0"/>
                    <w:snapToGrid w:val="0"/>
                    <w:spacing w:line="300" w:lineRule="exact"/>
                    <w:jc w:val="center"/>
                    <w:rPr>
                      <w:bCs/>
                      <w:color w:val="auto"/>
                      <w:szCs w:val="21"/>
                      <w:highlight w:val="none"/>
                    </w:rPr>
                  </w:pPr>
                  <w:r>
                    <w:rPr>
                      <w:bCs/>
                      <w:color w:val="auto"/>
                      <w:szCs w:val="21"/>
                      <w:highlight w:val="none"/>
                    </w:rPr>
                    <w:t>二级清洗</w:t>
                  </w:r>
                </w:p>
              </w:tc>
              <w:tc>
                <w:tcPr>
                  <w:tcW w:w="887" w:type="pct"/>
                  <w:vMerge w:val="continue"/>
                  <w:vAlign w:val="center"/>
                </w:tcPr>
                <w:p w14:paraId="7B334E41">
                  <w:pPr>
                    <w:adjustRightInd w:val="0"/>
                    <w:snapToGrid w:val="0"/>
                    <w:spacing w:line="300" w:lineRule="exact"/>
                    <w:jc w:val="center"/>
                    <w:rPr>
                      <w:bCs/>
                      <w:color w:val="auto"/>
                      <w:szCs w:val="21"/>
                      <w:highlight w:val="none"/>
                    </w:rPr>
                  </w:pPr>
                </w:p>
              </w:tc>
            </w:tr>
            <w:tr w14:paraId="6A16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77" w:type="pct"/>
                  <w:shd w:val="clear" w:color="auto" w:fill="auto"/>
                  <w:vAlign w:val="center"/>
                </w:tcPr>
                <w:p w14:paraId="54E3A3E1">
                  <w:pPr>
                    <w:adjustRightInd w:val="0"/>
                    <w:snapToGrid w:val="0"/>
                    <w:spacing w:line="300" w:lineRule="exact"/>
                    <w:jc w:val="center"/>
                    <w:rPr>
                      <w:bCs/>
                      <w:color w:val="auto"/>
                      <w:szCs w:val="21"/>
                      <w:highlight w:val="none"/>
                    </w:rPr>
                  </w:pPr>
                  <w:r>
                    <w:rPr>
                      <w:bCs/>
                      <w:color w:val="auto"/>
                      <w:szCs w:val="21"/>
                      <w:highlight w:val="none"/>
                    </w:rPr>
                    <w:t>3</w:t>
                  </w:r>
                </w:p>
              </w:tc>
              <w:tc>
                <w:tcPr>
                  <w:tcW w:w="1239" w:type="pct"/>
                  <w:vAlign w:val="center"/>
                </w:tcPr>
                <w:p w14:paraId="741C801B">
                  <w:pPr>
                    <w:adjustRightInd w:val="0"/>
                    <w:snapToGrid w:val="0"/>
                    <w:spacing w:line="300" w:lineRule="exact"/>
                    <w:jc w:val="center"/>
                    <w:rPr>
                      <w:bCs/>
                      <w:color w:val="auto"/>
                      <w:szCs w:val="21"/>
                      <w:highlight w:val="none"/>
                    </w:rPr>
                  </w:pPr>
                  <w:r>
                    <w:rPr>
                      <w:bCs/>
                      <w:color w:val="auto"/>
                      <w:szCs w:val="21"/>
                      <w:highlight w:val="none"/>
                    </w:rPr>
                    <w:t>皮带运输机</w:t>
                  </w:r>
                </w:p>
              </w:tc>
              <w:tc>
                <w:tcPr>
                  <w:tcW w:w="375" w:type="pct"/>
                  <w:vAlign w:val="center"/>
                </w:tcPr>
                <w:p w14:paraId="5D91AC03">
                  <w:pPr>
                    <w:adjustRightInd w:val="0"/>
                    <w:snapToGrid w:val="0"/>
                    <w:spacing w:line="300" w:lineRule="exact"/>
                    <w:jc w:val="center"/>
                    <w:rPr>
                      <w:bCs/>
                      <w:color w:val="auto"/>
                      <w:szCs w:val="21"/>
                      <w:highlight w:val="none"/>
                    </w:rPr>
                  </w:pPr>
                  <w:r>
                    <w:rPr>
                      <w:bCs/>
                      <w:color w:val="auto"/>
                      <w:szCs w:val="21"/>
                      <w:highlight w:val="none"/>
                    </w:rPr>
                    <w:t>台</w:t>
                  </w:r>
                </w:p>
              </w:tc>
              <w:tc>
                <w:tcPr>
                  <w:tcW w:w="321" w:type="pct"/>
                  <w:vAlign w:val="center"/>
                </w:tcPr>
                <w:p w14:paraId="0F18AFAC">
                  <w:pPr>
                    <w:adjustRightInd w:val="0"/>
                    <w:snapToGrid w:val="0"/>
                    <w:spacing w:line="300" w:lineRule="exact"/>
                    <w:jc w:val="center"/>
                    <w:rPr>
                      <w:bCs/>
                      <w:color w:val="auto"/>
                      <w:szCs w:val="21"/>
                      <w:highlight w:val="none"/>
                    </w:rPr>
                  </w:pPr>
                  <w:r>
                    <w:rPr>
                      <w:bCs/>
                      <w:color w:val="auto"/>
                      <w:szCs w:val="21"/>
                      <w:highlight w:val="none"/>
                    </w:rPr>
                    <w:t>1</w:t>
                  </w:r>
                </w:p>
              </w:tc>
              <w:tc>
                <w:tcPr>
                  <w:tcW w:w="750" w:type="pct"/>
                  <w:vAlign w:val="center"/>
                </w:tcPr>
                <w:p w14:paraId="4861C7EE">
                  <w:pPr>
                    <w:adjustRightInd w:val="0"/>
                    <w:snapToGrid w:val="0"/>
                    <w:spacing w:line="300" w:lineRule="exact"/>
                    <w:jc w:val="center"/>
                    <w:rPr>
                      <w:bCs/>
                      <w:color w:val="auto"/>
                      <w:szCs w:val="21"/>
                      <w:highlight w:val="none"/>
                    </w:rPr>
                  </w:pPr>
                  <w:r>
                    <w:rPr>
                      <w:bCs/>
                      <w:color w:val="auto"/>
                      <w:szCs w:val="21"/>
                      <w:highlight w:val="none"/>
                    </w:rPr>
                    <w:t>/</w:t>
                  </w:r>
                </w:p>
              </w:tc>
              <w:tc>
                <w:tcPr>
                  <w:tcW w:w="1049" w:type="pct"/>
                  <w:vAlign w:val="center"/>
                </w:tcPr>
                <w:p w14:paraId="58DFBB56">
                  <w:pPr>
                    <w:adjustRightInd w:val="0"/>
                    <w:snapToGrid w:val="0"/>
                    <w:spacing w:line="300" w:lineRule="exact"/>
                    <w:jc w:val="center"/>
                    <w:rPr>
                      <w:bCs/>
                      <w:color w:val="auto"/>
                      <w:szCs w:val="21"/>
                      <w:highlight w:val="none"/>
                    </w:rPr>
                  </w:pPr>
                  <w:r>
                    <w:rPr>
                      <w:bCs/>
                      <w:color w:val="auto"/>
                      <w:szCs w:val="21"/>
                      <w:highlight w:val="none"/>
                    </w:rPr>
                    <w:t>将清洗后的葛根送入葛根粉碎机</w:t>
                  </w:r>
                </w:p>
              </w:tc>
              <w:tc>
                <w:tcPr>
                  <w:tcW w:w="887" w:type="pct"/>
                  <w:vAlign w:val="center"/>
                </w:tcPr>
                <w:p w14:paraId="441C9661">
                  <w:pPr>
                    <w:adjustRightInd w:val="0"/>
                    <w:snapToGrid w:val="0"/>
                    <w:spacing w:line="300" w:lineRule="exact"/>
                    <w:jc w:val="center"/>
                    <w:rPr>
                      <w:bCs/>
                      <w:color w:val="auto"/>
                      <w:szCs w:val="21"/>
                      <w:highlight w:val="none"/>
                    </w:rPr>
                  </w:pPr>
                  <w:r>
                    <w:rPr>
                      <w:bCs/>
                      <w:color w:val="auto"/>
                      <w:szCs w:val="21"/>
                      <w:highlight w:val="none"/>
                    </w:rPr>
                    <w:t>清洗间、粉碎磨洗间</w:t>
                  </w:r>
                </w:p>
              </w:tc>
            </w:tr>
            <w:tr w14:paraId="072D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77" w:type="pct"/>
                  <w:shd w:val="clear" w:color="auto" w:fill="auto"/>
                  <w:vAlign w:val="center"/>
                </w:tcPr>
                <w:p w14:paraId="2537FE04">
                  <w:pPr>
                    <w:adjustRightInd w:val="0"/>
                    <w:snapToGrid w:val="0"/>
                    <w:spacing w:line="300" w:lineRule="exact"/>
                    <w:jc w:val="center"/>
                    <w:rPr>
                      <w:bCs/>
                      <w:color w:val="auto"/>
                      <w:szCs w:val="21"/>
                      <w:highlight w:val="none"/>
                    </w:rPr>
                  </w:pPr>
                  <w:r>
                    <w:rPr>
                      <w:bCs/>
                      <w:color w:val="auto"/>
                      <w:szCs w:val="21"/>
                      <w:highlight w:val="none"/>
                    </w:rPr>
                    <w:t>4</w:t>
                  </w:r>
                </w:p>
              </w:tc>
              <w:tc>
                <w:tcPr>
                  <w:tcW w:w="1239" w:type="pct"/>
                  <w:vAlign w:val="center"/>
                </w:tcPr>
                <w:p w14:paraId="7C18F6CC">
                  <w:pPr>
                    <w:adjustRightInd w:val="0"/>
                    <w:snapToGrid w:val="0"/>
                    <w:spacing w:line="300" w:lineRule="exact"/>
                    <w:jc w:val="center"/>
                    <w:rPr>
                      <w:bCs/>
                      <w:color w:val="auto"/>
                      <w:szCs w:val="21"/>
                      <w:highlight w:val="none"/>
                    </w:rPr>
                  </w:pPr>
                  <w:r>
                    <w:rPr>
                      <w:bCs/>
                      <w:color w:val="auto"/>
                      <w:szCs w:val="21"/>
                      <w:highlight w:val="none"/>
                    </w:rPr>
                    <w:t>葛根粉碎机</w:t>
                  </w:r>
                </w:p>
              </w:tc>
              <w:tc>
                <w:tcPr>
                  <w:tcW w:w="375" w:type="pct"/>
                  <w:vAlign w:val="center"/>
                </w:tcPr>
                <w:p w14:paraId="5C5A6643">
                  <w:pPr>
                    <w:adjustRightInd w:val="0"/>
                    <w:snapToGrid w:val="0"/>
                    <w:spacing w:line="300" w:lineRule="exact"/>
                    <w:jc w:val="center"/>
                    <w:rPr>
                      <w:bCs/>
                      <w:color w:val="auto"/>
                      <w:szCs w:val="21"/>
                      <w:highlight w:val="none"/>
                    </w:rPr>
                  </w:pPr>
                  <w:r>
                    <w:rPr>
                      <w:bCs/>
                      <w:color w:val="auto"/>
                      <w:szCs w:val="21"/>
                      <w:highlight w:val="none"/>
                    </w:rPr>
                    <w:t>台</w:t>
                  </w:r>
                </w:p>
              </w:tc>
              <w:tc>
                <w:tcPr>
                  <w:tcW w:w="321" w:type="pct"/>
                  <w:vAlign w:val="center"/>
                </w:tcPr>
                <w:p w14:paraId="6A26CD71">
                  <w:pPr>
                    <w:adjustRightInd w:val="0"/>
                    <w:snapToGrid w:val="0"/>
                    <w:spacing w:line="300" w:lineRule="exact"/>
                    <w:jc w:val="center"/>
                    <w:rPr>
                      <w:bCs/>
                      <w:color w:val="auto"/>
                      <w:szCs w:val="21"/>
                      <w:highlight w:val="none"/>
                    </w:rPr>
                  </w:pPr>
                  <w:r>
                    <w:rPr>
                      <w:bCs/>
                      <w:color w:val="auto"/>
                      <w:szCs w:val="21"/>
                      <w:highlight w:val="none"/>
                    </w:rPr>
                    <w:t>1</w:t>
                  </w:r>
                </w:p>
              </w:tc>
              <w:tc>
                <w:tcPr>
                  <w:tcW w:w="750" w:type="pct"/>
                  <w:vAlign w:val="center"/>
                </w:tcPr>
                <w:p w14:paraId="01A844AF">
                  <w:pPr>
                    <w:adjustRightInd w:val="0"/>
                    <w:snapToGrid w:val="0"/>
                    <w:spacing w:line="300" w:lineRule="exact"/>
                    <w:jc w:val="center"/>
                    <w:rPr>
                      <w:bCs/>
                      <w:color w:val="auto"/>
                      <w:szCs w:val="21"/>
                      <w:highlight w:val="none"/>
                    </w:rPr>
                  </w:pPr>
                  <w:r>
                    <w:rPr>
                      <w:bCs/>
                      <w:color w:val="auto"/>
                      <w:szCs w:val="21"/>
                      <w:highlight w:val="none"/>
                    </w:rPr>
                    <w:t>PS-520C型改装</w:t>
                  </w:r>
                </w:p>
              </w:tc>
              <w:tc>
                <w:tcPr>
                  <w:tcW w:w="1049" w:type="pct"/>
                  <w:vAlign w:val="center"/>
                </w:tcPr>
                <w:p w14:paraId="5917DD03">
                  <w:pPr>
                    <w:adjustRightInd w:val="0"/>
                    <w:snapToGrid w:val="0"/>
                    <w:spacing w:line="300" w:lineRule="exact"/>
                    <w:jc w:val="center"/>
                    <w:rPr>
                      <w:bCs/>
                      <w:color w:val="auto"/>
                      <w:szCs w:val="21"/>
                      <w:highlight w:val="none"/>
                    </w:rPr>
                  </w:pPr>
                  <w:r>
                    <w:rPr>
                      <w:bCs/>
                      <w:color w:val="auto"/>
                      <w:szCs w:val="21"/>
                      <w:highlight w:val="none"/>
                    </w:rPr>
                    <w:t>将洗净后的葛根加水粉碎为浆液</w:t>
                  </w:r>
                </w:p>
              </w:tc>
              <w:tc>
                <w:tcPr>
                  <w:tcW w:w="887" w:type="pct"/>
                  <w:vMerge w:val="restart"/>
                  <w:vAlign w:val="center"/>
                </w:tcPr>
                <w:p w14:paraId="1BCB3E56">
                  <w:pPr>
                    <w:adjustRightInd w:val="0"/>
                    <w:snapToGrid w:val="0"/>
                    <w:spacing w:line="300" w:lineRule="exact"/>
                    <w:jc w:val="center"/>
                    <w:rPr>
                      <w:bCs/>
                      <w:color w:val="auto"/>
                      <w:szCs w:val="21"/>
                      <w:highlight w:val="none"/>
                    </w:rPr>
                  </w:pPr>
                  <w:r>
                    <w:rPr>
                      <w:bCs/>
                      <w:color w:val="auto"/>
                      <w:szCs w:val="21"/>
                      <w:highlight w:val="none"/>
                    </w:rPr>
                    <w:t>粉碎磨浆间</w:t>
                  </w:r>
                </w:p>
              </w:tc>
            </w:tr>
            <w:tr w14:paraId="7A9F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7" w:type="pct"/>
                  <w:shd w:val="clear" w:color="auto" w:fill="auto"/>
                  <w:vAlign w:val="center"/>
                </w:tcPr>
                <w:p w14:paraId="08DA1A95">
                  <w:pPr>
                    <w:adjustRightInd w:val="0"/>
                    <w:snapToGrid w:val="0"/>
                    <w:spacing w:line="300" w:lineRule="exact"/>
                    <w:jc w:val="center"/>
                    <w:rPr>
                      <w:bCs/>
                      <w:color w:val="auto"/>
                      <w:szCs w:val="21"/>
                      <w:highlight w:val="none"/>
                    </w:rPr>
                  </w:pPr>
                  <w:r>
                    <w:rPr>
                      <w:bCs/>
                      <w:color w:val="auto"/>
                      <w:szCs w:val="21"/>
                      <w:highlight w:val="none"/>
                    </w:rPr>
                    <w:t>5</w:t>
                  </w:r>
                </w:p>
              </w:tc>
              <w:tc>
                <w:tcPr>
                  <w:tcW w:w="1239" w:type="pct"/>
                  <w:vAlign w:val="center"/>
                </w:tcPr>
                <w:p w14:paraId="05EDDB3C">
                  <w:pPr>
                    <w:adjustRightInd w:val="0"/>
                    <w:snapToGrid w:val="0"/>
                    <w:spacing w:line="300" w:lineRule="exact"/>
                    <w:jc w:val="center"/>
                    <w:rPr>
                      <w:bCs/>
                      <w:color w:val="auto"/>
                      <w:szCs w:val="21"/>
                      <w:highlight w:val="none"/>
                    </w:rPr>
                  </w:pPr>
                  <w:r>
                    <w:rPr>
                      <w:bCs/>
                      <w:color w:val="auto"/>
                      <w:szCs w:val="21"/>
                      <w:highlight w:val="none"/>
                    </w:rPr>
                    <w:t>浆渣分离机</w:t>
                  </w:r>
                </w:p>
              </w:tc>
              <w:tc>
                <w:tcPr>
                  <w:tcW w:w="375" w:type="pct"/>
                  <w:vAlign w:val="center"/>
                </w:tcPr>
                <w:p w14:paraId="35DE1EFC">
                  <w:pPr>
                    <w:adjustRightInd w:val="0"/>
                    <w:snapToGrid w:val="0"/>
                    <w:spacing w:line="300" w:lineRule="exact"/>
                    <w:jc w:val="center"/>
                    <w:rPr>
                      <w:bCs/>
                      <w:color w:val="auto"/>
                      <w:szCs w:val="21"/>
                      <w:highlight w:val="none"/>
                    </w:rPr>
                  </w:pPr>
                  <w:r>
                    <w:rPr>
                      <w:bCs/>
                      <w:color w:val="auto"/>
                      <w:szCs w:val="21"/>
                      <w:highlight w:val="none"/>
                    </w:rPr>
                    <w:t>台</w:t>
                  </w:r>
                </w:p>
              </w:tc>
              <w:tc>
                <w:tcPr>
                  <w:tcW w:w="321" w:type="pct"/>
                  <w:vAlign w:val="center"/>
                </w:tcPr>
                <w:p w14:paraId="5266D774">
                  <w:pPr>
                    <w:adjustRightInd w:val="0"/>
                    <w:snapToGrid w:val="0"/>
                    <w:spacing w:line="300" w:lineRule="exact"/>
                    <w:jc w:val="center"/>
                    <w:rPr>
                      <w:bCs/>
                      <w:color w:val="auto"/>
                      <w:szCs w:val="21"/>
                      <w:highlight w:val="none"/>
                    </w:rPr>
                  </w:pPr>
                  <w:r>
                    <w:rPr>
                      <w:bCs/>
                      <w:color w:val="auto"/>
                      <w:szCs w:val="21"/>
                      <w:highlight w:val="none"/>
                    </w:rPr>
                    <w:t>1</w:t>
                  </w:r>
                </w:p>
              </w:tc>
              <w:tc>
                <w:tcPr>
                  <w:tcW w:w="750" w:type="pct"/>
                  <w:vAlign w:val="center"/>
                </w:tcPr>
                <w:p w14:paraId="18DFC0EF">
                  <w:pPr>
                    <w:adjustRightInd w:val="0"/>
                    <w:snapToGrid w:val="0"/>
                    <w:spacing w:line="300" w:lineRule="exact"/>
                    <w:jc w:val="center"/>
                    <w:rPr>
                      <w:bCs/>
                      <w:color w:val="auto"/>
                      <w:szCs w:val="21"/>
                      <w:highlight w:val="none"/>
                    </w:rPr>
                  </w:pPr>
                  <w:r>
                    <w:rPr>
                      <w:bCs/>
                      <w:color w:val="auto"/>
                      <w:szCs w:val="21"/>
                      <w:highlight w:val="none"/>
                    </w:rPr>
                    <w:t>YS-450型</w:t>
                  </w:r>
                </w:p>
              </w:tc>
              <w:tc>
                <w:tcPr>
                  <w:tcW w:w="1049" w:type="pct"/>
                  <w:vAlign w:val="center"/>
                </w:tcPr>
                <w:p w14:paraId="7484E423">
                  <w:pPr>
                    <w:adjustRightInd w:val="0"/>
                    <w:snapToGrid w:val="0"/>
                    <w:spacing w:line="300" w:lineRule="exact"/>
                    <w:jc w:val="center"/>
                    <w:rPr>
                      <w:bCs/>
                      <w:color w:val="auto"/>
                      <w:szCs w:val="21"/>
                      <w:highlight w:val="none"/>
                    </w:rPr>
                  </w:pPr>
                  <w:r>
                    <w:rPr>
                      <w:bCs/>
                      <w:color w:val="auto"/>
                      <w:szCs w:val="21"/>
                      <w:highlight w:val="none"/>
                    </w:rPr>
                    <w:t>对上一环节得到的浆液进行浆渣分离</w:t>
                  </w:r>
                </w:p>
              </w:tc>
              <w:tc>
                <w:tcPr>
                  <w:tcW w:w="887" w:type="pct"/>
                  <w:vMerge w:val="continue"/>
                  <w:vAlign w:val="center"/>
                </w:tcPr>
                <w:p w14:paraId="621D0952">
                  <w:pPr>
                    <w:adjustRightInd w:val="0"/>
                    <w:snapToGrid w:val="0"/>
                    <w:spacing w:line="300" w:lineRule="exact"/>
                    <w:jc w:val="center"/>
                    <w:rPr>
                      <w:bCs/>
                      <w:color w:val="auto"/>
                      <w:szCs w:val="21"/>
                      <w:highlight w:val="none"/>
                    </w:rPr>
                  </w:pPr>
                </w:p>
              </w:tc>
            </w:tr>
            <w:tr w14:paraId="751A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7" w:type="pct"/>
                  <w:shd w:val="clear" w:color="auto" w:fill="auto"/>
                  <w:vAlign w:val="center"/>
                </w:tcPr>
                <w:p w14:paraId="0CE741E1">
                  <w:pPr>
                    <w:adjustRightInd w:val="0"/>
                    <w:snapToGrid w:val="0"/>
                    <w:spacing w:line="300" w:lineRule="exact"/>
                    <w:jc w:val="center"/>
                    <w:rPr>
                      <w:bCs/>
                      <w:color w:val="auto"/>
                      <w:szCs w:val="21"/>
                      <w:highlight w:val="none"/>
                    </w:rPr>
                  </w:pPr>
                  <w:r>
                    <w:rPr>
                      <w:bCs/>
                      <w:color w:val="auto"/>
                      <w:szCs w:val="21"/>
                      <w:highlight w:val="none"/>
                    </w:rPr>
                    <w:t>6</w:t>
                  </w:r>
                </w:p>
              </w:tc>
              <w:tc>
                <w:tcPr>
                  <w:tcW w:w="1239" w:type="pct"/>
                  <w:vAlign w:val="center"/>
                </w:tcPr>
                <w:p w14:paraId="386DB0E1">
                  <w:pPr>
                    <w:adjustRightInd w:val="0"/>
                    <w:snapToGrid w:val="0"/>
                    <w:spacing w:line="300" w:lineRule="exact"/>
                    <w:jc w:val="center"/>
                    <w:rPr>
                      <w:bCs/>
                      <w:color w:val="auto"/>
                      <w:szCs w:val="21"/>
                      <w:highlight w:val="none"/>
                    </w:rPr>
                  </w:pPr>
                  <w:r>
                    <w:rPr>
                      <w:bCs/>
                      <w:color w:val="auto"/>
                      <w:szCs w:val="21"/>
                      <w:highlight w:val="none"/>
                    </w:rPr>
                    <w:t>二罗机（细筛）</w:t>
                  </w:r>
                </w:p>
              </w:tc>
              <w:tc>
                <w:tcPr>
                  <w:tcW w:w="375" w:type="pct"/>
                  <w:vAlign w:val="center"/>
                </w:tcPr>
                <w:p w14:paraId="3706E55D">
                  <w:pPr>
                    <w:adjustRightInd w:val="0"/>
                    <w:snapToGrid w:val="0"/>
                    <w:spacing w:line="300" w:lineRule="exact"/>
                    <w:jc w:val="center"/>
                    <w:rPr>
                      <w:bCs/>
                      <w:color w:val="auto"/>
                      <w:szCs w:val="21"/>
                      <w:highlight w:val="none"/>
                    </w:rPr>
                  </w:pPr>
                  <w:r>
                    <w:rPr>
                      <w:bCs/>
                      <w:color w:val="auto"/>
                      <w:szCs w:val="21"/>
                      <w:highlight w:val="none"/>
                    </w:rPr>
                    <w:t>台</w:t>
                  </w:r>
                </w:p>
              </w:tc>
              <w:tc>
                <w:tcPr>
                  <w:tcW w:w="321" w:type="pct"/>
                  <w:vAlign w:val="center"/>
                </w:tcPr>
                <w:p w14:paraId="11EEB0E3">
                  <w:pPr>
                    <w:adjustRightInd w:val="0"/>
                    <w:snapToGrid w:val="0"/>
                    <w:spacing w:line="300" w:lineRule="exact"/>
                    <w:jc w:val="center"/>
                    <w:rPr>
                      <w:bCs/>
                      <w:color w:val="auto"/>
                      <w:szCs w:val="21"/>
                      <w:highlight w:val="none"/>
                    </w:rPr>
                  </w:pPr>
                  <w:r>
                    <w:rPr>
                      <w:bCs/>
                      <w:color w:val="auto"/>
                      <w:szCs w:val="21"/>
                      <w:highlight w:val="none"/>
                    </w:rPr>
                    <w:t>1</w:t>
                  </w:r>
                </w:p>
              </w:tc>
              <w:tc>
                <w:tcPr>
                  <w:tcW w:w="750" w:type="pct"/>
                  <w:vAlign w:val="center"/>
                </w:tcPr>
                <w:p w14:paraId="52247DCC">
                  <w:pPr>
                    <w:adjustRightInd w:val="0"/>
                    <w:snapToGrid w:val="0"/>
                    <w:spacing w:line="300" w:lineRule="exact"/>
                    <w:jc w:val="center"/>
                    <w:rPr>
                      <w:bCs/>
                      <w:color w:val="auto"/>
                      <w:szCs w:val="21"/>
                      <w:highlight w:val="none"/>
                    </w:rPr>
                  </w:pPr>
                  <w:r>
                    <w:rPr>
                      <w:bCs/>
                      <w:color w:val="auto"/>
                      <w:szCs w:val="21"/>
                      <w:highlight w:val="none"/>
                    </w:rPr>
                    <w:t>YS-400型</w:t>
                  </w:r>
                </w:p>
              </w:tc>
              <w:tc>
                <w:tcPr>
                  <w:tcW w:w="1049" w:type="pct"/>
                  <w:vAlign w:val="center"/>
                </w:tcPr>
                <w:p w14:paraId="52C1D28D">
                  <w:pPr>
                    <w:adjustRightInd w:val="0"/>
                    <w:snapToGrid w:val="0"/>
                    <w:spacing w:line="300" w:lineRule="exact"/>
                    <w:jc w:val="center"/>
                    <w:rPr>
                      <w:bCs/>
                      <w:color w:val="auto"/>
                      <w:szCs w:val="21"/>
                      <w:highlight w:val="none"/>
                    </w:rPr>
                  </w:pPr>
                  <w:r>
                    <w:rPr>
                      <w:bCs/>
                      <w:color w:val="auto"/>
                      <w:szCs w:val="21"/>
                      <w:highlight w:val="none"/>
                    </w:rPr>
                    <w:t>进一步去除浆液中体积较小的杂质</w:t>
                  </w:r>
                </w:p>
              </w:tc>
              <w:tc>
                <w:tcPr>
                  <w:tcW w:w="887" w:type="pct"/>
                  <w:vMerge w:val="continue"/>
                  <w:vAlign w:val="center"/>
                </w:tcPr>
                <w:p w14:paraId="4828AE65">
                  <w:pPr>
                    <w:adjustRightInd w:val="0"/>
                    <w:snapToGrid w:val="0"/>
                    <w:spacing w:line="300" w:lineRule="exact"/>
                    <w:jc w:val="center"/>
                    <w:rPr>
                      <w:bCs/>
                      <w:color w:val="auto"/>
                      <w:szCs w:val="21"/>
                      <w:highlight w:val="none"/>
                    </w:rPr>
                  </w:pPr>
                </w:p>
              </w:tc>
            </w:tr>
            <w:tr w14:paraId="59F4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7" w:type="pct"/>
                  <w:vAlign w:val="center"/>
                </w:tcPr>
                <w:p w14:paraId="13C87EA2">
                  <w:pPr>
                    <w:adjustRightInd w:val="0"/>
                    <w:snapToGrid w:val="0"/>
                    <w:spacing w:line="300" w:lineRule="exact"/>
                    <w:jc w:val="center"/>
                    <w:rPr>
                      <w:bCs/>
                      <w:color w:val="auto"/>
                      <w:szCs w:val="21"/>
                      <w:highlight w:val="none"/>
                    </w:rPr>
                  </w:pPr>
                  <w:r>
                    <w:rPr>
                      <w:bCs/>
                      <w:color w:val="auto"/>
                      <w:szCs w:val="21"/>
                      <w:highlight w:val="none"/>
                    </w:rPr>
                    <w:t>7</w:t>
                  </w:r>
                </w:p>
              </w:tc>
              <w:tc>
                <w:tcPr>
                  <w:tcW w:w="1239" w:type="pct"/>
                  <w:vAlign w:val="center"/>
                </w:tcPr>
                <w:p w14:paraId="4E96626D">
                  <w:pPr>
                    <w:adjustRightInd w:val="0"/>
                    <w:snapToGrid w:val="0"/>
                    <w:spacing w:line="300" w:lineRule="exact"/>
                    <w:jc w:val="center"/>
                    <w:rPr>
                      <w:bCs/>
                      <w:color w:val="auto"/>
                      <w:szCs w:val="21"/>
                      <w:highlight w:val="none"/>
                    </w:rPr>
                  </w:pPr>
                  <w:r>
                    <w:rPr>
                      <w:bCs/>
                      <w:color w:val="auto"/>
                      <w:szCs w:val="21"/>
                      <w:highlight w:val="none"/>
                    </w:rPr>
                    <w:t>淀粉除砂器</w:t>
                  </w:r>
                </w:p>
              </w:tc>
              <w:tc>
                <w:tcPr>
                  <w:tcW w:w="375" w:type="pct"/>
                  <w:vAlign w:val="center"/>
                </w:tcPr>
                <w:p w14:paraId="6713D947">
                  <w:pPr>
                    <w:adjustRightInd w:val="0"/>
                    <w:snapToGrid w:val="0"/>
                    <w:spacing w:line="300" w:lineRule="exact"/>
                    <w:jc w:val="center"/>
                    <w:rPr>
                      <w:bCs/>
                      <w:color w:val="auto"/>
                      <w:szCs w:val="21"/>
                      <w:highlight w:val="none"/>
                    </w:rPr>
                  </w:pPr>
                  <w:r>
                    <w:rPr>
                      <w:bCs/>
                      <w:color w:val="auto"/>
                      <w:szCs w:val="21"/>
                      <w:highlight w:val="none"/>
                    </w:rPr>
                    <w:t>台</w:t>
                  </w:r>
                </w:p>
              </w:tc>
              <w:tc>
                <w:tcPr>
                  <w:tcW w:w="321" w:type="pct"/>
                  <w:vAlign w:val="center"/>
                </w:tcPr>
                <w:p w14:paraId="74B00323">
                  <w:pPr>
                    <w:adjustRightInd w:val="0"/>
                    <w:snapToGrid w:val="0"/>
                    <w:spacing w:line="300" w:lineRule="exact"/>
                    <w:jc w:val="center"/>
                    <w:rPr>
                      <w:bCs/>
                      <w:color w:val="auto"/>
                      <w:szCs w:val="21"/>
                      <w:highlight w:val="none"/>
                    </w:rPr>
                  </w:pPr>
                  <w:r>
                    <w:rPr>
                      <w:bCs/>
                      <w:color w:val="auto"/>
                      <w:szCs w:val="21"/>
                      <w:highlight w:val="none"/>
                    </w:rPr>
                    <w:t>1</w:t>
                  </w:r>
                </w:p>
              </w:tc>
              <w:tc>
                <w:tcPr>
                  <w:tcW w:w="750" w:type="pct"/>
                  <w:vAlign w:val="center"/>
                </w:tcPr>
                <w:p w14:paraId="330D3EB9">
                  <w:pPr>
                    <w:adjustRightInd w:val="0"/>
                    <w:snapToGrid w:val="0"/>
                    <w:spacing w:line="300" w:lineRule="exact"/>
                    <w:jc w:val="center"/>
                    <w:rPr>
                      <w:bCs/>
                      <w:color w:val="auto"/>
                      <w:szCs w:val="21"/>
                      <w:highlight w:val="none"/>
                    </w:rPr>
                  </w:pPr>
                  <w:r>
                    <w:rPr>
                      <w:bCs/>
                      <w:color w:val="auto"/>
                      <w:szCs w:val="21"/>
                      <w:highlight w:val="none"/>
                    </w:rPr>
                    <w:t>旋转离心</w:t>
                  </w:r>
                </w:p>
              </w:tc>
              <w:tc>
                <w:tcPr>
                  <w:tcW w:w="1049" w:type="pct"/>
                  <w:vAlign w:val="center"/>
                </w:tcPr>
                <w:p w14:paraId="04F4D902">
                  <w:pPr>
                    <w:adjustRightInd w:val="0"/>
                    <w:snapToGrid w:val="0"/>
                    <w:spacing w:line="300" w:lineRule="exact"/>
                    <w:jc w:val="center"/>
                    <w:rPr>
                      <w:bCs/>
                      <w:color w:val="auto"/>
                      <w:szCs w:val="21"/>
                      <w:highlight w:val="none"/>
                    </w:rPr>
                  </w:pPr>
                  <w:r>
                    <w:rPr>
                      <w:bCs/>
                      <w:color w:val="auto"/>
                      <w:szCs w:val="21"/>
                      <w:highlight w:val="none"/>
                    </w:rPr>
                    <w:t>旋转离心</w:t>
                  </w:r>
                </w:p>
              </w:tc>
              <w:tc>
                <w:tcPr>
                  <w:tcW w:w="887" w:type="pct"/>
                  <w:vMerge w:val="continue"/>
                  <w:vAlign w:val="center"/>
                </w:tcPr>
                <w:p w14:paraId="2592DD41">
                  <w:pPr>
                    <w:adjustRightInd w:val="0"/>
                    <w:snapToGrid w:val="0"/>
                    <w:spacing w:line="300" w:lineRule="exact"/>
                    <w:jc w:val="center"/>
                    <w:rPr>
                      <w:bCs/>
                      <w:color w:val="auto"/>
                      <w:szCs w:val="21"/>
                      <w:highlight w:val="none"/>
                    </w:rPr>
                  </w:pPr>
                </w:p>
              </w:tc>
            </w:tr>
            <w:tr w14:paraId="2A29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vAlign w:val="center"/>
                </w:tcPr>
                <w:p w14:paraId="0F2FB261">
                  <w:pPr>
                    <w:adjustRightInd w:val="0"/>
                    <w:snapToGrid w:val="0"/>
                    <w:spacing w:line="300" w:lineRule="exact"/>
                    <w:jc w:val="center"/>
                    <w:rPr>
                      <w:bCs/>
                      <w:color w:val="auto"/>
                      <w:szCs w:val="21"/>
                      <w:highlight w:val="none"/>
                    </w:rPr>
                  </w:pPr>
                  <w:r>
                    <w:rPr>
                      <w:bCs/>
                      <w:color w:val="auto"/>
                      <w:szCs w:val="21"/>
                      <w:highlight w:val="none"/>
                    </w:rPr>
                    <w:t>8</w:t>
                  </w:r>
                </w:p>
              </w:tc>
              <w:tc>
                <w:tcPr>
                  <w:tcW w:w="1239" w:type="pct"/>
                  <w:vAlign w:val="center"/>
                </w:tcPr>
                <w:p w14:paraId="448137F1">
                  <w:pPr>
                    <w:adjustRightInd w:val="0"/>
                    <w:snapToGrid w:val="0"/>
                    <w:spacing w:line="300" w:lineRule="exact"/>
                    <w:jc w:val="center"/>
                    <w:rPr>
                      <w:bCs/>
                      <w:color w:val="auto"/>
                      <w:szCs w:val="21"/>
                      <w:highlight w:val="none"/>
                    </w:rPr>
                  </w:pPr>
                  <w:r>
                    <w:rPr>
                      <w:bCs/>
                      <w:color w:val="auto"/>
                      <w:szCs w:val="21"/>
                      <w:highlight w:val="none"/>
                    </w:rPr>
                    <w:t>水泵、物料输送泵等</w:t>
                  </w:r>
                </w:p>
              </w:tc>
              <w:tc>
                <w:tcPr>
                  <w:tcW w:w="375" w:type="pct"/>
                  <w:vAlign w:val="center"/>
                </w:tcPr>
                <w:p w14:paraId="5518F93C">
                  <w:pPr>
                    <w:adjustRightInd w:val="0"/>
                    <w:snapToGrid w:val="0"/>
                    <w:spacing w:line="300" w:lineRule="exact"/>
                    <w:jc w:val="center"/>
                    <w:rPr>
                      <w:bCs/>
                      <w:color w:val="auto"/>
                      <w:szCs w:val="21"/>
                      <w:highlight w:val="none"/>
                    </w:rPr>
                  </w:pPr>
                  <w:r>
                    <w:rPr>
                      <w:bCs/>
                      <w:color w:val="auto"/>
                      <w:szCs w:val="21"/>
                      <w:highlight w:val="none"/>
                    </w:rPr>
                    <w:t>台</w:t>
                  </w:r>
                </w:p>
              </w:tc>
              <w:tc>
                <w:tcPr>
                  <w:tcW w:w="321" w:type="pct"/>
                  <w:vAlign w:val="center"/>
                </w:tcPr>
                <w:p w14:paraId="613887DA">
                  <w:pPr>
                    <w:adjustRightInd w:val="0"/>
                    <w:snapToGrid w:val="0"/>
                    <w:spacing w:line="300" w:lineRule="exact"/>
                    <w:jc w:val="center"/>
                    <w:rPr>
                      <w:bCs/>
                      <w:color w:val="auto"/>
                      <w:szCs w:val="21"/>
                      <w:highlight w:val="none"/>
                    </w:rPr>
                  </w:pPr>
                  <w:r>
                    <w:rPr>
                      <w:bCs/>
                      <w:color w:val="auto"/>
                      <w:szCs w:val="21"/>
                      <w:highlight w:val="none"/>
                    </w:rPr>
                    <w:t>6</w:t>
                  </w:r>
                </w:p>
              </w:tc>
              <w:tc>
                <w:tcPr>
                  <w:tcW w:w="750" w:type="pct"/>
                  <w:vAlign w:val="center"/>
                </w:tcPr>
                <w:p w14:paraId="739CE29C">
                  <w:pPr>
                    <w:adjustRightInd w:val="0"/>
                    <w:snapToGrid w:val="0"/>
                    <w:spacing w:line="300" w:lineRule="exact"/>
                    <w:jc w:val="center"/>
                    <w:rPr>
                      <w:bCs/>
                      <w:color w:val="auto"/>
                      <w:szCs w:val="21"/>
                      <w:highlight w:val="none"/>
                    </w:rPr>
                  </w:pPr>
                  <w:r>
                    <w:rPr>
                      <w:bCs/>
                      <w:color w:val="auto"/>
                      <w:szCs w:val="21"/>
                      <w:highlight w:val="none"/>
                    </w:rPr>
                    <w:t>/</w:t>
                  </w:r>
                </w:p>
              </w:tc>
              <w:tc>
                <w:tcPr>
                  <w:tcW w:w="1049" w:type="pct"/>
                  <w:vAlign w:val="center"/>
                </w:tcPr>
                <w:p w14:paraId="3471EEB5">
                  <w:pPr>
                    <w:adjustRightInd w:val="0"/>
                    <w:snapToGrid w:val="0"/>
                    <w:spacing w:line="300" w:lineRule="exact"/>
                    <w:jc w:val="center"/>
                    <w:rPr>
                      <w:bCs/>
                      <w:color w:val="auto"/>
                      <w:szCs w:val="21"/>
                      <w:highlight w:val="none"/>
                    </w:rPr>
                  </w:pPr>
                  <w:r>
                    <w:rPr>
                      <w:bCs/>
                      <w:color w:val="auto"/>
                      <w:szCs w:val="21"/>
                      <w:highlight w:val="none"/>
                    </w:rPr>
                    <w:t>/</w:t>
                  </w:r>
                </w:p>
              </w:tc>
              <w:tc>
                <w:tcPr>
                  <w:tcW w:w="887" w:type="pct"/>
                  <w:vMerge w:val="continue"/>
                  <w:vAlign w:val="center"/>
                </w:tcPr>
                <w:p w14:paraId="780A09C2">
                  <w:pPr>
                    <w:adjustRightInd w:val="0"/>
                    <w:snapToGrid w:val="0"/>
                    <w:spacing w:line="300" w:lineRule="exact"/>
                    <w:jc w:val="center"/>
                    <w:rPr>
                      <w:bCs/>
                      <w:color w:val="auto"/>
                      <w:szCs w:val="21"/>
                      <w:highlight w:val="none"/>
                    </w:rPr>
                  </w:pPr>
                </w:p>
              </w:tc>
            </w:tr>
            <w:tr w14:paraId="2FBF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vAlign w:val="center"/>
                </w:tcPr>
                <w:p w14:paraId="0A20783E">
                  <w:pPr>
                    <w:adjustRightInd w:val="0"/>
                    <w:snapToGrid w:val="0"/>
                    <w:spacing w:line="300" w:lineRule="exact"/>
                    <w:jc w:val="center"/>
                    <w:rPr>
                      <w:bCs/>
                      <w:color w:val="auto"/>
                      <w:szCs w:val="21"/>
                      <w:highlight w:val="none"/>
                    </w:rPr>
                  </w:pPr>
                  <w:r>
                    <w:rPr>
                      <w:bCs/>
                      <w:color w:val="auto"/>
                      <w:szCs w:val="21"/>
                      <w:highlight w:val="none"/>
                    </w:rPr>
                    <w:t>9</w:t>
                  </w:r>
                </w:p>
              </w:tc>
              <w:tc>
                <w:tcPr>
                  <w:tcW w:w="1239" w:type="pct"/>
                  <w:shd w:val="clear" w:color="auto" w:fill="auto"/>
                  <w:vAlign w:val="center"/>
                </w:tcPr>
                <w:p w14:paraId="1577D053">
                  <w:pPr>
                    <w:adjustRightInd w:val="0"/>
                    <w:snapToGrid w:val="0"/>
                    <w:spacing w:line="300" w:lineRule="exact"/>
                    <w:jc w:val="center"/>
                    <w:rPr>
                      <w:bCs/>
                      <w:color w:val="auto"/>
                      <w:szCs w:val="21"/>
                      <w:highlight w:val="none"/>
                    </w:rPr>
                  </w:pPr>
                  <w:r>
                    <w:rPr>
                      <w:bCs/>
                      <w:color w:val="auto"/>
                      <w:szCs w:val="21"/>
                      <w:highlight w:val="none"/>
                    </w:rPr>
                    <w:t>一级沉淀桶</w:t>
                  </w:r>
                </w:p>
              </w:tc>
              <w:tc>
                <w:tcPr>
                  <w:tcW w:w="375" w:type="pct"/>
                  <w:shd w:val="clear" w:color="auto" w:fill="auto"/>
                  <w:vAlign w:val="center"/>
                </w:tcPr>
                <w:p w14:paraId="3D85C95A">
                  <w:pPr>
                    <w:adjustRightInd w:val="0"/>
                    <w:snapToGrid w:val="0"/>
                    <w:spacing w:line="300" w:lineRule="exact"/>
                    <w:jc w:val="center"/>
                    <w:rPr>
                      <w:bCs/>
                      <w:color w:val="auto"/>
                      <w:szCs w:val="21"/>
                      <w:highlight w:val="none"/>
                    </w:rPr>
                  </w:pPr>
                  <w:r>
                    <w:rPr>
                      <w:bCs/>
                      <w:color w:val="auto"/>
                      <w:szCs w:val="21"/>
                      <w:highlight w:val="none"/>
                    </w:rPr>
                    <w:t>桶</w:t>
                  </w:r>
                </w:p>
              </w:tc>
              <w:tc>
                <w:tcPr>
                  <w:tcW w:w="321" w:type="pct"/>
                  <w:shd w:val="clear" w:color="auto" w:fill="auto"/>
                  <w:vAlign w:val="center"/>
                </w:tcPr>
                <w:p w14:paraId="1D10D639">
                  <w:pPr>
                    <w:adjustRightInd w:val="0"/>
                    <w:snapToGrid w:val="0"/>
                    <w:spacing w:line="300" w:lineRule="exact"/>
                    <w:jc w:val="center"/>
                    <w:rPr>
                      <w:bCs/>
                      <w:color w:val="auto"/>
                      <w:szCs w:val="21"/>
                      <w:highlight w:val="none"/>
                    </w:rPr>
                  </w:pPr>
                  <w:r>
                    <w:rPr>
                      <w:bCs/>
                      <w:color w:val="auto"/>
                      <w:szCs w:val="21"/>
                      <w:highlight w:val="none"/>
                    </w:rPr>
                    <w:t>20</w:t>
                  </w:r>
                </w:p>
              </w:tc>
              <w:tc>
                <w:tcPr>
                  <w:tcW w:w="750" w:type="pct"/>
                  <w:shd w:val="clear" w:color="auto" w:fill="auto"/>
                  <w:vAlign w:val="center"/>
                </w:tcPr>
                <w:p w14:paraId="44205198">
                  <w:pPr>
                    <w:adjustRightInd w:val="0"/>
                    <w:snapToGrid w:val="0"/>
                    <w:spacing w:line="300" w:lineRule="exact"/>
                    <w:jc w:val="center"/>
                    <w:rPr>
                      <w:bCs/>
                      <w:color w:val="auto"/>
                      <w:szCs w:val="21"/>
                      <w:highlight w:val="none"/>
                    </w:rPr>
                  </w:pPr>
                  <w:r>
                    <w:rPr>
                      <w:bCs/>
                      <w:color w:val="auto"/>
                      <w:szCs w:val="21"/>
                      <w:highlight w:val="none"/>
                    </w:rPr>
                    <w:t>400L/桶</w:t>
                  </w:r>
                </w:p>
              </w:tc>
              <w:tc>
                <w:tcPr>
                  <w:tcW w:w="1049" w:type="pct"/>
                  <w:shd w:val="clear" w:color="auto" w:fill="auto"/>
                  <w:vAlign w:val="center"/>
                </w:tcPr>
                <w:p w14:paraId="7226711B">
                  <w:pPr>
                    <w:adjustRightInd w:val="0"/>
                    <w:snapToGrid w:val="0"/>
                    <w:spacing w:line="300" w:lineRule="exact"/>
                    <w:jc w:val="center"/>
                    <w:rPr>
                      <w:bCs/>
                      <w:color w:val="auto"/>
                      <w:szCs w:val="21"/>
                      <w:highlight w:val="none"/>
                    </w:rPr>
                  </w:pPr>
                  <w:r>
                    <w:rPr>
                      <w:bCs/>
                      <w:color w:val="auto"/>
                      <w:szCs w:val="21"/>
                      <w:highlight w:val="none"/>
                    </w:rPr>
                    <w:t>一级沉淀</w:t>
                  </w:r>
                </w:p>
              </w:tc>
              <w:tc>
                <w:tcPr>
                  <w:tcW w:w="887" w:type="pct"/>
                  <w:vMerge w:val="restart"/>
                  <w:vAlign w:val="center"/>
                </w:tcPr>
                <w:p w14:paraId="4A8559F8">
                  <w:pPr>
                    <w:adjustRightInd w:val="0"/>
                    <w:snapToGrid w:val="0"/>
                    <w:spacing w:line="300" w:lineRule="exact"/>
                    <w:jc w:val="center"/>
                    <w:rPr>
                      <w:bCs/>
                      <w:color w:val="auto"/>
                      <w:szCs w:val="21"/>
                      <w:highlight w:val="none"/>
                    </w:rPr>
                  </w:pPr>
                  <w:r>
                    <w:rPr>
                      <w:bCs/>
                      <w:color w:val="auto"/>
                      <w:szCs w:val="21"/>
                      <w:highlight w:val="none"/>
                    </w:rPr>
                    <w:t>沉淀间</w:t>
                  </w:r>
                </w:p>
              </w:tc>
            </w:tr>
            <w:tr w14:paraId="440B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vAlign w:val="center"/>
                </w:tcPr>
                <w:p w14:paraId="2215C6C7">
                  <w:pPr>
                    <w:adjustRightInd w:val="0"/>
                    <w:snapToGrid w:val="0"/>
                    <w:spacing w:line="300" w:lineRule="exact"/>
                    <w:jc w:val="center"/>
                    <w:rPr>
                      <w:bCs/>
                      <w:color w:val="auto"/>
                      <w:szCs w:val="21"/>
                      <w:highlight w:val="none"/>
                    </w:rPr>
                  </w:pPr>
                  <w:r>
                    <w:rPr>
                      <w:bCs/>
                      <w:color w:val="auto"/>
                      <w:szCs w:val="21"/>
                      <w:highlight w:val="none"/>
                    </w:rPr>
                    <w:t>10</w:t>
                  </w:r>
                </w:p>
              </w:tc>
              <w:tc>
                <w:tcPr>
                  <w:tcW w:w="1239" w:type="pct"/>
                  <w:shd w:val="clear" w:color="auto" w:fill="auto"/>
                  <w:vAlign w:val="center"/>
                </w:tcPr>
                <w:p w14:paraId="6BAAB4DB">
                  <w:pPr>
                    <w:adjustRightInd w:val="0"/>
                    <w:snapToGrid w:val="0"/>
                    <w:spacing w:line="300" w:lineRule="exact"/>
                    <w:jc w:val="center"/>
                    <w:rPr>
                      <w:bCs/>
                      <w:color w:val="auto"/>
                      <w:szCs w:val="21"/>
                      <w:highlight w:val="none"/>
                    </w:rPr>
                  </w:pPr>
                  <w:r>
                    <w:rPr>
                      <w:bCs/>
                      <w:color w:val="auto"/>
                      <w:szCs w:val="21"/>
                      <w:highlight w:val="none"/>
                    </w:rPr>
                    <w:t>二级沉淀桶</w:t>
                  </w:r>
                </w:p>
              </w:tc>
              <w:tc>
                <w:tcPr>
                  <w:tcW w:w="375" w:type="pct"/>
                  <w:shd w:val="clear" w:color="auto" w:fill="auto"/>
                  <w:vAlign w:val="center"/>
                </w:tcPr>
                <w:p w14:paraId="436B2E3C">
                  <w:pPr>
                    <w:adjustRightInd w:val="0"/>
                    <w:snapToGrid w:val="0"/>
                    <w:spacing w:line="300" w:lineRule="exact"/>
                    <w:jc w:val="center"/>
                    <w:rPr>
                      <w:bCs/>
                      <w:color w:val="auto"/>
                      <w:szCs w:val="21"/>
                      <w:highlight w:val="none"/>
                    </w:rPr>
                  </w:pPr>
                  <w:r>
                    <w:rPr>
                      <w:bCs/>
                      <w:color w:val="auto"/>
                      <w:szCs w:val="21"/>
                      <w:highlight w:val="none"/>
                    </w:rPr>
                    <w:t>桶</w:t>
                  </w:r>
                </w:p>
              </w:tc>
              <w:tc>
                <w:tcPr>
                  <w:tcW w:w="321" w:type="pct"/>
                  <w:shd w:val="clear" w:color="auto" w:fill="auto"/>
                  <w:vAlign w:val="center"/>
                </w:tcPr>
                <w:p w14:paraId="1782E172">
                  <w:pPr>
                    <w:adjustRightInd w:val="0"/>
                    <w:snapToGrid w:val="0"/>
                    <w:spacing w:line="300" w:lineRule="exact"/>
                    <w:jc w:val="center"/>
                    <w:rPr>
                      <w:bCs/>
                      <w:color w:val="auto"/>
                      <w:szCs w:val="21"/>
                      <w:highlight w:val="none"/>
                    </w:rPr>
                  </w:pPr>
                  <w:r>
                    <w:rPr>
                      <w:bCs/>
                      <w:color w:val="auto"/>
                      <w:szCs w:val="21"/>
                      <w:highlight w:val="none"/>
                    </w:rPr>
                    <w:t>80</w:t>
                  </w:r>
                </w:p>
              </w:tc>
              <w:tc>
                <w:tcPr>
                  <w:tcW w:w="750" w:type="pct"/>
                  <w:shd w:val="clear" w:color="auto" w:fill="auto"/>
                  <w:vAlign w:val="center"/>
                </w:tcPr>
                <w:p w14:paraId="5885BD0B">
                  <w:pPr>
                    <w:adjustRightInd w:val="0"/>
                    <w:snapToGrid w:val="0"/>
                    <w:spacing w:line="300" w:lineRule="exact"/>
                    <w:jc w:val="center"/>
                    <w:rPr>
                      <w:bCs/>
                      <w:color w:val="auto"/>
                      <w:szCs w:val="21"/>
                      <w:highlight w:val="none"/>
                    </w:rPr>
                  </w:pPr>
                  <w:r>
                    <w:rPr>
                      <w:bCs/>
                      <w:color w:val="auto"/>
                      <w:szCs w:val="21"/>
                      <w:highlight w:val="none"/>
                    </w:rPr>
                    <w:t>100L/桶</w:t>
                  </w:r>
                </w:p>
              </w:tc>
              <w:tc>
                <w:tcPr>
                  <w:tcW w:w="1049" w:type="pct"/>
                  <w:shd w:val="clear" w:color="auto" w:fill="auto"/>
                  <w:vAlign w:val="center"/>
                </w:tcPr>
                <w:p w14:paraId="5159B0AA">
                  <w:pPr>
                    <w:adjustRightInd w:val="0"/>
                    <w:snapToGrid w:val="0"/>
                    <w:spacing w:line="300" w:lineRule="exact"/>
                    <w:jc w:val="center"/>
                    <w:rPr>
                      <w:bCs/>
                      <w:color w:val="auto"/>
                      <w:szCs w:val="21"/>
                      <w:highlight w:val="none"/>
                    </w:rPr>
                  </w:pPr>
                  <w:r>
                    <w:rPr>
                      <w:bCs/>
                      <w:color w:val="auto"/>
                      <w:szCs w:val="21"/>
                      <w:highlight w:val="none"/>
                    </w:rPr>
                    <w:t>二级沉淀</w:t>
                  </w:r>
                </w:p>
              </w:tc>
              <w:tc>
                <w:tcPr>
                  <w:tcW w:w="887" w:type="pct"/>
                  <w:vMerge w:val="continue"/>
                  <w:vAlign w:val="center"/>
                </w:tcPr>
                <w:p w14:paraId="0E197C06">
                  <w:pPr>
                    <w:adjustRightInd w:val="0"/>
                    <w:snapToGrid w:val="0"/>
                    <w:spacing w:line="300" w:lineRule="exact"/>
                    <w:jc w:val="center"/>
                    <w:rPr>
                      <w:bCs/>
                      <w:color w:val="auto"/>
                      <w:szCs w:val="21"/>
                      <w:highlight w:val="none"/>
                    </w:rPr>
                  </w:pPr>
                </w:p>
              </w:tc>
            </w:tr>
            <w:tr w14:paraId="7A1C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792FD0C7">
                  <w:pPr>
                    <w:adjustRightInd w:val="0"/>
                    <w:snapToGrid w:val="0"/>
                    <w:spacing w:line="300" w:lineRule="exact"/>
                    <w:jc w:val="center"/>
                    <w:rPr>
                      <w:bCs/>
                      <w:color w:val="auto"/>
                      <w:szCs w:val="21"/>
                      <w:highlight w:val="none"/>
                    </w:rPr>
                  </w:pPr>
                  <w:r>
                    <w:rPr>
                      <w:bCs/>
                      <w:color w:val="auto"/>
                      <w:szCs w:val="21"/>
                      <w:highlight w:val="none"/>
                    </w:rPr>
                    <w:t>11</w:t>
                  </w:r>
                </w:p>
              </w:tc>
              <w:tc>
                <w:tcPr>
                  <w:tcW w:w="1239" w:type="pct"/>
                  <w:vAlign w:val="center"/>
                </w:tcPr>
                <w:p w14:paraId="4281F9CC">
                  <w:pPr>
                    <w:adjustRightInd w:val="0"/>
                    <w:snapToGrid w:val="0"/>
                    <w:spacing w:line="300" w:lineRule="exact"/>
                    <w:jc w:val="center"/>
                    <w:rPr>
                      <w:bCs/>
                      <w:color w:val="auto"/>
                      <w:szCs w:val="21"/>
                      <w:highlight w:val="none"/>
                    </w:rPr>
                  </w:pPr>
                  <w:r>
                    <w:rPr>
                      <w:bCs/>
                      <w:color w:val="auto"/>
                      <w:szCs w:val="21"/>
                      <w:highlight w:val="none"/>
                    </w:rPr>
                    <w:t>烘干机</w:t>
                  </w:r>
                </w:p>
              </w:tc>
              <w:tc>
                <w:tcPr>
                  <w:tcW w:w="375" w:type="pct"/>
                  <w:vAlign w:val="center"/>
                </w:tcPr>
                <w:p w14:paraId="3960273C">
                  <w:pPr>
                    <w:adjustRightInd w:val="0"/>
                    <w:snapToGrid w:val="0"/>
                    <w:spacing w:line="300" w:lineRule="exact"/>
                    <w:jc w:val="center"/>
                    <w:rPr>
                      <w:bCs/>
                      <w:color w:val="auto"/>
                      <w:szCs w:val="21"/>
                      <w:highlight w:val="none"/>
                    </w:rPr>
                  </w:pPr>
                  <w:r>
                    <w:rPr>
                      <w:bCs/>
                      <w:color w:val="auto"/>
                      <w:szCs w:val="21"/>
                      <w:highlight w:val="none"/>
                    </w:rPr>
                    <w:t>台</w:t>
                  </w:r>
                </w:p>
              </w:tc>
              <w:tc>
                <w:tcPr>
                  <w:tcW w:w="321" w:type="pct"/>
                  <w:vAlign w:val="center"/>
                </w:tcPr>
                <w:p w14:paraId="5B84627A">
                  <w:pPr>
                    <w:adjustRightInd w:val="0"/>
                    <w:snapToGrid w:val="0"/>
                    <w:spacing w:line="300" w:lineRule="exact"/>
                    <w:jc w:val="center"/>
                    <w:rPr>
                      <w:bCs/>
                      <w:color w:val="auto"/>
                      <w:szCs w:val="21"/>
                      <w:highlight w:val="none"/>
                    </w:rPr>
                  </w:pPr>
                  <w:r>
                    <w:rPr>
                      <w:bCs/>
                      <w:color w:val="auto"/>
                      <w:szCs w:val="21"/>
                      <w:highlight w:val="none"/>
                    </w:rPr>
                    <w:t>2</w:t>
                  </w:r>
                </w:p>
              </w:tc>
              <w:tc>
                <w:tcPr>
                  <w:tcW w:w="750" w:type="pct"/>
                  <w:vAlign w:val="center"/>
                </w:tcPr>
                <w:p w14:paraId="4B6D960C">
                  <w:pPr>
                    <w:adjustRightInd w:val="0"/>
                    <w:snapToGrid w:val="0"/>
                    <w:spacing w:line="300" w:lineRule="exact"/>
                    <w:jc w:val="center"/>
                    <w:rPr>
                      <w:bCs/>
                      <w:color w:val="auto"/>
                      <w:szCs w:val="21"/>
                      <w:highlight w:val="none"/>
                    </w:rPr>
                  </w:pPr>
                  <w:r>
                    <w:rPr>
                      <w:bCs/>
                      <w:color w:val="auto"/>
                      <w:szCs w:val="21"/>
                      <w:highlight w:val="none"/>
                    </w:rPr>
                    <w:t>/</w:t>
                  </w:r>
                </w:p>
              </w:tc>
              <w:tc>
                <w:tcPr>
                  <w:tcW w:w="1049" w:type="pct"/>
                  <w:vAlign w:val="center"/>
                </w:tcPr>
                <w:p w14:paraId="20AAE239">
                  <w:pPr>
                    <w:adjustRightInd w:val="0"/>
                    <w:snapToGrid w:val="0"/>
                    <w:spacing w:line="300" w:lineRule="exact"/>
                    <w:jc w:val="center"/>
                    <w:rPr>
                      <w:bCs/>
                      <w:color w:val="auto"/>
                      <w:szCs w:val="21"/>
                      <w:highlight w:val="none"/>
                    </w:rPr>
                  </w:pPr>
                  <w:r>
                    <w:rPr>
                      <w:bCs/>
                      <w:color w:val="auto"/>
                      <w:szCs w:val="21"/>
                      <w:highlight w:val="none"/>
                    </w:rPr>
                    <w:t>将沉淀得到的块状葛根粉烘干</w:t>
                  </w:r>
                </w:p>
              </w:tc>
              <w:tc>
                <w:tcPr>
                  <w:tcW w:w="887" w:type="pct"/>
                  <w:vAlign w:val="center"/>
                </w:tcPr>
                <w:p w14:paraId="36279544">
                  <w:pPr>
                    <w:adjustRightInd w:val="0"/>
                    <w:snapToGrid w:val="0"/>
                    <w:spacing w:line="300" w:lineRule="exact"/>
                    <w:jc w:val="center"/>
                    <w:rPr>
                      <w:bCs/>
                      <w:color w:val="auto"/>
                      <w:szCs w:val="21"/>
                      <w:highlight w:val="none"/>
                    </w:rPr>
                  </w:pPr>
                  <w:r>
                    <w:rPr>
                      <w:bCs/>
                      <w:color w:val="auto"/>
                      <w:szCs w:val="21"/>
                      <w:highlight w:val="none"/>
                    </w:rPr>
                    <w:t>烘干间</w:t>
                  </w:r>
                </w:p>
              </w:tc>
            </w:tr>
            <w:tr w14:paraId="7131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3820F3E0">
                  <w:pPr>
                    <w:adjustRightInd w:val="0"/>
                    <w:snapToGrid w:val="0"/>
                    <w:spacing w:line="300" w:lineRule="exact"/>
                    <w:jc w:val="center"/>
                    <w:rPr>
                      <w:bCs/>
                      <w:color w:val="auto"/>
                      <w:szCs w:val="21"/>
                      <w:highlight w:val="none"/>
                    </w:rPr>
                  </w:pPr>
                  <w:r>
                    <w:rPr>
                      <w:bCs/>
                      <w:color w:val="auto"/>
                      <w:szCs w:val="21"/>
                      <w:highlight w:val="none"/>
                    </w:rPr>
                    <w:t>12</w:t>
                  </w:r>
                </w:p>
              </w:tc>
              <w:tc>
                <w:tcPr>
                  <w:tcW w:w="1239" w:type="pct"/>
                  <w:vAlign w:val="center"/>
                </w:tcPr>
                <w:p w14:paraId="4E778A8A">
                  <w:pPr>
                    <w:adjustRightInd w:val="0"/>
                    <w:snapToGrid w:val="0"/>
                    <w:spacing w:line="300" w:lineRule="exact"/>
                    <w:jc w:val="center"/>
                    <w:rPr>
                      <w:bCs/>
                      <w:color w:val="auto"/>
                      <w:szCs w:val="21"/>
                      <w:highlight w:val="none"/>
                    </w:rPr>
                  </w:pPr>
                  <w:r>
                    <w:rPr>
                      <w:bCs/>
                      <w:color w:val="auto"/>
                      <w:szCs w:val="21"/>
                      <w:highlight w:val="none"/>
                    </w:rPr>
                    <w:t>紫外消毒柜</w:t>
                  </w:r>
                </w:p>
              </w:tc>
              <w:tc>
                <w:tcPr>
                  <w:tcW w:w="375" w:type="pct"/>
                  <w:vAlign w:val="center"/>
                </w:tcPr>
                <w:p w14:paraId="3631F90B">
                  <w:pPr>
                    <w:adjustRightInd w:val="0"/>
                    <w:snapToGrid w:val="0"/>
                    <w:spacing w:line="300" w:lineRule="exact"/>
                    <w:jc w:val="center"/>
                    <w:rPr>
                      <w:bCs/>
                      <w:color w:val="auto"/>
                      <w:szCs w:val="21"/>
                      <w:highlight w:val="none"/>
                    </w:rPr>
                  </w:pPr>
                  <w:r>
                    <w:rPr>
                      <w:bCs/>
                      <w:color w:val="auto"/>
                      <w:szCs w:val="21"/>
                      <w:highlight w:val="none"/>
                    </w:rPr>
                    <w:t>台</w:t>
                  </w:r>
                </w:p>
              </w:tc>
              <w:tc>
                <w:tcPr>
                  <w:tcW w:w="321" w:type="pct"/>
                  <w:vAlign w:val="center"/>
                </w:tcPr>
                <w:p w14:paraId="082438F2">
                  <w:pPr>
                    <w:adjustRightInd w:val="0"/>
                    <w:snapToGrid w:val="0"/>
                    <w:spacing w:line="300" w:lineRule="exact"/>
                    <w:jc w:val="center"/>
                    <w:rPr>
                      <w:bCs/>
                      <w:color w:val="auto"/>
                      <w:szCs w:val="21"/>
                      <w:highlight w:val="none"/>
                    </w:rPr>
                  </w:pPr>
                  <w:r>
                    <w:rPr>
                      <w:bCs/>
                      <w:color w:val="auto"/>
                      <w:szCs w:val="21"/>
                      <w:highlight w:val="none"/>
                    </w:rPr>
                    <w:t>1</w:t>
                  </w:r>
                </w:p>
              </w:tc>
              <w:tc>
                <w:tcPr>
                  <w:tcW w:w="750" w:type="pct"/>
                  <w:vAlign w:val="center"/>
                </w:tcPr>
                <w:p w14:paraId="2842A4CC">
                  <w:pPr>
                    <w:adjustRightInd w:val="0"/>
                    <w:snapToGrid w:val="0"/>
                    <w:spacing w:line="300" w:lineRule="exact"/>
                    <w:jc w:val="center"/>
                    <w:rPr>
                      <w:bCs/>
                      <w:color w:val="auto"/>
                      <w:szCs w:val="21"/>
                      <w:highlight w:val="none"/>
                    </w:rPr>
                  </w:pPr>
                  <w:r>
                    <w:rPr>
                      <w:bCs/>
                      <w:color w:val="auto"/>
                      <w:szCs w:val="21"/>
                      <w:highlight w:val="none"/>
                    </w:rPr>
                    <w:t>/</w:t>
                  </w:r>
                </w:p>
              </w:tc>
              <w:tc>
                <w:tcPr>
                  <w:tcW w:w="1049" w:type="pct"/>
                  <w:vAlign w:val="center"/>
                </w:tcPr>
                <w:p w14:paraId="5B916482">
                  <w:pPr>
                    <w:adjustRightInd w:val="0"/>
                    <w:snapToGrid w:val="0"/>
                    <w:spacing w:line="300" w:lineRule="exact"/>
                    <w:jc w:val="center"/>
                    <w:rPr>
                      <w:bCs/>
                      <w:color w:val="auto"/>
                      <w:szCs w:val="21"/>
                      <w:highlight w:val="none"/>
                    </w:rPr>
                  </w:pPr>
                  <w:r>
                    <w:rPr>
                      <w:bCs/>
                      <w:color w:val="auto"/>
                      <w:szCs w:val="21"/>
                      <w:highlight w:val="none"/>
                    </w:rPr>
                    <w:t>对内包装袋进行消毒</w:t>
                  </w:r>
                </w:p>
              </w:tc>
              <w:tc>
                <w:tcPr>
                  <w:tcW w:w="887" w:type="pct"/>
                  <w:vMerge w:val="restart"/>
                  <w:vAlign w:val="center"/>
                </w:tcPr>
                <w:p w14:paraId="4922E9C7">
                  <w:pPr>
                    <w:adjustRightInd w:val="0"/>
                    <w:snapToGrid w:val="0"/>
                    <w:spacing w:line="300" w:lineRule="exact"/>
                    <w:jc w:val="center"/>
                    <w:rPr>
                      <w:bCs/>
                      <w:color w:val="auto"/>
                      <w:szCs w:val="21"/>
                      <w:highlight w:val="none"/>
                    </w:rPr>
                  </w:pPr>
                  <w:r>
                    <w:rPr>
                      <w:bCs/>
                      <w:color w:val="auto"/>
                      <w:szCs w:val="21"/>
                      <w:highlight w:val="none"/>
                    </w:rPr>
                    <w:t>包装间</w:t>
                  </w:r>
                </w:p>
              </w:tc>
            </w:tr>
            <w:tr w14:paraId="119A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39F6B96C">
                  <w:pPr>
                    <w:adjustRightInd w:val="0"/>
                    <w:snapToGrid w:val="0"/>
                    <w:spacing w:line="300" w:lineRule="exact"/>
                    <w:jc w:val="center"/>
                    <w:rPr>
                      <w:bCs/>
                      <w:color w:val="auto"/>
                      <w:szCs w:val="21"/>
                      <w:highlight w:val="none"/>
                    </w:rPr>
                  </w:pPr>
                  <w:r>
                    <w:rPr>
                      <w:bCs/>
                      <w:color w:val="auto"/>
                      <w:szCs w:val="21"/>
                      <w:highlight w:val="none"/>
                    </w:rPr>
                    <w:t>13</w:t>
                  </w:r>
                </w:p>
              </w:tc>
              <w:tc>
                <w:tcPr>
                  <w:tcW w:w="1239" w:type="pct"/>
                  <w:vAlign w:val="center"/>
                </w:tcPr>
                <w:p w14:paraId="205AB8BF">
                  <w:pPr>
                    <w:adjustRightInd w:val="0"/>
                    <w:snapToGrid w:val="0"/>
                    <w:spacing w:line="300" w:lineRule="exact"/>
                    <w:jc w:val="center"/>
                    <w:rPr>
                      <w:bCs/>
                      <w:color w:val="auto"/>
                      <w:szCs w:val="21"/>
                      <w:highlight w:val="none"/>
                    </w:rPr>
                  </w:pPr>
                  <w:r>
                    <w:rPr>
                      <w:bCs/>
                      <w:color w:val="auto"/>
                      <w:szCs w:val="21"/>
                      <w:highlight w:val="none"/>
                    </w:rPr>
                    <w:t>包装机</w:t>
                  </w:r>
                </w:p>
              </w:tc>
              <w:tc>
                <w:tcPr>
                  <w:tcW w:w="375" w:type="pct"/>
                  <w:vAlign w:val="center"/>
                </w:tcPr>
                <w:p w14:paraId="5EA40B44">
                  <w:pPr>
                    <w:adjustRightInd w:val="0"/>
                    <w:snapToGrid w:val="0"/>
                    <w:spacing w:line="300" w:lineRule="exact"/>
                    <w:jc w:val="center"/>
                    <w:rPr>
                      <w:bCs/>
                      <w:color w:val="auto"/>
                      <w:szCs w:val="21"/>
                      <w:highlight w:val="none"/>
                    </w:rPr>
                  </w:pPr>
                  <w:r>
                    <w:rPr>
                      <w:bCs/>
                      <w:color w:val="auto"/>
                      <w:szCs w:val="21"/>
                      <w:highlight w:val="none"/>
                    </w:rPr>
                    <w:t>台</w:t>
                  </w:r>
                </w:p>
              </w:tc>
              <w:tc>
                <w:tcPr>
                  <w:tcW w:w="321" w:type="pct"/>
                  <w:vAlign w:val="center"/>
                </w:tcPr>
                <w:p w14:paraId="020676BC">
                  <w:pPr>
                    <w:adjustRightInd w:val="0"/>
                    <w:snapToGrid w:val="0"/>
                    <w:spacing w:line="300" w:lineRule="exact"/>
                    <w:jc w:val="center"/>
                    <w:rPr>
                      <w:bCs/>
                      <w:color w:val="auto"/>
                      <w:szCs w:val="21"/>
                      <w:highlight w:val="none"/>
                    </w:rPr>
                  </w:pPr>
                  <w:r>
                    <w:rPr>
                      <w:bCs/>
                      <w:color w:val="auto"/>
                      <w:szCs w:val="21"/>
                      <w:highlight w:val="none"/>
                    </w:rPr>
                    <w:t>2</w:t>
                  </w:r>
                </w:p>
              </w:tc>
              <w:tc>
                <w:tcPr>
                  <w:tcW w:w="750" w:type="pct"/>
                  <w:vAlign w:val="center"/>
                </w:tcPr>
                <w:p w14:paraId="1CA48F79">
                  <w:pPr>
                    <w:adjustRightInd w:val="0"/>
                    <w:snapToGrid w:val="0"/>
                    <w:spacing w:line="300" w:lineRule="exact"/>
                    <w:jc w:val="center"/>
                    <w:rPr>
                      <w:bCs/>
                      <w:color w:val="auto"/>
                      <w:szCs w:val="21"/>
                      <w:highlight w:val="none"/>
                    </w:rPr>
                  </w:pPr>
                  <w:r>
                    <w:rPr>
                      <w:bCs/>
                      <w:color w:val="auto"/>
                      <w:szCs w:val="21"/>
                      <w:highlight w:val="none"/>
                    </w:rPr>
                    <w:t>/</w:t>
                  </w:r>
                </w:p>
              </w:tc>
              <w:tc>
                <w:tcPr>
                  <w:tcW w:w="1049" w:type="pct"/>
                  <w:vAlign w:val="center"/>
                </w:tcPr>
                <w:p w14:paraId="4F7EB620">
                  <w:pPr>
                    <w:adjustRightInd w:val="0"/>
                    <w:snapToGrid w:val="0"/>
                    <w:spacing w:line="300" w:lineRule="exact"/>
                    <w:jc w:val="center"/>
                    <w:rPr>
                      <w:bCs/>
                      <w:color w:val="auto"/>
                      <w:szCs w:val="21"/>
                      <w:highlight w:val="none"/>
                    </w:rPr>
                  </w:pPr>
                  <w:r>
                    <w:rPr>
                      <w:bCs/>
                      <w:color w:val="auto"/>
                      <w:szCs w:val="21"/>
                      <w:highlight w:val="none"/>
                    </w:rPr>
                    <w:t>将得到的葛根粉成品按规格包装</w:t>
                  </w:r>
                </w:p>
              </w:tc>
              <w:tc>
                <w:tcPr>
                  <w:tcW w:w="887" w:type="pct"/>
                  <w:vMerge w:val="continue"/>
                  <w:vAlign w:val="center"/>
                </w:tcPr>
                <w:p w14:paraId="2B717831">
                  <w:pPr>
                    <w:adjustRightInd w:val="0"/>
                    <w:snapToGrid w:val="0"/>
                    <w:spacing w:line="300" w:lineRule="exact"/>
                    <w:jc w:val="center"/>
                    <w:rPr>
                      <w:bCs/>
                      <w:color w:val="auto"/>
                      <w:szCs w:val="21"/>
                      <w:highlight w:val="none"/>
                    </w:rPr>
                  </w:pPr>
                </w:p>
              </w:tc>
            </w:tr>
            <w:tr w14:paraId="7271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233C88D7">
                  <w:pPr>
                    <w:adjustRightInd w:val="0"/>
                    <w:snapToGrid w:val="0"/>
                    <w:spacing w:line="300" w:lineRule="exact"/>
                    <w:jc w:val="center"/>
                    <w:rPr>
                      <w:bCs/>
                      <w:color w:val="auto"/>
                      <w:szCs w:val="21"/>
                      <w:highlight w:val="none"/>
                    </w:rPr>
                  </w:pPr>
                  <w:r>
                    <w:rPr>
                      <w:b/>
                      <w:color w:val="auto"/>
                      <w:szCs w:val="21"/>
                      <w:highlight w:val="none"/>
                    </w:rPr>
                    <w:t>二、</w:t>
                  </w:r>
                </w:p>
              </w:tc>
              <w:tc>
                <w:tcPr>
                  <w:tcW w:w="4622" w:type="pct"/>
                  <w:gridSpan w:val="6"/>
                  <w:vAlign w:val="center"/>
                </w:tcPr>
                <w:p w14:paraId="6ECCA1A2">
                  <w:pPr>
                    <w:adjustRightInd w:val="0"/>
                    <w:snapToGrid w:val="0"/>
                    <w:spacing w:line="300" w:lineRule="exact"/>
                    <w:jc w:val="left"/>
                    <w:rPr>
                      <w:b/>
                      <w:color w:val="auto"/>
                      <w:szCs w:val="21"/>
                      <w:highlight w:val="none"/>
                    </w:rPr>
                  </w:pPr>
                  <w:r>
                    <w:rPr>
                      <w:b/>
                      <w:color w:val="auto"/>
                      <w:szCs w:val="21"/>
                      <w:highlight w:val="none"/>
                    </w:rPr>
                    <w:t>检测设备</w:t>
                  </w:r>
                </w:p>
              </w:tc>
            </w:tr>
            <w:tr w14:paraId="0BB9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Borders>
                    <w:right w:val="single" w:color="auto" w:sz="4" w:space="0"/>
                  </w:tcBorders>
                  <w:vAlign w:val="center"/>
                </w:tcPr>
                <w:p w14:paraId="056B1979">
                  <w:pPr>
                    <w:adjustRightInd w:val="0"/>
                    <w:snapToGrid w:val="0"/>
                    <w:spacing w:line="300" w:lineRule="exact"/>
                    <w:jc w:val="center"/>
                    <w:rPr>
                      <w:bCs/>
                      <w:color w:val="auto"/>
                      <w:szCs w:val="21"/>
                      <w:highlight w:val="none"/>
                    </w:rPr>
                  </w:pPr>
                  <w:r>
                    <w:rPr>
                      <w:bCs/>
                      <w:color w:val="auto"/>
                      <w:szCs w:val="21"/>
                      <w:highlight w:val="none"/>
                    </w:rPr>
                    <w:t>1</w:t>
                  </w:r>
                </w:p>
              </w:tc>
              <w:tc>
                <w:tcPr>
                  <w:tcW w:w="1239" w:type="pct"/>
                  <w:tcBorders>
                    <w:left w:val="single" w:color="auto" w:sz="4" w:space="0"/>
                    <w:right w:val="single" w:color="auto" w:sz="4" w:space="0"/>
                  </w:tcBorders>
                  <w:vAlign w:val="center"/>
                </w:tcPr>
                <w:p w14:paraId="4BC94BE6">
                  <w:pPr>
                    <w:adjustRightInd w:val="0"/>
                    <w:snapToGrid w:val="0"/>
                    <w:spacing w:line="300" w:lineRule="exact"/>
                    <w:jc w:val="center"/>
                    <w:rPr>
                      <w:bCs/>
                      <w:color w:val="auto"/>
                      <w:szCs w:val="21"/>
                      <w:highlight w:val="none"/>
                    </w:rPr>
                  </w:pPr>
                  <w:r>
                    <w:rPr>
                      <w:bCs/>
                      <w:color w:val="auto"/>
                      <w:szCs w:val="21"/>
                      <w:highlight w:val="none"/>
                    </w:rPr>
                    <w:t>天平</w:t>
                  </w:r>
                </w:p>
              </w:tc>
              <w:tc>
                <w:tcPr>
                  <w:tcW w:w="375" w:type="pct"/>
                  <w:tcBorders>
                    <w:left w:val="single" w:color="auto" w:sz="4" w:space="0"/>
                    <w:right w:val="single" w:color="auto" w:sz="4" w:space="0"/>
                  </w:tcBorders>
                  <w:vAlign w:val="center"/>
                </w:tcPr>
                <w:p w14:paraId="476BBFA4">
                  <w:pPr>
                    <w:adjustRightInd w:val="0"/>
                    <w:snapToGrid w:val="0"/>
                    <w:spacing w:line="300" w:lineRule="exact"/>
                    <w:jc w:val="center"/>
                    <w:rPr>
                      <w:bCs/>
                      <w:color w:val="auto"/>
                      <w:szCs w:val="21"/>
                      <w:highlight w:val="none"/>
                    </w:rPr>
                  </w:pPr>
                  <w:r>
                    <w:rPr>
                      <w:bCs/>
                      <w:color w:val="auto"/>
                      <w:szCs w:val="21"/>
                      <w:highlight w:val="none"/>
                    </w:rPr>
                    <w:t>台</w:t>
                  </w:r>
                </w:p>
              </w:tc>
              <w:tc>
                <w:tcPr>
                  <w:tcW w:w="321" w:type="pct"/>
                  <w:tcBorders>
                    <w:left w:val="single" w:color="auto" w:sz="4" w:space="0"/>
                    <w:right w:val="single" w:color="auto" w:sz="4" w:space="0"/>
                  </w:tcBorders>
                  <w:vAlign w:val="center"/>
                </w:tcPr>
                <w:p w14:paraId="0C777DAF">
                  <w:pPr>
                    <w:adjustRightInd w:val="0"/>
                    <w:snapToGrid w:val="0"/>
                    <w:spacing w:line="300" w:lineRule="exact"/>
                    <w:jc w:val="center"/>
                    <w:rPr>
                      <w:bCs/>
                      <w:color w:val="auto"/>
                      <w:szCs w:val="21"/>
                      <w:highlight w:val="none"/>
                    </w:rPr>
                  </w:pPr>
                  <w:r>
                    <w:rPr>
                      <w:bCs/>
                      <w:color w:val="auto"/>
                      <w:szCs w:val="21"/>
                      <w:highlight w:val="none"/>
                    </w:rPr>
                    <w:t>1</w:t>
                  </w:r>
                </w:p>
              </w:tc>
              <w:tc>
                <w:tcPr>
                  <w:tcW w:w="750" w:type="pct"/>
                  <w:tcBorders>
                    <w:left w:val="single" w:color="auto" w:sz="4" w:space="0"/>
                    <w:right w:val="single" w:color="auto" w:sz="4" w:space="0"/>
                  </w:tcBorders>
                  <w:vAlign w:val="center"/>
                </w:tcPr>
                <w:p w14:paraId="2D220EF9">
                  <w:pPr>
                    <w:adjustRightInd w:val="0"/>
                    <w:snapToGrid w:val="0"/>
                    <w:spacing w:line="300" w:lineRule="exact"/>
                    <w:jc w:val="center"/>
                    <w:rPr>
                      <w:bCs/>
                      <w:color w:val="auto"/>
                      <w:szCs w:val="21"/>
                      <w:highlight w:val="none"/>
                    </w:rPr>
                  </w:pPr>
                  <w:r>
                    <w:rPr>
                      <w:bCs/>
                      <w:color w:val="auto"/>
                      <w:szCs w:val="21"/>
                      <w:highlight w:val="none"/>
                    </w:rPr>
                    <w:t>0.1g</w:t>
                  </w:r>
                </w:p>
              </w:tc>
              <w:tc>
                <w:tcPr>
                  <w:tcW w:w="1049" w:type="pct"/>
                  <w:tcBorders>
                    <w:left w:val="single" w:color="auto" w:sz="4" w:space="0"/>
                  </w:tcBorders>
                  <w:vAlign w:val="center"/>
                </w:tcPr>
                <w:p w14:paraId="6EFE2182">
                  <w:pPr>
                    <w:adjustRightInd w:val="0"/>
                    <w:snapToGrid w:val="0"/>
                    <w:spacing w:line="300" w:lineRule="exact"/>
                    <w:jc w:val="center"/>
                    <w:rPr>
                      <w:bCs/>
                      <w:color w:val="auto"/>
                      <w:szCs w:val="21"/>
                      <w:highlight w:val="none"/>
                    </w:rPr>
                  </w:pPr>
                  <w:r>
                    <w:rPr>
                      <w:bCs/>
                      <w:color w:val="auto"/>
                      <w:szCs w:val="21"/>
                      <w:highlight w:val="none"/>
                    </w:rPr>
                    <w:t>/</w:t>
                  </w:r>
                </w:p>
              </w:tc>
              <w:tc>
                <w:tcPr>
                  <w:tcW w:w="887" w:type="pct"/>
                  <w:vMerge w:val="restart"/>
                  <w:vAlign w:val="center"/>
                </w:tcPr>
                <w:p w14:paraId="47F994ED">
                  <w:pPr>
                    <w:adjustRightInd w:val="0"/>
                    <w:snapToGrid w:val="0"/>
                    <w:spacing w:line="300" w:lineRule="exact"/>
                    <w:jc w:val="center"/>
                    <w:rPr>
                      <w:bCs/>
                      <w:color w:val="auto"/>
                      <w:szCs w:val="21"/>
                      <w:highlight w:val="none"/>
                    </w:rPr>
                  </w:pPr>
                  <w:r>
                    <w:rPr>
                      <w:bCs/>
                      <w:color w:val="auto"/>
                      <w:szCs w:val="21"/>
                      <w:highlight w:val="none"/>
                    </w:rPr>
                    <w:t>检验室</w:t>
                  </w:r>
                </w:p>
              </w:tc>
            </w:tr>
            <w:tr w14:paraId="0141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Borders>
                    <w:right w:val="single" w:color="auto" w:sz="4" w:space="0"/>
                  </w:tcBorders>
                  <w:vAlign w:val="center"/>
                </w:tcPr>
                <w:p w14:paraId="4D414EC0">
                  <w:pPr>
                    <w:adjustRightInd w:val="0"/>
                    <w:snapToGrid w:val="0"/>
                    <w:spacing w:line="300" w:lineRule="exact"/>
                    <w:jc w:val="center"/>
                    <w:rPr>
                      <w:bCs/>
                      <w:color w:val="auto"/>
                      <w:szCs w:val="21"/>
                      <w:highlight w:val="none"/>
                    </w:rPr>
                  </w:pPr>
                  <w:r>
                    <w:rPr>
                      <w:bCs/>
                      <w:color w:val="auto"/>
                      <w:szCs w:val="21"/>
                      <w:highlight w:val="none"/>
                    </w:rPr>
                    <w:t>2</w:t>
                  </w:r>
                </w:p>
              </w:tc>
              <w:tc>
                <w:tcPr>
                  <w:tcW w:w="1239" w:type="pct"/>
                  <w:tcBorders>
                    <w:left w:val="single" w:color="auto" w:sz="4" w:space="0"/>
                    <w:right w:val="single" w:color="auto" w:sz="4" w:space="0"/>
                  </w:tcBorders>
                  <w:vAlign w:val="center"/>
                </w:tcPr>
                <w:p w14:paraId="2F36AA46">
                  <w:pPr>
                    <w:adjustRightInd w:val="0"/>
                    <w:snapToGrid w:val="0"/>
                    <w:spacing w:line="300" w:lineRule="exact"/>
                    <w:jc w:val="center"/>
                    <w:rPr>
                      <w:bCs/>
                      <w:color w:val="auto"/>
                      <w:szCs w:val="21"/>
                      <w:highlight w:val="none"/>
                    </w:rPr>
                  </w:pPr>
                  <w:r>
                    <w:rPr>
                      <w:bCs/>
                      <w:color w:val="auto"/>
                      <w:szCs w:val="21"/>
                      <w:highlight w:val="none"/>
                    </w:rPr>
                    <w:t>分析天平</w:t>
                  </w:r>
                </w:p>
              </w:tc>
              <w:tc>
                <w:tcPr>
                  <w:tcW w:w="375" w:type="pct"/>
                  <w:tcBorders>
                    <w:left w:val="single" w:color="auto" w:sz="4" w:space="0"/>
                    <w:right w:val="single" w:color="auto" w:sz="4" w:space="0"/>
                  </w:tcBorders>
                  <w:vAlign w:val="center"/>
                </w:tcPr>
                <w:p w14:paraId="4BD57E34">
                  <w:pPr>
                    <w:adjustRightInd w:val="0"/>
                    <w:snapToGrid w:val="0"/>
                    <w:spacing w:line="300" w:lineRule="exact"/>
                    <w:jc w:val="center"/>
                    <w:rPr>
                      <w:bCs/>
                      <w:color w:val="auto"/>
                      <w:szCs w:val="21"/>
                      <w:highlight w:val="none"/>
                    </w:rPr>
                  </w:pPr>
                  <w:r>
                    <w:rPr>
                      <w:bCs/>
                      <w:color w:val="auto"/>
                      <w:szCs w:val="21"/>
                      <w:highlight w:val="none"/>
                    </w:rPr>
                    <w:t>台</w:t>
                  </w:r>
                </w:p>
              </w:tc>
              <w:tc>
                <w:tcPr>
                  <w:tcW w:w="321" w:type="pct"/>
                  <w:tcBorders>
                    <w:left w:val="single" w:color="auto" w:sz="4" w:space="0"/>
                    <w:right w:val="single" w:color="auto" w:sz="4" w:space="0"/>
                  </w:tcBorders>
                  <w:vAlign w:val="center"/>
                </w:tcPr>
                <w:p w14:paraId="32B6E0C4">
                  <w:pPr>
                    <w:adjustRightInd w:val="0"/>
                    <w:snapToGrid w:val="0"/>
                    <w:spacing w:line="300" w:lineRule="exact"/>
                    <w:jc w:val="center"/>
                    <w:rPr>
                      <w:bCs/>
                      <w:color w:val="auto"/>
                      <w:szCs w:val="21"/>
                      <w:highlight w:val="none"/>
                    </w:rPr>
                  </w:pPr>
                  <w:r>
                    <w:rPr>
                      <w:bCs/>
                      <w:color w:val="auto"/>
                      <w:szCs w:val="21"/>
                      <w:highlight w:val="none"/>
                    </w:rPr>
                    <w:t>1</w:t>
                  </w:r>
                </w:p>
              </w:tc>
              <w:tc>
                <w:tcPr>
                  <w:tcW w:w="750" w:type="pct"/>
                  <w:tcBorders>
                    <w:left w:val="single" w:color="auto" w:sz="4" w:space="0"/>
                    <w:right w:val="single" w:color="auto" w:sz="4" w:space="0"/>
                  </w:tcBorders>
                  <w:vAlign w:val="center"/>
                </w:tcPr>
                <w:p w14:paraId="65402D2F">
                  <w:pPr>
                    <w:adjustRightInd w:val="0"/>
                    <w:snapToGrid w:val="0"/>
                    <w:spacing w:line="300" w:lineRule="exact"/>
                    <w:jc w:val="center"/>
                    <w:rPr>
                      <w:bCs/>
                      <w:color w:val="auto"/>
                      <w:szCs w:val="21"/>
                      <w:highlight w:val="none"/>
                    </w:rPr>
                  </w:pPr>
                  <w:r>
                    <w:rPr>
                      <w:bCs/>
                      <w:color w:val="auto"/>
                      <w:szCs w:val="21"/>
                      <w:highlight w:val="none"/>
                    </w:rPr>
                    <w:t>0.1mg</w:t>
                  </w:r>
                </w:p>
              </w:tc>
              <w:tc>
                <w:tcPr>
                  <w:tcW w:w="1049" w:type="pct"/>
                  <w:tcBorders>
                    <w:left w:val="single" w:color="auto" w:sz="4" w:space="0"/>
                  </w:tcBorders>
                  <w:vAlign w:val="center"/>
                </w:tcPr>
                <w:p w14:paraId="335D11C9">
                  <w:pPr>
                    <w:adjustRightInd w:val="0"/>
                    <w:snapToGrid w:val="0"/>
                    <w:spacing w:line="300" w:lineRule="exact"/>
                    <w:jc w:val="center"/>
                    <w:rPr>
                      <w:bCs/>
                      <w:color w:val="auto"/>
                      <w:szCs w:val="21"/>
                      <w:highlight w:val="none"/>
                    </w:rPr>
                  </w:pPr>
                  <w:r>
                    <w:rPr>
                      <w:bCs/>
                      <w:color w:val="auto"/>
                      <w:szCs w:val="21"/>
                      <w:highlight w:val="none"/>
                    </w:rPr>
                    <w:t>/</w:t>
                  </w:r>
                </w:p>
              </w:tc>
              <w:tc>
                <w:tcPr>
                  <w:tcW w:w="887" w:type="pct"/>
                  <w:vMerge w:val="continue"/>
                  <w:vAlign w:val="center"/>
                </w:tcPr>
                <w:p w14:paraId="757734C6">
                  <w:pPr>
                    <w:adjustRightInd w:val="0"/>
                    <w:snapToGrid w:val="0"/>
                    <w:spacing w:line="300" w:lineRule="exact"/>
                    <w:jc w:val="center"/>
                    <w:rPr>
                      <w:bCs/>
                      <w:color w:val="auto"/>
                      <w:szCs w:val="21"/>
                      <w:highlight w:val="none"/>
                    </w:rPr>
                  </w:pPr>
                </w:p>
              </w:tc>
            </w:tr>
            <w:tr w14:paraId="2D5E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Borders>
                    <w:right w:val="single" w:color="auto" w:sz="4" w:space="0"/>
                  </w:tcBorders>
                  <w:vAlign w:val="center"/>
                </w:tcPr>
                <w:p w14:paraId="14E161E0">
                  <w:pPr>
                    <w:adjustRightInd w:val="0"/>
                    <w:snapToGrid w:val="0"/>
                    <w:spacing w:line="300" w:lineRule="exact"/>
                    <w:jc w:val="center"/>
                    <w:rPr>
                      <w:bCs/>
                      <w:color w:val="auto"/>
                      <w:szCs w:val="21"/>
                      <w:highlight w:val="none"/>
                    </w:rPr>
                  </w:pPr>
                  <w:r>
                    <w:rPr>
                      <w:bCs/>
                      <w:color w:val="auto"/>
                      <w:szCs w:val="21"/>
                      <w:highlight w:val="none"/>
                    </w:rPr>
                    <w:t>3</w:t>
                  </w:r>
                </w:p>
              </w:tc>
              <w:tc>
                <w:tcPr>
                  <w:tcW w:w="1239" w:type="pct"/>
                  <w:tcBorders>
                    <w:left w:val="single" w:color="auto" w:sz="4" w:space="0"/>
                    <w:right w:val="single" w:color="auto" w:sz="4" w:space="0"/>
                  </w:tcBorders>
                  <w:vAlign w:val="center"/>
                </w:tcPr>
                <w:p w14:paraId="0FF22637">
                  <w:pPr>
                    <w:adjustRightInd w:val="0"/>
                    <w:snapToGrid w:val="0"/>
                    <w:spacing w:line="300" w:lineRule="exact"/>
                    <w:jc w:val="center"/>
                    <w:rPr>
                      <w:bCs/>
                      <w:color w:val="auto"/>
                      <w:szCs w:val="21"/>
                      <w:highlight w:val="none"/>
                    </w:rPr>
                  </w:pPr>
                  <w:r>
                    <w:rPr>
                      <w:bCs/>
                      <w:color w:val="auto"/>
                      <w:szCs w:val="21"/>
                      <w:highlight w:val="none"/>
                    </w:rPr>
                    <w:t>干燥箱</w:t>
                  </w:r>
                </w:p>
              </w:tc>
              <w:tc>
                <w:tcPr>
                  <w:tcW w:w="375" w:type="pct"/>
                  <w:tcBorders>
                    <w:left w:val="single" w:color="auto" w:sz="4" w:space="0"/>
                    <w:right w:val="single" w:color="auto" w:sz="4" w:space="0"/>
                  </w:tcBorders>
                  <w:vAlign w:val="center"/>
                </w:tcPr>
                <w:p w14:paraId="41320811">
                  <w:pPr>
                    <w:adjustRightInd w:val="0"/>
                    <w:snapToGrid w:val="0"/>
                    <w:spacing w:line="300" w:lineRule="exact"/>
                    <w:jc w:val="center"/>
                    <w:rPr>
                      <w:bCs/>
                      <w:color w:val="auto"/>
                      <w:szCs w:val="21"/>
                      <w:highlight w:val="none"/>
                    </w:rPr>
                  </w:pPr>
                  <w:r>
                    <w:rPr>
                      <w:bCs/>
                      <w:color w:val="auto"/>
                      <w:szCs w:val="21"/>
                      <w:highlight w:val="none"/>
                    </w:rPr>
                    <w:t>台</w:t>
                  </w:r>
                </w:p>
              </w:tc>
              <w:tc>
                <w:tcPr>
                  <w:tcW w:w="321" w:type="pct"/>
                  <w:tcBorders>
                    <w:left w:val="single" w:color="auto" w:sz="4" w:space="0"/>
                    <w:right w:val="single" w:color="auto" w:sz="4" w:space="0"/>
                  </w:tcBorders>
                  <w:vAlign w:val="center"/>
                </w:tcPr>
                <w:p w14:paraId="497D9B29">
                  <w:pPr>
                    <w:adjustRightInd w:val="0"/>
                    <w:snapToGrid w:val="0"/>
                    <w:spacing w:line="300" w:lineRule="exact"/>
                    <w:jc w:val="center"/>
                    <w:rPr>
                      <w:bCs/>
                      <w:color w:val="auto"/>
                      <w:szCs w:val="21"/>
                      <w:highlight w:val="none"/>
                    </w:rPr>
                  </w:pPr>
                  <w:r>
                    <w:rPr>
                      <w:bCs/>
                      <w:color w:val="auto"/>
                      <w:szCs w:val="21"/>
                      <w:highlight w:val="none"/>
                    </w:rPr>
                    <w:t>1</w:t>
                  </w:r>
                </w:p>
              </w:tc>
              <w:tc>
                <w:tcPr>
                  <w:tcW w:w="750" w:type="pct"/>
                  <w:tcBorders>
                    <w:left w:val="single" w:color="auto" w:sz="4" w:space="0"/>
                    <w:right w:val="single" w:color="auto" w:sz="4" w:space="0"/>
                  </w:tcBorders>
                  <w:vAlign w:val="center"/>
                </w:tcPr>
                <w:p w14:paraId="1DE2AE29">
                  <w:pPr>
                    <w:adjustRightInd w:val="0"/>
                    <w:snapToGrid w:val="0"/>
                    <w:spacing w:line="300" w:lineRule="exact"/>
                    <w:jc w:val="center"/>
                    <w:rPr>
                      <w:bCs/>
                      <w:color w:val="auto"/>
                      <w:szCs w:val="21"/>
                      <w:highlight w:val="none"/>
                    </w:rPr>
                  </w:pPr>
                  <w:r>
                    <w:rPr>
                      <w:bCs/>
                      <w:color w:val="auto"/>
                      <w:szCs w:val="21"/>
                      <w:highlight w:val="none"/>
                    </w:rPr>
                    <w:t>/</w:t>
                  </w:r>
                </w:p>
              </w:tc>
              <w:tc>
                <w:tcPr>
                  <w:tcW w:w="1049" w:type="pct"/>
                  <w:tcBorders>
                    <w:left w:val="single" w:color="auto" w:sz="4" w:space="0"/>
                  </w:tcBorders>
                  <w:vAlign w:val="center"/>
                </w:tcPr>
                <w:p w14:paraId="13DFD713">
                  <w:pPr>
                    <w:adjustRightInd w:val="0"/>
                    <w:snapToGrid w:val="0"/>
                    <w:spacing w:line="300" w:lineRule="exact"/>
                    <w:jc w:val="center"/>
                    <w:rPr>
                      <w:bCs/>
                      <w:color w:val="auto"/>
                      <w:szCs w:val="21"/>
                      <w:highlight w:val="none"/>
                    </w:rPr>
                  </w:pPr>
                  <w:r>
                    <w:rPr>
                      <w:bCs/>
                      <w:color w:val="auto"/>
                      <w:szCs w:val="21"/>
                      <w:highlight w:val="none"/>
                    </w:rPr>
                    <w:t>/</w:t>
                  </w:r>
                </w:p>
              </w:tc>
              <w:tc>
                <w:tcPr>
                  <w:tcW w:w="887" w:type="pct"/>
                  <w:vMerge w:val="continue"/>
                  <w:vAlign w:val="center"/>
                </w:tcPr>
                <w:p w14:paraId="2EFCAEE0">
                  <w:pPr>
                    <w:adjustRightInd w:val="0"/>
                    <w:snapToGrid w:val="0"/>
                    <w:spacing w:line="300" w:lineRule="exact"/>
                    <w:jc w:val="center"/>
                    <w:rPr>
                      <w:bCs/>
                      <w:color w:val="auto"/>
                      <w:szCs w:val="21"/>
                      <w:highlight w:val="none"/>
                    </w:rPr>
                  </w:pPr>
                </w:p>
              </w:tc>
            </w:tr>
            <w:tr w14:paraId="2AB3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Borders>
                    <w:right w:val="single" w:color="auto" w:sz="4" w:space="0"/>
                  </w:tcBorders>
                  <w:vAlign w:val="center"/>
                </w:tcPr>
                <w:p w14:paraId="76EB76F7">
                  <w:pPr>
                    <w:adjustRightInd w:val="0"/>
                    <w:snapToGrid w:val="0"/>
                    <w:spacing w:line="300" w:lineRule="exact"/>
                    <w:jc w:val="center"/>
                    <w:rPr>
                      <w:rFonts w:hint="eastAsia" w:eastAsia="宋体"/>
                      <w:bCs/>
                      <w:color w:val="auto"/>
                      <w:szCs w:val="21"/>
                      <w:highlight w:val="none"/>
                      <w:lang w:eastAsia="zh-CN"/>
                    </w:rPr>
                  </w:pPr>
                  <w:r>
                    <w:rPr>
                      <w:rFonts w:hint="eastAsia"/>
                      <w:bCs/>
                      <w:color w:val="auto"/>
                      <w:szCs w:val="21"/>
                      <w:highlight w:val="none"/>
                      <w:lang w:val="en-US" w:eastAsia="zh-CN"/>
                    </w:rPr>
                    <w:t>4</w:t>
                  </w:r>
                </w:p>
              </w:tc>
              <w:tc>
                <w:tcPr>
                  <w:tcW w:w="1239" w:type="pct"/>
                  <w:tcBorders>
                    <w:left w:val="single" w:color="auto" w:sz="4" w:space="0"/>
                    <w:right w:val="single" w:color="auto" w:sz="4" w:space="0"/>
                  </w:tcBorders>
                  <w:vAlign w:val="center"/>
                </w:tcPr>
                <w:p w14:paraId="1F85A96A">
                  <w:pPr>
                    <w:adjustRightInd w:val="0"/>
                    <w:snapToGrid w:val="0"/>
                    <w:spacing w:line="300" w:lineRule="exact"/>
                    <w:jc w:val="center"/>
                    <w:rPr>
                      <w:bCs/>
                      <w:color w:val="auto"/>
                      <w:szCs w:val="21"/>
                      <w:highlight w:val="none"/>
                    </w:rPr>
                  </w:pPr>
                  <w:r>
                    <w:rPr>
                      <w:bCs/>
                      <w:color w:val="auto"/>
                      <w:szCs w:val="21"/>
                      <w:highlight w:val="none"/>
                    </w:rPr>
                    <w:t>透明板</w:t>
                  </w:r>
                </w:p>
              </w:tc>
              <w:tc>
                <w:tcPr>
                  <w:tcW w:w="375" w:type="pct"/>
                  <w:tcBorders>
                    <w:left w:val="single" w:color="auto" w:sz="4" w:space="0"/>
                    <w:right w:val="single" w:color="auto" w:sz="4" w:space="0"/>
                  </w:tcBorders>
                  <w:vAlign w:val="center"/>
                </w:tcPr>
                <w:p w14:paraId="41A110E1">
                  <w:pPr>
                    <w:adjustRightInd w:val="0"/>
                    <w:snapToGrid w:val="0"/>
                    <w:spacing w:line="300" w:lineRule="exact"/>
                    <w:jc w:val="center"/>
                    <w:rPr>
                      <w:bCs/>
                      <w:color w:val="auto"/>
                      <w:szCs w:val="21"/>
                      <w:highlight w:val="none"/>
                    </w:rPr>
                  </w:pPr>
                  <w:r>
                    <w:rPr>
                      <w:bCs/>
                      <w:color w:val="auto"/>
                      <w:szCs w:val="21"/>
                      <w:highlight w:val="none"/>
                    </w:rPr>
                    <w:t>个</w:t>
                  </w:r>
                </w:p>
              </w:tc>
              <w:tc>
                <w:tcPr>
                  <w:tcW w:w="321" w:type="pct"/>
                  <w:tcBorders>
                    <w:left w:val="single" w:color="auto" w:sz="4" w:space="0"/>
                    <w:right w:val="single" w:color="auto" w:sz="4" w:space="0"/>
                  </w:tcBorders>
                  <w:vAlign w:val="center"/>
                </w:tcPr>
                <w:p w14:paraId="19BA9896">
                  <w:pPr>
                    <w:adjustRightInd w:val="0"/>
                    <w:snapToGrid w:val="0"/>
                    <w:spacing w:line="300" w:lineRule="exact"/>
                    <w:jc w:val="center"/>
                    <w:rPr>
                      <w:bCs/>
                      <w:color w:val="auto"/>
                      <w:szCs w:val="21"/>
                      <w:highlight w:val="none"/>
                    </w:rPr>
                  </w:pPr>
                  <w:r>
                    <w:rPr>
                      <w:bCs/>
                      <w:color w:val="auto"/>
                      <w:szCs w:val="21"/>
                      <w:highlight w:val="none"/>
                    </w:rPr>
                    <w:t>1</w:t>
                  </w:r>
                </w:p>
              </w:tc>
              <w:tc>
                <w:tcPr>
                  <w:tcW w:w="750" w:type="pct"/>
                  <w:tcBorders>
                    <w:left w:val="single" w:color="auto" w:sz="4" w:space="0"/>
                    <w:right w:val="single" w:color="auto" w:sz="4" w:space="0"/>
                  </w:tcBorders>
                  <w:vAlign w:val="center"/>
                </w:tcPr>
                <w:p w14:paraId="11587934">
                  <w:pPr>
                    <w:adjustRightInd w:val="0"/>
                    <w:snapToGrid w:val="0"/>
                    <w:spacing w:line="300" w:lineRule="exact"/>
                    <w:jc w:val="center"/>
                    <w:rPr>
                      <w:bCs/>
                      <w:color w:val="auto"/>
                      <w:szCs w:val="21"/>
                      <w:highlight w:val="none"/>
                    </w:rPr>
                  </w:pPr>
                  <w:r>
                    <w:rPr>
                      <w:bCs/>
                      <w:color w:val="auto"/>
                      <w:szCs w:val="21"/>
                      <w:highlight w:val="none"/>
                    </w:rPr>
                    <w:t>/</w:t>
                  </w:r>
                </w:p>
              </w:tc>
              <w:tc>
                <w:tcPr>
                  <w:tcW w:w="1049" w:type="pct"/>
                  <w:tcBorders>
                    <w:left w:val="single" w:color="auto" w:sz="4" w:space="0"/>
                  </w:tcBorders>
                  <w:vAlign w:val="center"/>
                </w:tcPr>
                <w:p w14:paraId="099A23AD">
                  <w:pPr>
                    <w:adjustRightInd w:val="0"/>
                    <w:snapToGrid w:val="0"/>
                    <w:spacing w:line="300" w:lineRule="exact"/>
                    <w:jc w:val="center"/>
                    <w:rPr>
                      <w:bCs/>
                      <w:color w:val="auto"/>
                      <w:szCs w:val="21"/>
                      <w:highlight w:val="none"/>
                    </w:rPr>
                  </w:pPr>
                  <w:r>
                    <w:rPr>
                      <w:bCs/>
                      <w:color w:val="auto"/>
                      <w:szCs w:val="21"/>
                      <w:highlight w:val="none"/>
                    </w:rPr>
                    <w:t>/</w:t>
                  </w:r>
                </w:p>
              </w:tc>
              <w:tc>
                <w:tcPr>
                  <w:tcW w:w="887" w:type="pct"/>
                  <w:vMerge w:val="continue"/>
                  <w:vAlign w:val="center"/>
                </w:tcPr>
                <w:p w14:paraId="4B9C8B68">
                  <w:pPr>
                    <w:adjustRightInd w:val="0"/>
                    <w:snapToGrid w:val="0"/>
                    <w:spacing w:line="300" w:lineRule="exact"/>
                    <w:jc w:val="center"/>
                    <w:rPr>
                      <w:bCs/>
                      <w:color w:val="auto"/>
                      <w:szCs w:val="21"/>
                      <w:highlight w:val="none"/>
                    </w:rPr>
                  </w:pPr>
                </w:p>
              </w:tc>
            </w:tr>
          </w:tbl>
          <w:p w14:paraId="17AA9A03">
            <w:pPr>
              <w:adjustRightInd w:val="0"/>
              <w:snapToGrid w:val="0"/>
              <w:rPr>
                <w:b/>
                <w:color w:val="auto"/>
                <w:sz w:val="24"/>
                <w:highlight w:val="none"/>
              </w:rPr>
            </w:pPr>
          </w:p>
          <w:p w14:paraId="2D267E2E">
            <w:pPr>
              <w:adjustRightInd w:val="0"/>
              <w:snapToGrid w:val="0"/>
              <w:spacing w:line="460" w:lineRule="exact"/>
              <w:rPr>
                <w:b/>
                <w:color w:val="auto"/>
                <w:sz w:val="24"/>
                <w:highlight w:val="none"/>
              </w:rPr>
            </w:pPr>
            <w:r>
              <w:rPr>
                <w:b/>
                <w:color w:val="auto"/>
                <w:sz w:val="24"/>
                <w:highlight w:val="none"/>
              </w:rPr>
              <w:t>2.5.2产能匹配分析</w:t>
            </w:r>
          </w:p>
          <w:p w14:paraId="7910E5EB">
            <w:pPr>
              <w:adjustRightInd w:val="0"/>
              <w:snapToGrid w:val="0"/>
              <w:spacing w:line="460" w:lineRule="exact"/>
              <w:ind w:firstLine="480" w:firstLineChars="200"/>
              <w:rPr>
                <w:bCs/>
                <w:color w:val="auto"/>
                <w:sz w:val="24"/>
                <w:highlight w:val="none"/>
              </w:rPr>
            </w:pPr>
            <w:r>
              <w:rPr>
                <w:color w:val="auto"/>
                <w:sz w:val="24"/>
                <w:highlight w:val="none"/>
              </w:rPr>
              <w:t>本项目年工作日约120天（10月～次年3月），每天一班8h</w:t>
            </w:r>
            <w:r>
              <w:rPr>
                <w:bCs/>
                <w:color w:val="auto"/>
                <w:sz w:val="24"/>
                <w:highlight w:val="none"/>
              </w:rPr>
              <w:t>。沉淀工序特殊，一级沉淀工序</w:t>
            </w:r>
            <w:r>
              <w:rPr>
                <w:rFonts w:hint="eastAsia"/>
                <w:bCs/>
                <w:color w:val="auto"/>
                <w:sz w:val="24"/>
                <w:highlight w:val="none"/>
                <w:lang w:eastAsia="zh-CN"/>
              </w:rPr>
              <w:t>需</w:t>
            </w:r>
            <w:r>
              <w:rPr>
                <w:bCs/>
                <w:color w:val="auto"/>
                <w:sz w:val="24"/>
                <w:highlight w:val="none"/>
              </w:rPr>
              <w:t>12～14h，二级沉淀工序约</w:t>
            </w:r>
            <w:r>
              <w:rPr>
                <w:rFonts w:hint="eastAsia"/>
                <w:bCs/>
                <w:color w:val="auto"/>
                <w:sz w:val="24"/>
                <w:highlight w:val="none"/>
                <w:lang w:eastAsia="zh-CN"/>
              </w:rPr>
              <w:t>需</w:t>
            </w:r>
            <w:r>
              <w:rPr>
                <w:bCs/>
                <w:color w:val="auto"/>
                <w:sz w:val="24"/>
                <w:highlight w:val="none"/>
              </w:rPr>
              <w:t>3天。</w:t>
            </w:r>
          </w:p>
          <w:p w14:paraId="23A903D1">
            <w:pPr>
              <w:adjustRightInd w:val="0"/>
              <w:snapToGrid w:val="0"/>
              <w:spacing w:line="460" w:lineRule="exact"/>
              <w:ind w:firstLine="480" w:firstLineChars="200"/>
              <w:rPr>
                <w:bCs/>
                <w:color w:val="auto"/>
                <w:sz w:val="24"/>
                <w:highlight w:val="none"/>
              </w:rPr>
            </w:pPr>
            <w:r>
              <w:rPr>
                <w:rFonts w:hint="eastAsia"/>
                <w:bCs/>
                <w:color w:val="auto"/>
                <w:sz w:val="24"/>
                <w:highlight w:val="none"/>
                <w:lang w:val="en-US" w:eastAsia="zh-CN"/>
              </w:rPr>
              <w:t>一级清洗、二级清洗、粉碎磨浆、浆渣分离、细筛、淀粉除砂等工序用时较短，对产品产能无明显制约，因此本评价主要对一级沉淀、二级沉淀和烘干等工序进行产能匹配分析，具体分析情况</w:t>
            </w:r>
            <w:r>
              <w:rPr>
                <w:bCs/>
                <w:color w:val="auto"/>
                <w:sz w:val="24"/>
                <w:highlight w:val="none"/>
              </w:rPr>
              <w:t>见表2.5-2。</w:t>
            </w:r>
          </w:p>
          <w:p w14:paraId="0E7FC402">
            <w:pPr>
              <w:adjustRightInd w:val="0"/>
              <w:snapToGrid w:val="0"/>
              <w:spacing w:line="460" w:lineRule="exact"/>
              <w:jc w:val="center"/>
              <w:rPr>
                <w:b/>
                <w:color w:val="auto"/>
                <w:sz w:val="24"/>
                <w:highlight w:val="none"/>
              </w:rPr>
            </w:pPr>
            <w:r>
              <w:rPr>
                <w:b/>
                <w:color w:val="auto"/>
                <w:sz w:val="24"/>
                <w:highlight w:val="none"/>
              </w:rPr>
              <w:t>表2.5-2 主要生产工序产能匹配分析一览表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829"/>
              <w:gridCol w:w="624"/>
              <w:gridCol w:w="1223"/>
              <w:gridCol w:w="1682"/>
              <w:gridCol w:w="989"/>
              <w:gridCol w:w="1065"/>
              <w:gridCol w:w="1065"/>
            </w:tblGrid>
            <w:tr w14:paraId="7681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29337FFE">
                  <w:pPr>
                    <w:adjustRightInd w:val="0"/>
                    <w:snapToGrid w:val="0"/>
                    <w:spacing w:line="300" w:lineRule="exact"/>
                    <w:jc w:val="center"/>
                    <w:rPr>
                      <w:bCs/>
                      <w:color w:val="auto"/>
                      <w:sz w:val="18"/>
                      <w:szCs w:val="18"/>
                      <w:highlight w:val="none"/>
                    </w:rPr>
                  </w:pPr>
                  <w:r>
                    <w:rPr>
                      <w:bCs/>
                      <w:color w:val="auto"/>
                      <w:sz w:val="18"/>
                      <w:szCs w:val="18"/>
                      <w:highlight w:val="none"/>
                    </w:rPr>
                    <w:t>设备</w:t>
                  </w:r>
                </w:p>
              </w:tc>
              <w:tc>
                <w:tcPr>
                  <w:tcW w:w="492" w:type="pct"/>
                  <w:vAlign w:val="center"/>
                </w:tcPr>
                <w:p w14:paraId="7B2FBD40">
                  <w:pPr>
                    <w:adjustRightInd w:val="0"/>
                    <w:snapToGrid w:val="0"/>
                    <w:spacing w:line="300" w:lineRule="exact"/>
                    <w:jc w:val="center"/>
                    <w:rPr>
                      <w:rFonts w:hint="eastAsia" w:eastAsia="宋体"/>
                      <w:bCs/>
                      <w:color w:val="auto"/>
                      <w:sz w:val="18"/>
                      <w:szCs w:val="18"/>
                      <w:highlight w:val="none"/>
                      <w:lang w:val="en-US" w:eastAsia="zh-CN"/>
                    </w:rPr>
                  </w:pPr>
                  <w:r>
                    <w:rPr>
                      <w:rFonts w:hint="eastAsia"/>
                      <w:bCs/>
                      <w:color w:val="auto"/>
                      <w:sz w:val="18"/>
                      <w:szCs w:val="18"/>
                      <w:highlight w:val="none"/>
                      <w:lang w:val="en-US" w:eastAsia="zh-CN"/>
                    </w:rPr>
                    <w:t>设备规格</w:t>
                  </w:r>
                </w:p>
              </w:tc>
              <w:tc>
                <w:tcPr>
                  <w:tcW w:w="370" w:type="pct"/>
                  <w:vAlign w:val="center"/>
                </w:tcPr>
                <w:p w14:paraId="5277AD48">
                  <w:pPr>
                    <w:adjustRightInd w:val="0"/>
                    <w:snapToGrid w:val="0"/>
                    <w:spacing w:line="300" w:lineRule="exact"/>
                    <w:jc w:val="center"/>
                    <w:rPr>
                      <w:bCs/>
                      <w:color w:val="auto"/>
                      <w:sz w:val="18"/>
                      <w:szCs w:val="18"/>
                      <w:highlight w:val="none"/>
                    </w:rPr>
                  </w:pPr>
                  <w:r>
                    <w:rPr>
                      <w:bCs/>
                      <w:color w:val="auto"/>
                      <w:sz w:val="18"/>
                      <w:szCs w:val="18"/>
                      <w:highlight w:val="none"/>
                    </w:rPr>
                    <w:t>数量</w:t>
                  </w:r>
                </w:p>
              </w:tc>
              <w:tc>
                <w:tcPr>
                  <w:tcW w:w="726" w:type="pct"/>
                  <w:vAlign w:val="center"/>
                </w:tcPr>
                <w:p w14:paraId="1278C395">
                  <w:pPr>
                    <w:pStyle w:val="17"/>
                    <w:spacing w:after="0" w:line="300" w:lineRule="exact"/>
                    <w:ind w:firstLine="0" w:firstLineChars="0"/>
                    <w:jc w:val="center"/>
                    <w:rPr>
                      <w:bCs/>
                      <w:color w:val="auto"/>
                      <w:sz w:val="18"/>
                      <w:szCs w:val="18"/>
                      <w:highlight w:val="none"/>
                    </w:rPr>
                  </w:pPr>
                  <w:r>
                    <w:rPr>
                      <w:color w:val="auto"/>
                      <w:sz w:val="18"/>
                      <w:szCs w:val="18"/>
                      <w:highlight w:val="none"/>
                    </w:rPr>
                    <w:t>处理能力</w:t>
                  </w:r>
                </w:p>
              </w:tc>
              <w:tc>
                <w:tcPr>
                  <w:tcW w:w="999" w:type="pct"/>
                  <w:vAlign w:val="center"/>
                </w:tcPr>
                <w:p w14:paraId="3B05571F">
                  <w:pPr>
                    <w:pStyle w:val="17"/>
                    <w:spacing w:after="0" w:line="300" w:lineRule="exact"/>
                    <w:ind w:firstLine="0" w:firstLineChars="0"/>
                    <w:jc w:val="center"/>
                    <w:rPr>
                      <w:bCs/>
                      <w:color w:val="auto"/>
                      <w:sz w:val="18"/>
                      <w:szCs w:val="18"/>
                      <w:highlight w:val="none"/>
                    </w:rPr>
                  </w:pPr>
                  <w:r>
                    <w:rPr>
                      <w:color w:val="auto"/>
                      <w:sz w:val="18"/>
                      <w:szCs w:val="18"/>
                      <w:highlight w:val="none"/>
                    </w:rPr>
                    <w:t>设备运行时间</w:t>
                  </w:r>
                </w:p>
              </w:tc>
              <w:tc>
                <w:tcPr>
                  <w:tcW w:w="587" w:type="pct"/>
                  <w:vAlign w:val="center"/>
                </w:tcPr>
                <w:p w14:paraId="3034FEB0">
                  <w:pPr>
                    <w:pStyle w:val="17"/>
                    <w:spacing w:after="0" w:line="300" w:lineRule="exact"/>
                    <w:ind w:firstLine="0" w:firstLineChars="0"/>
                    <w:jc w:val="center"/>
                    <w:rPr>
                      <w:bCs/>
                      <w:color w:val="auto"/>
                      <w:sz w:val="18"/>
                      <w:szCs w:val="18"/>
                      <w:highlight w:val="none"/>
                    </w:rPr>
                  </w:pPr>
                  <w:r>
                    <w:rPr>
                      <w:color w:val="auto"/>
                      <w:sz w:val="18"/>
                      <w:szCs w:val="18"/>
                      <w:highlight w:val="none"/>
                    </w:rPr>
                    <w:t>最大生产能力</w:t>
                  </w:r>
                </w:p>
              </w:tc>
              <w:tc>
                <w:tcPr>
                  <w:tcW w:w="632" w:type="pct"/>
                  <w:vAlign w:val="center"/>
                </w:tcPr>
                <w:p w14:paraId="28115CFA">
                  <w:pPr>
                    <w:pStyle w:val="17"/>
                    <w:spacing w:after="0" w:line="300" w:lineRule="exact"/>
                    <w:ind w:firstLine="0" w:firstLineChars="0"/>
                    <w:jc w:val="center"/>
                    <w:rPr>
                      <w:bCs/>
                      <w:color w:val="auto"/>
                      <w:sz w:val="18"/>
                      <w:szCs w:val="18"/>
                      <w:highlight w:val="none"/>
                    </w:rPr>
                  </w:pPr>
                  <w:r>
                    <w:rPr>
                      <w:color w:val="auto"/>
                      <w:sz w:val="18"/>
                      <w:szCs w:val="18"/>
                      <w:highlight w:val="none"/>
                    </w:rPr>
                    <w:t>本项目设计产能</w:t>
                  </w:r>
                </w:p>
              </w:tc>
              <w:tc>
                <w:tcPr>
                  <w:tcW w:w="632" w:type="pct"/>
                  <w:vAlign w:val="center"/>
                </w:tcPr>
                <w:p w14:paraId="46BD75E9">
                  <w:pPr>
                    <w:pStyle w:val="17"/>
                    <w:spacing w:after="0" w:line="300" w:lineRule="exact"/>
                    <w:ind w:firstLine="0" w:firstLineChars="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备注</w:t>
                  </w:r>
                </w:p>
              </w:tc>
            </w:tr>
            <w:tr w14:paraId="46DE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 w:type="pct"/>
                  <w:shd w:val="clear" w:color="auto" w:fill="auto"/>
                  <w:vAlign w:val="center"/>
                </w:tcPr>
                <w:p w14:paraId="30CA92F4">
                  <w:pPr>
                    <w:adjustRightInd w:val="0"/>
                    <w:snapToGrid w:val="0"/>
                    <w:spacing w:line="300" w:lineRule="exact"/>
                    <w:jc w:val="center"/>
                    <w:rPr>
                      <w:bCs/>
                      <w:color w:val="auto"/>
                      <w:sz w:val="18"/>
                      <w:szCs w:val="18"/>
                      <w:highlight w:val="none"/>
                    </w:rPr>
                  </w:pPr>
                  <w:r>
                    <w:rPr>
                      <w:bCs/>
                      <w:color w:val="auto"/>
                      <w:sz w:val="18"/>
                      <w:szCs w:val="18"/>
                      <w:highlight w:val="none"/>
                    </w:rPr>
                    <w:t>一级沉淀桶</w:t>
                  </w:r>
                </w:p>
              </w:tc>
              <w:tc>
                <w:tcPr>
                  <w:tcW w:w="492" w:type="pct"/>
                  <w:shd w:val="clear" w:color="auto" w:fill="auto"/>
                  <w:vAlign w:val="center"/>
                </w:tcPr>
                <w:p w14:paraId="061BDE54">
                  <w:pPr>
                    <w:adjustRightInd w:val="0"/>
                    <w:snapToGrid w:val="0"/>
                    <w:spacing w:line="300" w:lineRule="exact"/>
                    <w:jc w:val="center"/>
                    <w:rPr>
                      <w:rFonts w:hint="default" w:eastAsia="宋体"/>
                      <w:bCs/>
                      <w:color w:val="auto"/>
                      <w:sz w:val="18"/>
                      <w:szCs w:val="18"/>
                      <w:highlight w:val="none"/>
                      <w:lang w:val="en-US" w:eastAsia="zh-CN"/>
                    </w:rPr>
                  </w:pPr>
                  <w:r>
                    <w:rPr>
                      <w:rFonts w:hint="eastAsia"/>
                      <w:bCs/>
                      <w:color w:val="auto"/>
                      <w:sz w:val="18"/>
                      <w:szCs w:val="18"/>
                      <w:highlight w:val="none"/>
                      <w:lang w:val="en-US" w:eastAsia="zh-CN"/>
                    </w:rPr>
                    <w:t>400L/桶</w:t>
                  </w:r>
                </w:p>
              </w:tc>
              <w:tc>
                <w:tcPr>
                  <w:tcW w:w="370" w:type="pct"/>
                  <w:shd w:val="clear" w:color="auto" w:fill="auto"/>
                  <w:vAlign w:val="center"/>
                </w:tcPr>
                <w:p w14:paraId="4C8F0A3A">
                  <w:pPr>
                    <w:adjustRightInd w:val="0"/>
                    <w:snapToGrid w:val="0"/>
                    <w:spacing w:line="300" w:lineRule="exact"/>
                    <w:jc w:val="center"/>
                    <w:rPr>
                      <w:bCs/>
                      <w:color w:val="auto"/>
                      <w:sz w:val="18"/>
                      <w:szCs w:val="18"/>
                      <w:highlight w:val="none"/>
                    </w:rPr>
                  </w:pPr>
                  <w:r>
                    <w:rPr>
                      <w:bCs/>
                      <w:color w:val="auto"/>
                      <w:sz w:val="18"/>
                      <w:szCs w:val="18"/>
                      <w:highlight w:val="none"/>
                    </w:rPr>
                    <w:t>20桶</w:t>
                  </w:r>
                </w:p>
              </w:tc>
              <w:tc>
                <w:tcPr>
                  <w:tcW w:w="726" w:type="pct"/>
                  <w:shd w:val="clear" w:color="auto" w:fill="auto"/>
                  <w:vAlign w:val="center"/>
                </w:tcPr>
                <w:p w14:paraId="63B022B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eastAsia="宋体"/>
                      <w:bCs/>
                      <w:color w:val="auto"/>
                      <w:sz w:val="18"/>
                      <w:szCs w:val="18"/>
                      <w:highlight w:val="none"/>
                      <w:lang w:val="en-US" w:eastAsia="zh-CN"/>
                    </w:rPr>
                  </w:pPr>
                  <w:r>
                    <w:rPr>
                      <w:rFonts w:hint="eastAsia" w:ascii="Times New Roman" w:hAnsi="Times New Roman" w:cs="Times New Roman"/>
                      <w:b w:val="0"/>
                      <w:bCs/>
                      <w:color w:val="auto"/>
                      <w:kern w:val="2"/>
                      <w:sz w:val="18"/>
                      <w:szCs w:val="18"/>
                      <w:highlight w:val="none"/>
                      <w:vertAlign w:val="baseline"/>
                      <w:lang w:val="en-US" w:eastAsia="zh-CN" w:bidi="ar-SA"/>
                    </w:rPr>
                    <w:t>0.42</w:t>
                  </w:r>
                  <w:r>
                    <w:rPr>
                      <w:rFonts w:hint="eastAsia" w:cs="Times New Roman"/>
                      <w:b w:val="0"/>
                      <w:bCs/>
                      <w:color w:val="auto"/>
                      <w:kern w:val="2"/>
                      <w:sz w:val="18"/>
                      <w:szCs w:val="18"/>
                      <w:highlight w:val="none"/>
                      <w:vertAlign w:val="baseline"/>
                      <w:lang w:val="en-US" w:eastAsia="zh-CN" w:bidi="ar-SA"/>
                    </w:rPr>
                    <w:t>t</w:t>
                  </w:r>
                  <w:r>
                    <w:rPr>
                      <w:rFonts w:hint="default" w:ascii="Arial" w:hAnsi="Arial" w:cs="Arial"/>
                      <w:b w:val="0"/>
                      <w:bCs/>
                      <w:color w:val="auto"/>
                      <w:kern w:val="2"/>
                      <w:sz w:val="18"/>
                      <w:szCs w:val="18"/>
                      <w:highlight w:val="none"/>
                      <w:vertAlign w:val="baseline"/>
                      <w:lang w:val="en-US" w:eastAsia="zh-CN" w:bidi="ar-SA"/>
                    </w:rPr>
                    <w:t>×</w:t>
                  </w:r>
                  <w:r>
                    <w:rPr>
                      <w:rFonts w:hint="eastAsia" w:ascii="Times New Roman" w:hAnsi="Times New Roman" w:cs="Times New Roman"/>
                      <w:b w:val="0"/>
                      <w:bCs/>
                      <w:color w:val="auto"/>
                      <w:kern w:val="2"/>
                      <w:sz w:val="18"/>
                      <w:szCs w:val="18"/>
                      <w:highlight w:val="none"/>
                      <w:vertAlign w:val="baseline"/>
                      <w:lang w:val="en-US" w:eastAsia="zh-CN" w:bidi="ar-SA"/>
                    </w:rPr>
                    <w:t>20</w:t>
                  </w:r>
                  <w:r>
                    <w:rPr>
                      <w:rFonts w:hint="eastAsia" w:cs="Times New Roman"/>
                      <w:b w:val="0"/>
                      <w:bCs/>
                      <w:color w:val="auto"/>
                      <w:kern w:val="2"/>
                      <w:sz w:val="18"/>
                      <w:szCs w:val="18"/>
                      <w:highlight w:val="none"/>
                      <w:vertAlign w:val="baseline"/>
                      <w:lang w:val="en-US" w:eastAsia="zh-CN" w:bidi="ar-SA"/>
                    </w:rPr>
                    <w:t>桶/d</w:t>
                  </w:r>
                </w:p>
              </w:tc>
              <w:tc>
                <w:tcPr>
                  <w:tcW w:w="999" w:type="pct"/>
                  <w:vAlign w:val="center"/>
                </w:tcPr>
                <w:p w14:paraId="677051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color w:val="auto"/>
                      <w:sz w:val="18"/>
                      <w:szCs w:val="18"/>
                      <w:highlight w:val="none"/>
                      <w:lang w:val="en-US"/>
                    </w:rPr>
                  </w:pPr>
                  <w:r>
                    <w:rPr>
                      <w:rFonts w:hint="default" w:ascii="Times New Roman" w:hAnsi="Times New Roman" w:cs="Times New Roman"/>
                      <w:b w:val="0"/>
                      <w:bCs/>
                      <w:color w:val="auto"/>
                      <w:sz w:val="18"/>
                      <w:szCs w:val="18"/>
                      <w:highlight w:val="none"/>
                      <w:lang w:val="en-US" w:eastAsia="zh-CN"/>
                    </w:rPr>
                    <w:t>12～14</w:t>
                  </w:r>
                  <w:r>
                    <w:rPr>
                      <w:rFonts w:hint="default" w:ascii="Times New Roman" w:hAnsi="Times New Roman" w:eastAsia="宋体" w:cs="Times New Roman"/>
                      <w:b w:val="0"/>
                      <w:bCs/>
                      <w:color w:val="auto"/>
                      <w:sz w:val="18"/>
                      <w:szCs w:val="18"/>
                      <w:highlight w:val="none"/>
                      <w:lang w:val="en-US" w:eastAsia="zh-CN"/>
                    </w:rPr>
                    <w:t>h/</w:t>
                  </w:r>
                  <w:r>
                    <w:rPr>
                      <w:rFonts w:hint="eastAsia" w:cs="Times New Roman"/>
                      <w:b w:val="0"/>
                      <w:bCs/>
                      <w:color w:val="auto"/>
                      <w:sz w:val="18"/>
                      <w:szCs w:val="18"/>
                      <w:highlight w:val="none"/>
                      <w:lang w:val="en-US" w:eastAsia="zh-CN"/>
                    </w:rPr>
                    <w:t>d，年运行120d</w:t>
                  </w:r>
                </w:p>
              </w:tc>
              <w:tc>
                <w:tcPr>
                  <w:tcW w:w="587" w:type="pct"/>
                  <w:vAlign w:val="center"/>
                </w:tcPr>
                <w:p w14:paraId="0C96A11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bCs/>
                      <w:color w:val="auto"/>
                      <w:sz w:val="18"/>
                      <w:szCs w:val="18"/>
                      <w:highlight w:val="none"/>
                    </w:rPr>
                  </w:pPr>
                  <w:r>
                    <w:rPr>
                      <w:rFonts w:hint="eastAsia" w:ascii="Times New Roman" w:hAnsi="Times New Roman" w:cs="Times New Roman"/>
                      <w:b w:val="0"/>
                      <w:bCs/>
                      <w:color w:val="auto"/>
                      <w:sz w:val="18"/>
                      <w:szCs w:val="18"/>
                      <w:highlight w:val="none"/>
                      <w:vertAlign w:val="baseline"/>
                      <w:lang w:val="en-US" w:eastAsia="zh-CN"/>
                    </w:rPr>
                    <w:t>1008</w:t>
                  </w:r>
                  <w:r>
                    <w:rPr>
                      <w:rFonts w:hint="default" w:ascii="Times New Roman" w:hAnsi="Times New Roman" w:cs="Times New Roman"/>
                      <w:b w:val="0"/>
                      <w:bCs/>
                      <w:color w:val="auto"/>
                      <w:sz w:val="18"/>
                      <w:szCs w:val="18"/>
                      <w:highlight w:val="none"/>
                      <w:vertAlign w:val="baseline"/>
                      <w:lang w:val="en-US" w:eastAsia="zh-CN"/>
                    </w:rPr>
                    <w:t>t</w:t>
                  </w:r>
                </w:p>
              </w:tc>
              <w:tc>
                <w:tcPr>
                  <w:tcW w:w="632" w:type="pct"/>
                  <w:vAlign w:val="center"/>
                </w:tcPr>
                <w:p w14:paraId="490667A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bCs/>
                      <w:color w:val="auto"/>
                      <w:sz w:val="18"/>
                      <w:szCs w:val="18"/>
                      <w:highlight w:val="none"/>
                      <w:lang w:val="en-US"/>
                    </w:rPr>
                  </w:pPr>
                  <w:r>
                    <w:rPr>
                      <w:rFonts w:hint="eastAsia" w:ascii="Times New Roman" w:hAnsi="Times New Roman" w:cs="Times New Roman"/>
                      <w:b w:val="0"/>
                      <w:bCs/>
                      <w:color w:val="auto"/>
                      <w:kern w:val="2"/>
                      <w:sz w:val="18"/>
                      <w:szCs w:val="18"/>
                      <w:highlight w:val="none"/>
                      <w:vertAlign w:val="baseline"/>
                      <w:lang w:val="en-US" w:eastAsia="zh-CN" w:bidi="ar-SA"/>
                    </w:rPr>
                    <w:t>984t</w:t>
                  </w:r>
                </w:p>
              </w:tc>
              <w:tc>
                <w:tcPr>
                  <w:tcW w:w="632" w:type="pct"/>
                  <w:vAlign w:val="center"/>
                </w:tcPr>
                <w:p w14:paraId="79C45B48">
                  <w:pPr>
                    <w:adjustRightInd w:val="0"/>
                    <w:snapToGrid w:val="0"/>
                    <w:spacing w:line="300" w:lineRule="exact"/>
                    <w:jc w:val="center"/>
                    <w:rPr>
                      <w:rFonts w:hint="default" w:eastAsia="宋体"/>
                      <w:bCs/>
                      <w:color w:val="auto"/>
                      <w:sz w:val="18"/>
                      <w:szCs w:val="18"/>
                      <w:highlight w:val="none"/>
                      <w:lang w:val="en-US" w:eastAsia="zh-CN"/>
                    </w:rPr>
                  </w:pPr>
                  <w:r>
                    <w:rPr>
                      <w:rFonts w:hint="eastAsia"/>
                      <w:bCs/>
                      <w:color w:val="auto"/>
                      <w:sz w:val="18"/>
                      <w:szCs w:val="18"/>
                      <w:highlight w:val="none"/>
                      <w:lang w:val="en-US" w:eastAsia="zh-CN"/>
                    </w:rPr>
                    <w:t>20桶/天</w:t>
                  </w:r>
                </w:p>
              </w:tc>
            </w:tr>
            <w:tr w14:paraId="4243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 w:type="pct"/>
                  <w:shd w:val="clear" w:color="auto" w:fill="auto"/>
                  <w:vAlign w:val="center"/>
                </w:tcPr>
                <w:p w14:paraId="6B6ED429">
                  <w:pPr>
                    <w:adjustRightInd w:val="0"/>
                    <w:snapToGrid w:val="0"/>
                    <w:spacing w:line="300" w:lineRule="exact"/>
                    <w:jc w:val="center"/>
                    <w:rPr>
                      <w:bCs/>
                      <w:color w:val="auto"/>
                      <w:sz w:val="18"/>
                      <w:szCs w:val="18"/>
                      <w:highlight w:val="none"/>
                    </w:rPr>
                  </w:pPr>
                  <w:r>
                    <w:rPr>
                      <w:bCs/>
                      <w:color w:val="auto"/>
                      <w:sz w:val="18"/>
                      <w:szCs w:val="18"/>
                      <w:highlight w:val="none"/>
                    </w:rPr>
                    <w:t>二级沉淀桶</w:t>
                  </w:r>
                </w:p>
              </w:tc>
              <w:tc>
                <w:tcPr>
                  <w:tcW w:w="492" w:type="pct"/>
                  <w:shd w:val="clear" w:color="auto" w:fill="auto"/>
                  <w:vAlign w:val="center"/>
                </w:tcPr>
                <w:p w14:paraId="44E67FE2">
                  <w:pPr>
                    <w:adjustRightInd w:val="0"/>
                    <w:snapToGrid w:val="0"/>
                    <w:spacing w:line="300" w:lineRule="exact"/>
                    <w:jc w:val="center"/>
                    <w:rPr>
                      <w:rFonts w:hint="default" w:eastAsia="宋体"/>
                      <w:bCs/>
                      <w:color w:val="auto"/>
                      <w:sz w:val="18"/>
                      <w:szCs w:val="18"/>
                      <w:highlight w:val="none"/>
                      <w:lang w:val="en-US" w:eastAsia="zh-CN"/>
                    </w:rPr>
                  </w:pPr>
                  <w:r>
                    <w:rPr>
                      <w:rFonts w:hint="eastAsia"/>
                      <w:bCs/>
                      <w:color w:val="auto"/>
                      <w:sz w:val="18"/>
                      <w:szCs w:val="18"/>
                      <w:highlight w:val="none"/>
                      <w:lang w:val="en-US" w:eastAsia="zh-CN"/>
                    </w:rPr>
                    <w:t>100L/桶</w:t>
                  </w:r>
                </w:p>
              </w:tc>
              <w:tc>
                <w:tcPr>
                  <w:tcW w:w="370" w:type="pct"/>
                  <w:shd w:val="clear" w:color="auto" w:fill="auto"/>
                  <w:vAlign w:val="center"/>
                </w:tcPr>
                <w:p w14:paraId="310ED88A">
                  <w:pPr>
                    <w:adjustRightInd w:val="0"/>
                    <w:snapToGrid w:val="0"/>
                    <w:spacing w:line="300" w:lineRule="exact"/>
                    <w:jc w:val="center"/>
                    <w:rPr>
                      <w:bCs/>
                      <w:color w:val="auto"/>
                      <w:sz w:val="18"/>
                      <w:szCs w:val="18"/>
                      <w:highlight w:val="none"/>
                    </w:rPr>
                  </w:pPr>
                  <w:r>
                    <w:rPr>
                      <w:bCs/>
                      <w:color w:val="auto"/>
                      <w:sz w:val="18"/>
                      <w:szCs w:val="18"/>
                      <w:highlight w:val="none"/>
                    </w:rPr>
                    <w:t>80桶</w:t>
                  </w:r>
                </w:p>
              </w:tc>
              <w:tc>
                <w:tcPr>
                  <w:tcW w:w="726" w:type="pct"/>
                  <w:shd w:val="clear" w:color="auto" w:fill="auto"/>
                  <w:vAlign w:val="center"/>
                </w:tcPr>
                <w:p w14:paraId="09FBC63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bCs/>
                      <w:color w:val="auto"/>
                      <w:sz w:val="18"/>
                      <w:szCs w:val="18"/>
                      <w:highlight w:val="none"/>
                      <w:lang w:val="en-US"/>
                    </w:rPr>
                  </w:pPr>
                  <w:r>
                    <w:rPr>
                      <w:rFonts w:hint="eastAsia" w:ascii="Times New Roman" w:hAnsi="Times New Roman" w:cs="Times New Roman"/>
                      <w:b w:val="0"/>
                      <w:bCs/>
                      <w:color w:val="auto"/>
                      <w:kern w:val="2"/>
                      <w:sz w:val="18"/>
                      <w:szCs w:val="18"/>
                      <w:highlight w:val="none"/>
                      <w:vertAlign w:val="baseline"/>
                      <w:lang w:val="en-US" w:eastAsia="zh-CN" w:bidi="ar-SA"/>
                    </w:rPr>
                    <w:t>0.12</w:t>
                  </w:r>
                  <w:r>
                    <w:rPr>
                      <w:rFonts w:hint="eastAsia" w:cs="Times New Roman"/>
                      <w:b w:val="0"/>
                      <w:bCs/>
                      <w:color w:val="auto"/>
                      <w:kern w:val="2"/>
                      <w:sz w:val="18"/>
                      <w:szCs w:val="18"/>
                      <w:highlight w:val="none"/>
                      <w:vertAlign w:val="baseline"/>
                      <w:lang w:val="en-US" w:eastAsia="zh-CN" w:bidi="ar-SA"/>
                    </w:rPr>
                    <w:t>t</w:t>
                  </w:r>
                  <w:r>
                    <w:rPr>
                      <w:rFonts w:hint="default" w:ascii="Arial" w:hAnsi="Arial" w:cs="Arial"/>
                      <w:b w:val="0"/>
                      <w:bCs/>
                      <w:color w:val="auto"/>
                      <w:kern w:val="2"/>
                      <w:sz w:val="18"/>
                      <w:szCs w:val="18"/>
                      <w:highlight w:val="none"/>
                      <w:vertAlign w:val="baseline"/>
                      <w:lang w:val="en-US" w:eastAsia="zh-CN" w:bidi="ar-SA"/>
                    </w:rPr>
                    <w:t>×</w:t>
                  </w:r>
                  <w:r>
                    <w:rPr>
                      <w:rFonts w:hint="eastAsia" w:ascii="Times New Roman" w:hAnsi="Times New Roman" w:cs="Times New Roman"/>
                      <w:b w:val="0"/>
                      <w:bCs/>
                      <w:color w:val="auto"/>
                      <w:kern w:val="2"/>
                      <w:sz w:val="18"/>
                      <w:szCs w:val="18"/>
                      <w:highlight w:val="none"/>
                      <w:vertAlign w:val="baseline"/>
                      <w:lang w:val="en-US" w:eastAsia="zh-CN" w:bidi="ar-SA"/>
                    </w:rPr>
                    <w:t>20</w:t>
                  </w:r>
                  <w:r>
                    <w:rPr>
                      <w:rFonts w:hint="eastAsia" w:cs="Times New Roman"/>
                      <w:b w:val="0"/>
                      <w:bCs/>
                      <w:color w:val="auto"/>
                      <w:kern w:val="2"/>
                      <w:sz w:val="18"/>
                      <w:szCs w:val="18"/>
                      <w:highlight w:val="none"/>
                      <w:vertAlign w:val="baseline"/>
                      <w:lang w:val="en-US" w:eastAsia="zh-CN" w:bidi="ar-SA"/>
                    </w:rPr>
                    <w:t>桶</w:t>
                  </w:r>
                  <w:r>
                    <w:rPr>
                      <w:rFonts w:hint="eastAsia" w:ascii="Times New Roman" w:hAnsi="Times New Roman" w:cs="Times New Roman"/>
                      <w:b w:val="0"/>
                      <w:bCs/>
                      <w:color w:val="auto"/>
                      <w:kern w:val="2"/>
                      <w:sz w:val="18"/>
                      <w:szCs w:val="18"/>
                      <w:highlight w:val="none"/>
                      <w:vertAlign w:val="baseline"/>
                      <w:lang w:val="en-US" w:eastAsia="zh-CN" w:bidi="ar-SA"/>
                    </w:rPr>
                    <w:t>/d</w:t>
                  </w:r>
                </w:p>
              </w:tc>
              <w:tc>
                <w:tcPr>
                  <w:tcW w:w="999" w:type="pct"/>
                  <w:vAlign w:val="center"/>
                </w:tcPr>
                <w:p w14:paraId="0190E0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Cs/>
                      <w:color w:val="auto"/>
                      <w:sz w:val="18"/>
                      <w:szCs w:val="18"/>
                      <w:highlight w:val="none"/>
                    </w:rPr>
                  </w:pPr>
                  <w:r>
                    <w:rPr>
                      <w:rFonts w:hint="eastAsia" w:cs="Times New Roman"/>
                      <w:b w:val="0"/>
                      <w:bCs/>
                      <w:color w:val="auto"/>
                      <w:sz w:val="18"/>
                      <w:szCs w:val="18"/>
                      <w:highlight w:val="none"/>
                      <w:lang w:val="en-US" w:eastAsia="zh-CN"/>
                    </w:rPr>
                    <w:t>二级沉淀需3天</w:t>
                  </w:r>
                  <w:r>
                    <w:rPr>
                      <w:rFonts w:hint="default" w:ascii="Times New Roman" w:hAnsi="Times New Roman" w:eastAsia="宋体" w:cs="Times New Roman"/>
                      <w:b w:val="0"/>
                      <w:bCs/>
                      <w:color w:val="auto"/>
                      <w:sz w:val="18"/>
                      <w:szCs w:val="18"/>
                      <w:highlight w:val="none"/>
                      <w:lang w:val="en-US" w:eastAsia="zh-CN"/>
                    </w:rPr>
                    <w:t>，</w:t>
                  </w:r>
                  <w:r>
                    <w:rPr>
                      <w:rFonts w:hint="eastAsia" w:cs="Times New Roman"/>
                      <w:b w:val="0"/>
                      <w:bCs/>
                      <w:color w:val="auto"/>
                      <w:sz w:val="18"/>
                      <w:szCs w:val="18"/>
                      <w:highlight w:val="none"/>
                      <w:lang w:val="en-US" w:eastAsia="zh-CN"/>
                    </w:rPr>
                    <w:t>每天</w:t>
                  </w:r>
                  <w:r>
                    <w:rPr>
                      <w:rFonts w:hint="default" w:ascii="Times New Roman" w:hAnsi="Times New Roman" w:eastAsia="宋体" w:cs="Times New Roman"/>
                      <w:b w:val="0"/>
                      <w:bCs/>
                      <w:color w:val="auto"/>
                      <w:sz w:val="18"/>
                      <w:szCs w:val="18"/>
                      <w:highlight w:val="none"/>
                      <w:lang w:val="en-US" w:eastAsia="zh-CN"/>
                    </w:rPr>
                    <w:t>需要20个二</w:t>
                  </w:r>
                  <w:r>
                    <w:rPr>
                      <w:rFonts w:hint="default" w:ascii="Times New Roman" w:hAnsi="Times New Roman" w:cs="Times New Roman"/>
                      <w:b w:val="0"/>
                      <w:bCs/>
                      <w:color w:val="auto"/>
                      <w:sz w:val="18"/>
                      <w:szCs w:val="18"/>
                      <w:highlight w:val="none"/>
                      <w:lang w:val="en-US" w:eastAsia="zh-CN"/>
                    </w:rPr>
                    <w:t>级</w:t>
                  </w:r>
                  <w:r>
                    <w:rPr>
                      <w:rFonts w:hint="default" w:ascii="Times New Roman" w:hAnsi="Times New Roman" w:eastAsia="宋体" w:cs="Times New Roman"/>
                      <w:b w:val="0"/>
                      <w:bCs/>
                      <w:color w:val="auto"/>
                      <w:sz w:val="18"/>
                      <w:szCs w:val="18"/>
                      <w:highlight w:val="none"/>
                      <w:lang w:val="en-US" w:eastAsia="zh-CN"/>
                    </w:rPr>
                    <w:t>沉淀桶，80个桶轮流使用</w:t>
                  </w:r>
                  <w:r>
                    <w:rPr>
                      <w:rFonts w:hint="eastAsia" w:cs="Times New Roman"/>
                      <w:b w:val="0"/>
                      <w:bCs/>
                      <w:color w:val="auto"/>
                      <w:sz w:val="18"/>
                      <w:szCs w:val="18"/>
                      <w:highlight w:val="none"/>
                      <w:lang w:val="en-US" w:eastAsia="zh-CN"/>
                    </w:rPr>
                    <w:t>，年运行120d</w:t>
                  </w:r>
                </w:p>
              </w:tc>
              <w:tc>
                <w:tcPr>
                  <w:tcW w:w="587" w:type="pct"/>
                  <w:vAlign w:val="center"/>
                </w:tcPr>
                <w:p w14:paraId="5C36393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bCs/>
                      <w:color w:val="auto"/>
                      <w:sz w:val="18"/>
                      <w:szCs w:val="18"/>
                      <w:highlight w:val="none"/>
                      <w:lang w:val="en-US"/>
                    </w:rPr>
                  </w:pPr>
                  <w:r>
                    <w:rPr>
                      <w:rFonts w:hint="eastAsia" w:ascii="Times New Roman" w:hAnsi="Times New Roman" w:cs="Times New Roman"/>
                      <w:b w:val="0"/>
                      <w:bCs/>
                      <w:color w:val="auto"/>
                      <w:sz w:val="18"/>
                      <w:szCs w:val="18"/>
                      <w:highlight w:val="none"/>
                      <w:vertAlign w:val="baseline"/>
                      <w:lang w:val="en-US" w:eastAsia="zh-CN"/>
                    </w:rPr>
                    <w:t>288t</w:t>
                  </w:r>
                </w:p>
              </w:tc>
              <w:tc>
                <w:tcPr>
                  <w:tcW w:w="632" w:type="pct"/>
                  <w:vAlign w:val="center"/>
                </w:tcPr>
                <w:p w14:paraId="50204E7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bCs/>
                      <w:color w:val="auto"/>
                      <w:sz w:val="18"/>
                      <w:szCs w:val="18"/>
                      <w:highlight w:val="none"/>
                      <w:lang w:val="en-US"/>
                    </w:rPr>
                  </w:pPr>
                  <w:r>
                    <w:rPr>
                      <w:rFonts w:hint="eastAsia" w:ascii="Times New Roman" w:hAnsi="Times New Roman" w:cs="Times New Roman"/>
                      <w:b w:val="0"/>
                      <w:bCs/>
                      <w:color w:val="auto"/>
                      <w:kern w:val="2"/>
                      <w:sz w:val="18"/>
                      <w:szCs w:val="18"/>
                      <w:highlight w:val="none"/>
                      <w:vertAlign w:val="baseline"/>
                      <w:lang w:val="en-US" w:eastAsia="zh-CN" w:bidi="ar-SA"/>
                    </w:rPr>
                    <w:t>264t</w:t>
                  </w:r>
                </w:p>
              </w:tc>
              <w:tc>
                <w:tcPr>
                  <w:tcW w:w="632" w:type="pct"/>
                  <w:vAlign w:val="center"/>
                </w:tcPr>
                <w:p w14:paraId="4A96F60B">
                  <w:pPr>
                    <w:adjustRightInd w:val="0"/>
                    <w:snapToGrid w:val="0"/>
                    <w:spacing w:line="300" w:lineRule="exact"/>
                    <w:jc w:val="center"/>
                    <w:rPr>
                      <w:rFonts w:hint="eastAsia" w:eastAsia="宋体"/>
                      <w:bCs/>
                      <w:color w:val="auto"/>
                      <w:sz w:val="18"/>
                      <w:szCs w:val="18"/>
                      <w:highlight w:val="none"/>
                      <w:lang w:val="en-US" w:eastAsia="zh-CN"/>
                    </w:rPr>
                  </w:pPr>
                </w:p>
              </w:tc>
            </w:tr>
            <w:tr w14:paraId="65A9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558" w:type="pct"/>
                  <w:shd w:val="clear" w:color="auto" w:fill="auto"/>
                  <w:vAlign w:val="center"/>
                </w:tcPr>
                <w:p w14:paraId="7C60A027">
                  <w:pPr>
                    <w:adjustRightInd w:val="0"/>
                    <w:snapToGrid w:val="0"/>
                    <w:spacing w:line="300" w:lineRule="exact"/>
                    <w:jc w:val="center"/>
                    <w:rPr>
                      <w:bCs/>
                      <w:color w:val="auto"/>
                      <w:sz w:val="18"/>
                      <w:szCs w:val="18"/>
                      <w:highlight w:val="none"/>
                    </w:rPr>
                  </w:pPr>
                  <w:r>
                    <w:rPr>
                      <w:bCs/>
                      <w:color w:val="auto"/>
                      <w:sz w:val="18"/>
                      <w:szCs w:val="18"/>
                      <w:highlight w:val="none"/>
                    </w:rPr>
                    <w:t>烘干机</w:t>
                  </w:r>
                </w:p>
              </w:tc>
              <w:tc>
                <w:tcPr>
                  <w:tcW w:w="492" w:type="pct"/>
                  <w:shd w:val="clear" w:color="auto" w:fill="auto"/>
                  <w:vAlign w:val="center"/>
                </w:tcPr>
                <w:p w14:paraId="7E47BB51">
                  <w:pPr>
                    <w:adjustRightInd w:val="0"/>
                    <w:snapToGrid w:val="0"/>
                    <w:spacing w:line="300" w:lineRule="exact"/>
                    <w:jc w:val="center"/>
                    <w:rPr>
                      <w:rFonts w:hint="default" w:eastAsia="宋体"/>
                      <w:bCs/>
                      <w:color w:val="auto"/>
                      <w:sz w:val="18"/>
                      <w:szCs w:val="18"/>
                      <w:highlight w:val="none"/>
                      <w:lang w:val="en-US" w:eastAsia="zh-CN"/>
                    </w:rPr>
                  </w:pPr>
                  <w:r>
                    <w:rPr>
                      <w:rFonts w:hint="eastAsia"/>
                      <w:bCs/>
                      <w:color w:val="auto"/>
                      <w:sz w:val="18"/>
                      <w:szCs w:val="18"/>
                      <w:highlight w:val="none"/>
                      <w:lang w:val="en-US" w:eastAsia="zh-CN"/>
                    </w:rPr>
                    <w:t>0.1t/</w:t>
                  </w:r>
                </w:p>
              </w:tc>
              <w:tc>
                <w:tcPr>
                  <w:tcW w:w="370" w:type="pct"/>
                  <w:shd w:val="clear" w:color="auto" w:fill="auto"/>
                  <w:vAlign w:val="center"/>
                </w:tcPr>
                <w:p w14:paraId="708AE7F7">
                  <w:pPr>
                    <w:adjustRightInd w:val="0"/>
                    <w:snapToGrid w:val="0"/>
                    <w:spacing w:line="300" w:lineRule="exact"/>
                    <w:jc w:val="center"/>
                    <w:rPr>
                      <w:bCs/>
                      <w:color w:val="auto"/>
                      <w:sz w:val="18"/>
                      <w:szCs w:val="18"/>
                      <w:highlight w:val="none"/>
                    </w:rPr>
                  </w:pPr>
                  <w:r>
                    <w:rPr>
                      <w:bCs/>
                      <w:color w:val="auto"/>
                      <w:sz w:val="18"/>
                      <w:szCs w:val="18"/>
                      <w:highlight w:val="none"/>
                    </w:rPr>
                    <w:t>2台</w:t>
                  </w:r>
                </w:p>
              </w:tc>
              <w:tc>
                <w:tcPr>
                  <w:tcW w:w="726" w:type="pct"/>
                  <w:shd w:val="clear" w:color="auto" w:fill="auto"/>
                  <w:vAlign w:val="center"/>
                </w:tcPr>
                <w:p w14:paraId="084CBC9A">
                  <w:pPr>
                    <w:adjustRightInd w:val="0"/>
                    <w:snapToGrid w:val="0"/>
                    <w:spacing w:line="300" w:lineRule="exact"/>
                    <w:jc w:val="center"/>
                    <w:rPr>
                      <w:bCs/>
                      <w:color w:val="auto"/>
                      <w:sz w:val="18"/>
                      <w:szCs w:val="18"/>
                      <w:highlight w:val="none"/>
                    </w:rPr>
                  </w:pPr>
                  <w:r>
                    <w:rPr>
                      <w:bCs/>
                      <w:color w:val="auto"/>
                      <w:sz w:val="18"/>
                      <w:szCs w:val="18"/>
                      <w:highlight w:val="none"/>
                    </w:rPr>
                    <w:t>0.2t/次·台</w:t>
                  </w:r>
                </w:p>
              </w:tc>
              <w:tc>
                <w:tcPr>
                  <w:tcW w:w="999" w:type="pct"/>
                  <w:vAlign w:val="center"/>
                </w:tcPr>
                <w:p w14:paraId="0569D48A">
                  <w:pPr>
                    <w:adjustRightInd w:val="0"/>
                    <w:snapToGrid w:val="0"/>
                    <w:spacing w:line="300" w:lineRule="exact"/>
                    <w:jc w:val="center"/>
                    <w:rPr>
                      <w:rFonts w:hint="default" w:eastAsia="宋体"/>
                      <w:bCs/>
                      <w:color w:val="auto"/>
                      <w:sz w:val="18"/>
                      <w:szCs w:val="18"/>
                      <w:highlight w:val="none"/>
                      <w:lang w:val="en-US" w:eastAsia="zh-CN"/>
                    </w:rPr>
                  </w:pPr>
                  <w:r>
                    <w:rPr>
                      <w:rFonts w:hint="eastAsia"/>
                      <w:bCs/>
                      <w:color w:val="auto"/>
                      <w:sz w:val="18"/>
                      <w:szCs w:val="18"/>
                      <w:highlight w:val="none"/>
                      <w:lang w:eastAsia="zh-CN"/>
                    </w:rPr>
                    <w:t>每次干燥用时</w:t>
                  </w:r>
                  <w:r>
                    <w:rPr>
                      <w:rFonts w:hint="eastAsia"/>
                      <w:bCs/>
                      <w:color w:val="auto"/>
                      <w:sz w:val="18"/>
                      <w:szCs w:val="18"/>
                      <w:highlight w:val="none"/>
                      <w:lang w:val="en-US" w:eastAsia="zh-CN"/>
                    </w:rPr>
                    <w:t>4h</w:t>
                  </w:r>
                  <w:r>
                    <w:rPr>
                      <w:bCs/>
                      <w:color w:val="auto"/>
                      <w:sz w:val="18"/>
                      <w:szCs w:val="18"/>
                      <w:highlight w:val="none"/>
                    </w:rPr>
                    <w:t>，</w:t>
                  </w:r>
                  <w:r>
                    <w:rPr>
                      <w:rFonts w:hint="eastAsia"/>
                      <w:bCs/>
                      <w:color w:val="auto"/>
                      <w:sz w:val="18"/>
                      <w:szCs w:val="18"/>
                      <w:highlight w:val="none"/>
                      <w:lang w:val="en-US" w:eastAsia="zh-CN"/>
                    </w:rPr>
                    <w:t>每天运行8h，</w:t>
                  </w:r>
                  <w:r>
                    <w:rPr>
                      <w:rFonts w:hint="eastAsia" w:cs="Times New Roman"/>
                      <w:b w:val="0"/>
                      <w:bCs/>
                      <w:color w:val="auto"/>
                      <w:sz w:val="18"/>
                      <w:szCs w:val="18"/>
                      <w:highlight w:val="none"/>
                      <w:lang w:val="en-US" w:eastAsia="zh-CN"/>
                    </w:rPr>
                    <w:t>年运行120d</w:t>
                  </w:r>
                </w:p>
              </w:tc>
              <w:tc>
                <w:tcPr>
                  <w:tcW w:w="587" w:type="pct"/>
                  <w:vAlign w:val="center"/>
                </w:tcPr>
                <w:p w14:paraId="51363205">
                  <w:pPr>
                    <w:adjustRightInd w:val="0"/>
                    <w:snapToGrid w:val="0"/>
                    <w:spacing w:line="300" w:lineRule="exact"/>
                    <w:jc w:val="center"/>
                    <w:rPr>
                      <w:bCs/>
                      <w:color w:val="auto"/>
                      <w:sz w:val="18"/>
                      <w:szCs w:val="18"/>
                      <w:highlight w:val="none"/>
                    </w:rPr>
                  </w:pPr>
                  <w:r>
                    <w:rPr>
                      <w:bCs/>
                      <w:color w:val="auto"/>
                      <w:sz w:val="18"/>
                      <w:szCs w:val="18"/>
                      <w:highlight w:val="none"/>
                    </w:rPr>
                    <w:t>96t</w:t>
                  </w:r>
                </w:p>
              </w:tc>
              <w:tc>
                <w:tcPr>
                  <w:tcW w:w="632" w:type="pct"/>
                  <w:vAlign w:val="center"/>
                </w:tcPr>
                <w:p w14:paraId="2F58D74A">
                  <w:pPr>
                    <w:adjustRightInd w:val="0"/>
                    <w:snapToGrid w:val="0"/>
                    <w:spacing w:line="300" w:lineRule="exact"/>
                    <w:jc w:val="center"/>
                    <w:rPr>
                      <w:rFonts w:hint="default" w:eastAsia="宋体"/>
                      <w:bCs/>
                      <w:color w:val="auto"/>
                      <w:sz w:val="18"/>
                      <w:szCs w:val="18"/>
                      <w:highlight w:val="none"/>
                      <w:lang w:val="en-US" w:eastAsia="zh-CN"/>
                    </w:rPr>
                  </w:pPr>
                  <w:r>
                    <w:rPr>
                      <w:rFonts w:hint="eastAsia"/>
                      <w:bCs/>
                      <w:color w:val="auto"/>
                      <w:sz w:val="18"/>
                      <w:szCs w:val="18"/>
                      <w:highlight w:val="none"/>
                      <w:lang w:val="en-US" w:eastAsia="zh-CN"/>
                    </w:rPr>
                    <w:t>90</w:t>
                  </w:r>
                </w:p>
              </w:tc>
              <w:tc>
                <w:tcPr>
                  <w:tcW w:w="632" w:type="pct"/>
                  <w:vAlign w:val="center"/>
                </w:tcPr>
                <w:p w14:paraId="3233680F">
                  <w:pPr>
                    <w:adjustRightInd w:val="0"/>
                    <w:snapToGrid w:val="0"/>
                    <w:spacing w:line="300" w:lineRule="exact"/>
                    <w:jc w:val="center"/>
                    <w:rPr>
                      <w:rFonts w:hint="eastAsia" w:eastAsia="宋体"/>
                      <w:bCs/>
                      <w:color w:val="auto"/>
                      <w:sz w:val="18"/>
                      <w:szCs w:val="18"/>
                      <w:highlight w:val="none"/>
                      <w:lang w:val="en-US" w:eastAsia="zh-CN"/>
                    </w:rPr>
                  </w:pPr>
                  <w:r>
                    <w:rPr>
                      <w:rFonts w:hint="eastAsia"/>
                      <w:bCs/>
                      <w:color w:val="auto"/>
                      <w:sz w:val="18"/>
                      <w:szCs w:val="18"/>
                      <w:highlight w:val="none"/>
                      <w:lang w:val="en-US" w:eastAsia="zh-CN"/>
                    </w:rPr>
                    <w:t>/</w:t>
                  </w:r>
                </w:p>
              </w:tc>
            </w:tr>
          </w:tbl>
          <w:p w14:paraId="2AFB3B88">
            <w:pPr>
              <w:adjustRightInd w:val="0"/>
              <w:snapToGrid w:val="0"/>
              <w:spacing w:line="460" w:lineRule="exact"/>
              <w:rPr>
                <w:b/>
                <w:color w:val="auto"/>
                <w:sz w:val="24"/>
                <w:highlight w:val="none"/>
              </w:rPr>
            </w:pPr>
            <w:r>
              <w:rPr>
                <w:b/>
                <w:color w:val="auto"/>
                <w:sz w:val="24"/>
                <w:highlight w:val="none"/>
              </w:rPr>
              <w:t>2.6公用工程</w:t>
            </w:r>
          </w:p>
          <w:p w14:paraId="21D4B49A">
            <w:pPr>
              <w:adjustRightInd w:val="0"/>
              <w:snapToGrid w:val="0"/>
              <w:spacing w:line="460" w:lineRule="exact"/>
              <w:ind w:firstLine="571"/>
              <w:rPr>
                <w:b/>
                <w:color w:val="auto"/>
                <w:sz w:val="24"/>
                <w:highlight w:val="none"/>
              </w:rPr>
            </w:pPr>
            <w:r>
              <w:rPr>
                <w:b/>
                <w:color w:val="auto"/>
                <w:sz w:val="24"/>
                <w:highlight w:val="none"/>
              </w:rPr>
              <w:t>（1）供排水</w:t>
            </w:r>
          </w:p>
          <w:p w14:paraId="654A9345">
            <w:pPr>
              <w:adjustRightInd w:val="0"/>
              <w:snapToGrid w:val="0"/>
              <w:spacing w:line="460" w:lineRule="exact"/>
              <w:ind w:firstLine="723" w:firstLineChars="300"/>
              <w:rPr>
                <w:b/>
                <w:color w:val="auto"/>
                <w:sz w:val="24"/>
                <w:highlight w:val="none"/>
              </w:rPr>
            </w:pPr>
            <w:r>
              <w:rPr>
                <w:b/>
                <w:color w:val="auto"/>
                <w:sz w:val="24"/>
                <w:highlight w:val="none"/>
              </w:rPr>
              <w:t>①供水</w:t>
            </w:r>
          </w:p>
          <w:p w14:paraId="1127498C">
            <w:pPr>
              <w:widowControl/>
              <w:spacing w:line="460" w:lineRule="exact"/>
              <w:ind w:firstLine="480"/>
              <w:rPr>
                <w:b/>
                <w:color w:val="auto"/>
                <w:sz w:val="24"/>
                <w:highlight w:val="none"/>
              </w:rPr>
            </w:pPr>
            <w:r>
              <w:rPr>
                <w:bCs/>
                <w:color w:val="auto"/>
                <w:sz w:val="24"/>
                <w:highlight w:val="none"/>
              </w:rPr>
              <w:t>本项目</w:t>
            </w:r>
            <w:r>
              <w:rPr>
                <w:color w:val="auto"/>
                <w:sz w:val="24"/>
                <w:highlight w:val="none"/>
              </w:rPr>
              <w:t>水源来自市政给水，依托</w:t>
            </w:r>
            <w:r>
              <w:rPr>
                <w:rFonts w:hint="eastAsia"/>
                <w:bCs/>
                <w:color w:val="auto"/>
                <w:sz w:val="24"/>
                <w:highlight w:val="none"/>
              </w:rPr>
              <w:t>厨鼎食品公司</w:t>
            </w:r>
            <w:r>
              <w:rPr>
                <w:color w:val="auto"/>
                <w:sz w:val="24"/>
                <w:highlight w:val="none"/>
              </w:rPr>
              <w:t>厂区已建成给水管网供水。</w:t>
            </w:r>
          </w:p>
          <w:p w14:paraId="118DA18F">
            <w:pPr>
              <w:adjustRightInd w:val="0"/>
              <w:snapToGrid w:val="0"/>
              <w:spacing w:line="460" w:lineRule="exact"/>
              <w:ind w:firstLine="723" w:firstLineChars="300"/>
              <w:rPr>
                <w:b/>
                <w:color w:val="auto"/>
                <w:sz w:val="24"/>
                <w:highlight w:val="none"/>
              </w:rPr>
            </w:pPr>
            <w:r>
              <w:rPr>
                <w:b/>
                <w:color w:val="auto"/>
                <w:sz w:val="24"/>
                <w:highlight w:val="none"/>
              </w:rPr>
              <w:t>②排水</w:t>
            </w:r>
          </w:p>
          <w:p w14:paraId="5E717E95">
            <w:pPr>
              <w:adjustRightInd w:val="0"/>
              <w:snapToGrid w:val="0"/>
              <w:spacing w:line="360" w:lineRule="auto"/>
              <w:ind w:firstLine="480" w:firstLineChars="200"/>
              <w:rPr>
                <w:b/>
                <w:color w:val="auto"/>
                <w:sz w:val="24"/>
                <w:highlight w:val="none"/>
              </w:rPr>
            </w:pPr>
            <w:r>
              <w:rPr>
                <w:color w:val="auto"/>
                <w:sz w:val="24"/>
                <w:highlight w:val="none"/>
              </w:rPr>
              <w:t>采用雨污分流，雨水进入市政雨水管网；生活污水依托</w:t>
            </w:r>
            <w:r>
              <w:rPr>
                <w:rFonts w:hint="eastAsia"/>
                <w:color w:val="auto"/>
                <w:sz w:val="24"/>
                <w:highlight w:val="none"/>
              </w:rPr>
              <w:t>厨鼎食品公司</w:t>
            </w:r>
            <w:r>
              <w:rPr>
                <w:color w:val="auto"/>
                <w:sz w:val="24"/>
                <w:highlight w:val="none"/>
              </w:rPr>
              <w:t>厂区已建化粪池处理后排入龙市镇工业污水处理厂深度处理达《城镇污水处理厂污染物排放标准》（GB18918-2002）一级A标准后排放；生产废水经自建污水处理设施处理达《淀粉工业水污染物排放限值》（GB25461-2010）表2中的间接排放标准后龙市镇工业污水处理厂，深度处理达《城镇污水处理厂污染物排放标准》（GB18918-2002）一级A标准后排放。</w:t>
            </w:r>
          </w:p>
          <w:p w14:paraId="7AC43ADC">
            <w:pPr>
              <w:adjustRightInd w:val="0"/>
              <w:snapToGrid w:val="0"/>
              <w:spacing w:line="360" w:lineRule="auto"/>
              <w:ind w:firstLine="571"/>
              <w:rPr>
                <w:b/>
                <w:color w:val="auto"/>
                <w:sz w:val="24"/>
                <w:highlight w:val="none"/>
              </w:rPr>
            </w:pPr>
            <w:r>
              <w:rPr>
                <w:b/>
                <w:color w:val="auto"/>
                <w:sz w:val="24"/>
                <w:highlight w:val="none"/>
              </w:rPr>
              <w:t>（2）供电</w:t>
            </w:r>
          </w:p>
          <w:p w14:paraId="704B2774">
            <w:pPr>
              <w:pStyle w:val="6"/>
              <w:spacing w:before="0" w:after="0" w:line="360" w:lineRule="auto"/>
              <w:ind w:right="0" w:firstLine="480" w:firstLineChars="200"/>
              <w:rPr>
                <w:b/>
                <w:color w:val="auto"/>
                <w:sz w:val="24"/>
                <w:szCs w:val="24"/>
                <w:highlight w:val="none"/>
              </w:rPr>
            </w:pPr>
            <w:r>
              <w:rPr>
                <w:color w:val="auto"/>
                <w:sz w:val="24"/>
                <w:highlight w:val="none"/>
              </w:rPr>
              <w:t>本项目依托</w:t>
            </w:r>
            <w:r>
              <w:rPr>
                <w:rFonts w:hint="eastAsia"/>
                <w:color w:val="auto"/>
                <w:sz w:val="24"/>
                <w:highlight w:val="none"/>
              </w:rPr>
              <w:t>厨鼎食品公司</w:t>
            </w:r>
            <w:r>
              <w:rPr>
                <w:color w:val="auto"/>
                <w:sz w:val="24"/>
                <w:highlight w:val="none"/>
              </w:rPr>
              <w:t>厂区供电系统</w:t>
            </w:r>
            <w:r>
              <w:rPr>
                <w:bCs/>
                <w:color w:val="auto"/>
                <w:sz w:val="21"/>
                <w:szCs w:val="21"/>
                <w:highlight w:val="none"/>
              </w:rPr>
              <w:t>。</w:t>
            </w:r>
          </w:p>
          <w:p w14:paraId="5DBD1851">
            <w:pPr>
              <w:adjustRightInd w:val="0"/>
              <w:snapToGrid w:val="0"/>
              <w:spacing w:line="360" w:lineRule="auto"/>
              <w:ind w:firstLine="571"/>
              <w:rPr>
                <w:b/>
                <w:color w:val="auto"/>
                <w:sz w:val="24"/>
                <w:highlight w:val="none"/>
              </w:rPr>
            </w:pPr>
            <w:r>
              <w:rPr>
                <w:b/>
                <w:color w:val="auto"/>
                <w:sz w:val="24"/>
                <w:highlight w:val="none"/>
              </w:rPr>
              <w:t>（3）制冷</w:t>
            </w:r>
          </w:p>
          <w:p w14:paraId="60C38C84">
            <w:pPr>
              <w:spacing w:line="360" w:lineRule="auto"/>
              <w:ind w:firstLine="491" w:firstLineChars="205"/>
              <w:rPr>
                <w:bCs/>
                <w:color w:val="auto"/>
                <w:sz w:val="24"/>
                <w:highlight w:val="none"/>
              </w:rPr>
            </w:pPr>
            <w:r>
              <w:rPr>
                <w:color w:val="auto"/>
                <w:sz w:val="24"/>
                <w:szCs w:val="32"/>
                <w:highlight w:val="none"/>
              </w:rPr>
              <w:t>厨鼎共2座冷库，均采用R404A无氟制冷剂，温度5~ -18</w:t>
            </w:r>
            <w:r>
              <w:rPr>
                <w:bCs/>
                <w:color w:val="auto"/>
                <w:sz w:val="24"/>
                <w:highlight w:val="none"/>
              </w:rPr>
              <w:t>℃。</w:t>
            </w:r>
            <w:r>
              <w:rPr>
                <w:color w:val="auto"/>
                <w:sz w:val="24"/>
                <w:szCs w:val="32"/>
                <w:highlight w:val="none"/>
              </w:rPr>
              <w:t>1座位于2#厂房1F，1座位于1#厂房1F，</w:t>
            </w:r>
            <w:r>
              <w:rPr>
                <w:bCs/>
                <w:color w:val="auto"/>
                <w:sz w:val="24"/>
                <w:highlight w:val="none"/>
              </w:rPr>
              <w:t>主要用于储存火锅底料生产中需冷冻保存的原料（固态牛油）、半成品和成品，目前2#厂房</w:t>
            </w:r>
            <w:r>
              <w:rPr>
                <w:color w:val="auto"/>
                <w:sz w:val="24"/>
                <w:szCs w:val="32"/>
                <w:highlight w:val="none"/>
              </w:rPr>
              <w:t>冷库</w:t>
            </w:r>
            <w:r>
              <w:rPr>
                <w:bCs/>
                <w:color w:val="auto"/>
                <w:sz w:val="24"/>
                <w:highlight w:val="none"/>
              </w:rPr>
              <w:t>可满足</w:t>
            </w:r>
            <w:r>
              <w:rPr>
                <w:rFonts w:hint="eastAsia"/>
                <w:bCs/>
                <w:color w:val="auto"/>
                <w:sz w:val="24"/>
                <w:highlight w:val="none"/>
              </w:rPr>
              <w:t>厨鼎食品公司</w:t>
            </w:r>
            <w:r>
              <w:rPr>
                <w:bCs/>
                <w:color w:val="auto"/>
                <w:sz w:val="24"/>
                <w:highlight w:val="none"/>
              </w:rPr>
              <w:t>现有项目的储存要求，1#厂房中的</w:t>
            </w:r>
            <w:r>
              <w:rPr>
                <w:color w:val="auto"/>
                <w:sz w:val="24"/>
                <w:szCs w:val="32"/>
                <w:highlight w:val="none"/>
              </w:rPr>
              <w:t>冷库</w:t>
            </w:r>
            <w:r>
              <w:rPr>
                <w:bCs/>
                <w:color w:val="auto"/>
                <w:sz w:val="24"/>
                <w:highlight w:val="none"/>
              </w:rPr>
              <w:t>处于闲置状态。</w:t>
            </w:r>
          </w:p>
          <w:p w14:paraId="3FC70023">
            <w:pPr>
              <w:spacing w:line="360" w:lineRule="auto"/>
              <w:ind w:firstLine="491" w:firstLineChars="205"/>
              <w:rPr>
                <w:bCs/>
                <w:color w:val="auto"/>
                <w:sz w:val="24"/>
                <w:highlight w:val="none"/>
              </w:rPr>
            </w:pPr>
            <w:r>
              <w:rPr>
                <w:bCs/>
                <w:color w:val="auto"/>
                <w:sz w:val="24"/>
                <w:highlight w:val="none"/>
              </w:rPr>
              <w:t>本项目鲜葛保鲜库依托</w:t>
            </w:r>
            <w:r>
              <w:rPr>
                <w:rFonts w:hint="eastAsia"/>
                <w:bCs/>
                <w:color w:val="auto"/>
                <w:sz w:val="24"/>
                <w:highlight w:val="none"/>
              </w:rPr>
              <w:t>厨鼎食品公司</w:t>
            </w:r>
            <w:r>
              <w:rPr>
                <w:color w:val="auto"/>
                <w:sz w:val="24"/>
                <w:szCs w:val="32"/>
                <w:highlight w:val="none"/>
              </w:rPr>
              <w:t>1#厂房1F</w:t>
            </w:r>
            <w:r>
              <w:rPr>
                <w:bCs/>
                <w:color w:val="auto"/>
                <w:sz w:val="24"/>
                <w:highlight w:val="none"/>
              </w:rPr>
              <w:t>已建冷库，冷库最大储存量20t，可满足本项目4天生产需求。</w:t>
            </w:r>
          </w:p>
          <w:p w14:paraId="172B4AC0">
            <w:pPr>
              <w:adjustRightInd w:val="0"/>
              <w:snapToGrid w:val="0"/>
              <w:spacing w:line="360" w:lineRule="auto"/>
              <w:rPr>
                <w:b/>
                <w:color w:val="auto"/>
                <w:sz w:val="24"/>
                <w:highlight w:val="none"/>
              </w:rPr>
            </w:pPr>
            <w:r>
              <w:rPr>
                <w:b/>
                <w:color w:val="auto"/>
                <w:sz w:val="24"/>
                <w:highlight w:val="none"/>
              </w:rPr>
              <w:t>2.7项目总平面布置</w:t>
            </w:r>
          </w:p>
          <w:p w14:paraId="0C19B0F7">
            <w:pPr>
              <w:widowControl/>
              <w:spacing w:line="360" w:lineRule="auto"/>
              <w:ind w:firstLine="480" w:firstLineChars="200"/>
              <w:jc w:val="left"/>
              <w:rPr>
                <w:b/>
                <w:color w:val="auto"/>
                <w:sz w:val="24"/>
                <w:highlight w:val="none"/>
              </w:rPr>
            </w:pPr>
            <w:r>
              <w:rPr>
                <w:bCs/>
                <w:color w:val="auto"/>
                <w:sz w:val="24"/>
                <w:highlight w:val="none"/>
              </w:rPr>
              <w:t>重庆市村里姑娘农业发展有限公司拟租赁</w:t>
            </w:r>
            <w:r>
              <w:rPr>
                <w:rFonts w:hint="eastAsia"/>
                <w:color w:val="auto"/>
                <w:sz w:val="24"/>
                <w:highlight w:val="none"/>
              </w:rPr>
              <w:t>厨鼎食品公司</w:t>
            </w:r>
            <w:r>
              <w:rPr>
                <w:bCs/>
                <w:color w:val="auto"/>
                <w:sz w:val="24"/>
                <w:highlight w:val="none"/>
              </w:rPr>
              <w:t>位于重庆市合川区龙市镇龙马大道7号</w:t>
            </w:r>
            <w:r>
              <w:rPr>
                <w:color w:val="auto"/>
                <w:sz w:val="24"/>
                <w:highlight w:val="none"/>
              </w:rPr>
              <w:t>1#闲置厂房</w:t>
            </w:r>
            <w:r>
              <w:rPr>
                <w:bCs/>
                <w:color w:val="auto"/>
                <w:sz w:val="24"/>
                <w:highlight w:val="none"/>
              </w:rPr>
              <w:t>1F和2F建设“年产90吨葛根粉”项目，租赁面积1100 m</w:t>
            </w:r>
            <w:r>
              <w:rPr>
                <w:bCs/>
                <w:color w:val="auto"/>
                <w:sz w:val="24"/>
                <w:highlight w:val="none"/>
                <w:vertAlign w:val="superscript"/>
              </w:rPr>
              <w:t>2</w:t>
            </w:r>
            <w:r>
              <w:rPr>
                <w:color w:val="auto"/>
                <w:sz w:val="24"/>
                <w:highlight w:val="none"/>
              </w:rPr>
              <w:t>，项目租赁厂房1F，设一条葛根粉生产线，内设清洗间、粉碎磨浆间、沉淀间、烘干间、清洗间、</w:t>
            </w:r>
            <w:r>
              <w:rPr>
                <w:bCs/>
                <w:color w:val="auto"/>
                <w:sz w:val="24"/>
                <w:highlight w:val="none"/>
              </w:rPr>
              <w:t>内包装间、外包装间、一般工业固体废物暂存间。</w:t>
            </w:r>
            <w:r>
              <w:rPr>
                <w:color w:val="auto"/>
                <w:kern w:val="0"/>
                <w:sz w:val="24"/>
                <w:highlight w:val="none"/>
                <w:lang w:bidi="ar"/>
              </w:rPr>
              <w:t>各区之间留有物流通道，做到物流顺畅。</w:t>
            </w:r>
            <w:r>
              <w:rPr>
                <w:color w:val="auto"/>
                <w:sz w:val="24"/>
                <w:highlight w:val="none"/>
              </w:rPr>
              <w:t>清洗间、粉碎磨浆间物流口设皮带运输机运输清洗干净后的葛根至葛根粉碎机内，</w:t>
            </w:r>
            <w:r>
              <w:rPr>
                <w:bCs/>
                <w:color w:val="auto"/>
                <w:sz w:val="24"/>
                <w:highlight w:val="none"/>
              </w:rPr>
              <w:t>内包装间、外包装间物流口设置一台紫外线消毒柜对内包装袋进行消毒。</w:t>
            </w:r>
            <w:r>
              <w:rPr>
                <w:color w:val="auto"/>
                <w:kern w:val="0"/>
                <w:sz w:val="24"/>
                <w:highlight w:val="none"/>
                <w:lang w:bidi="ar"/>
              </w:rPr>
              <w:t>项目总平面布置图见附图4。</w:t>
            </w:r>
          </w:p>
          <w:p w14:paraId="1A4A0B18">
            <w:pPr>
              <w:adjustRightInd w:val="0"/>
              <w:snapToGrid w:val="0"/>
              <w:spacing w:line="360" w:lineRule="auto"/>
              <w:rPr>
                <w:b/>
                <w:color w:val="auto"/>
                <w:sz w:val="24"/>
                <w:highlight w:val="none"/>
              </w:rPr>
            </w:pPr>
            <w:r>
              <w:rPr>
                <w:b/>
                <w:color w:val="auto"/>
                <w:sz w:val="24"/>
                <w:highlight w:val="none"/>
              </w:rPr>
              <w:t>2.8劳动定员及工作制度</w:t>
            </w:r>
          </w:p>
          <w:p w14:paraId="6AD979F7">
            <w:pPr>
              <w:adjustRightInd w:val="0"/>
              <w:snapToGrid w:val="0"/>
              <w:spacing w:line="360" w:lineRule="auto"/>
              <w:ind w:firstLine="480" w:firstLineChars="200"/>
              <w:rPr>
                <w:bCs/>
                <w:color w:val="auto"/>
                <w:sz w:val="24"/>
                <w:highlight w:val="none"/>
              </w:rPr>
            </w:pPr>
            <w:r>
              <w:rPr>
                <w:bCs/>
                <w:color w:val="auto"/>
                <w:sz w:val="24"/>
                <w:highlight w:val="none"/>
              </w:rPr>
              <w:t>总员工人数10人，一班8 h工作制，年工作120天，均不在厂内食宿。</w:t>
            </w:r>
          </w:p>
          <w:p w14:paraId="3C08EECA">
            <w:pPr>
              <w:adjustRightInd w:val="0"/>
              <w:snapToGrid w:val="0"/>
              <w:spacing w:line="360" w:lineRule="auto"/>
              <w:rPr>
                <w:b/>
                <w:bCs/>
                <w:color w:val="auto"/>
                <w:sz w:val="24"/>
                <w:szCs w:val="21"/>
                <w:highlight w:val="none"/>
              </w:rPr>
            </w:pPr>
            <w:r>
              <w:rPr>
                <w:b/>
                <w:color w:val="auto"/>
                <w:sz w:val="24"/>
                <w:highlight w:val="none"/>
              </w:rPr>
              <w:t>2.9</w:t>
            </w:r>
            <w:r>
              <w:rPr>
                <w:b/>
                <w:bCs/>
                <w:color w:val="auto"/>
                <w:sz w:val="24"/>
                <w:szCs w:val="21"/>
                <w:highlight w:val="none"/>
              </w:rPr>
              <w:t>水平衡</w:t>
            </w:r>
          </w:p>
          <w:p w14:paraId="34914E44">
            <w:pPr>
              <w:adjustRightInd w:val="0"/>
              <w:snapToGrid w:val="0"/>
              <w:spacing w:line="360" w:lineRule="auto"/>
              <w:rPr>
                <w:color w:val="auto"/>
                <w:sz w:val="24"/>
                <w:highlight w:val="none"/>
              </w:rPr>
            </w:pPr>
            <w:r>
              <w:rPr>
                <w:b/>
                <w:bCs/>
                <w:color w:val="auto"/>
                <w:sz w:val="24"/>
                <w:szCs w:val="21"/>
                <w:highlight w:val="none"/>
              </w:rPr>
              <w:t>2.9.1给水</w:t>
            </w:r>
          </w:p>
          <w:p w14:paraId="5E115B6B">
            <w:pPr>
              <w:adjustRightInd w:val="0"/>
              <w:snapToGrid w:val="0"/>
              <w:spacing w:line="360" w:lineRule="auto"/>
              <w:ind w:firstLine="480" w:firstLineChars="200"/>
              <w:rPr>
                <w:b/>
                <w:bCs/>
                <w:color w:val="auto"/>
                <w:sz w:val="24"/>
                <w:szCs w:val="21"/>
                <w:highlight w:val="none"/>
              </w:rPr>
            </w:pPr>
            <w:r>
              <w:rPr>
                <w:color w:val="auto"/>
                <w:sz w:val="24"/>
                <w:highlight w:val="none"/>
              </w:rPr>
              <w:t>本项目用水</w:t>
            </w:r>
            <w:r>
              <w:rPr>
                <w:bCs/>
                <w:color w:val="auto"/>
                <w:sz w:val="24"/>
                <w:highlight w:val="none"/>
              </w:rPr>
              <w:t>主要为生产用水、地面清洁用水、设备清洗用水和生活用水。本项目用水总量为</w:t>
            </w:r>
            <w:r>
              <w:rPr>
                <w:color w:val="auto"/>
                <w:sz w:val="24"/>
                <w:szCs w:val="21"/>
                <w:highlight w:val="none"/>
              </w:rPr>
              <w:t>1391.994 m</w:t>
            </w:r>
            <w:r>
              <w:rPr>
                <w:color w:val="auto"/>
                <w:sz w:val="24"/>
                <w:szCs w:val="21"/>
                <w:highlight w:val="none"/>
                <w:vertAlign w:val="superscript"/>
              </w:rPr>
              <w:t>3</w:t>
            </w:r>
            <w:r>
              <w:rPr>
                <w:color w:val="auto"/>
                <w:sz w:val="24"/>
                <w:szCs w:val="21"/>
                <w:highlight w:val="none"/>
              </w:rPr>
              <w:t>/a（12.442 m</w:t>
            </w:r>
            <w:r>
              <w:rPr>
                <w:color w:val="auto"/>
                <w:sz w:val="24"/>
                <w:szCs w:val="21"/>
                <w:highlight w:val="none"/>
                <w:vertAlign w:val="superscript"/>
              </w:rPr>
              <w:t>3</w:t>
            </w:r>
            <w:r>
              <w:rPr>
                <w:color w:val="auto"/>
                <w:sz w:val="24"/>
                <w:szCs w:val="21"/>
                <w:highlight w:val="none"/>
              </w:rPr>
              <w:t>/d）。</w:t>
            </w:r>
          </w:p>
          <w:p w14:paraId="087DC4B3">
            <w:pPr>
              <w:numPr>
                <w:ilvl w:val="0"/>
                <w:numId w:val="2"/>
              </w:numPr>
              <w:adjustRightInd w:val="0"/>
              <w:snapToGrid w:val="0"/>
              <w:spacing w:line="360" w:lineRule="auto"/>
              <w:ind w:firstLine="482" w:firstLineChars="200"/>
              <w:rPr>
                <w:b/>
                <w:bCs/>
                <w:color w:val="auto"/>
                <w:sz w:val="24"/>
                <w:szCs w:val="21"/>
                <w:highlight w:val="none"/>
              </w:rPr>
            </w:pPr>
            <w:r>
              <w:rPr>
                <w:b/>
                <w:bCs/>
                <w:color w:val="auto"/>
                <w:sz w:val="24"/>
                <w:szCs w:val="21"/>
                <w:highlight w:val="none"/>
              </w:rPr>
              <w:t>生产用水</w:t>
            </w:r>
          </w:p>
          <w:p w14:paraId="135C8B9C">
            <w:pPr>
              <w:adjustRightInd w:val="0"/>
              <w:snapToGrid w:val="0"/>
              <w:spacing w:line="360" w:lineRule="auto"/>
              <w:ind w:firstLine="480" w:firstLineChars="200"/>
              <w:rPr>
                <w:color w:val="auto"/>
                <w:sz w:val="24"/>
                <w:szCs w:val="21"/>
                <w:highlight w:val="none"/>
              </w:rPr>
            </w:pPr>
            <w:r>
              <w:rPr>
                <w:color w:val="auto"/>
                <w:sz w:val="24"/>
                <w:szCs w:val="21"/>
                <w:highlight w:val="none"/>
              </w:rPr>
              <w:t>①一级清洗用水</w:t>
            </w:r>
          </w:p>
          <w:p w14:paraId="0705BA51">
            <w:pPr>
              <w:adjustRightInd w:val="0"/>
              <w:snapToGrid w:val="0"/>
              <w:spacing w:line="460" w:lineRule="exact"/>
              <w:ind w:firstLine="480" w:firstLineChars="200"/>
              <w:rPr>
                <w:color w:val="auto"/>
                <w:sz w:val="24"/>
                <w:szCs w:val="21"/>
                <w:highlight w:val="none"/>
              </w:rPr>
            </w:pPr>
            <w:r>
              <w:rPr>
                <w:color w:val="auto"/>
                <w:sz w:val="24"/>
                <w:szCs w:val="21"/>
                <w:highlight w:val="none"/>
              </w:rPr>
              <w:t>本项目清洗间采用毛刷清洗机洗净鲜葛根表面泥沙，根据业主提供的数据，毛刷清洗机用水按0.7m</w:t>
            </w:r>
            <w:r>
              <w:rPr>
                <w:color w:val="auto"/>
                <w:sz w:val="24"/>
                <w:szCs w:val="21"/>
                <w:highlight w:val="none"/>
                <w:vertAlign w:val="superscript"/>
              </w:rPr>
              <w:t>3</w:t>
            </w:r>
            <w:r>
              <w:rPr>
                <w:color w:val="auto"/>
                <w:sz w:val="24"/>
                <w:szCs w:val="21"/>
                <w:highlight w:val="none"/>
              </w:rPr>
              <w:t>/t-原料，原料鲜葛根共600 t，一级清洗需水量为420 m</w:t>
            </w:r>
            <w:r>
              <w:rPr>
                <w:color w:val="auto"/>
                <w:sz w:val="24"/>
                <w:szCs w:val="21"/>
                <w:highlight w:val="none"/>
                <w:vertAlign w:val="superscript"/>
              </w:rPr>
              <w:t>3</w:t>
            </w:r>
            <w:r>
              <w:rPr>
                <w:color w:val="auto"/>
                <w:sz w:val="24"/>
                <w:szCs w:val="21"/>
                <w:highlight w:val="none"/>
              </w:rPr>
              <w:t>/a（3.5m</w:t>
            </w:r>
            <w:r>
              <w:rPr>
                <w:color w:val="auto"/>
                <w:sz w:val="24"/>
                <w:szCs w:val="21"/>
                <w:highlight w:val="none"/>
                <w:vertAlign w:val="superscript"/>
              </w:rPr>
              <w:t>3</w:t>
            </w:r>
            <w:r>
              <w:rPr>
                <w:color w:val="auto"/>
                <w:sz w:val="24"/>
                <w:szCs w:val="21"/>
                <w:highlight w:val="none"/>
              </w:rPr>
              <w:t>/d），其中新鲜水用量为65.16m</w:t>
            </w:r>
            <w:r>
              <w:rPr>
                <w:color w:val="auto"/>
                <w:sz w:val="24"/>
                <w:szCs w:val="21"/>
                <w:highlight w:val="none"/>
                <w:vertAlign w:val="superscript"/>
              </w:rPr>
              <w:t>3</w:t>
            </w:r>
            <w:r>
              <w:rPr>
                <w:color w:val="auto"/>
                <w:sz w:val="24"/>
                <w:szCs w:val="21"/>
                <w:highlight w:val="none"/>
              </w:rPr>
              <w:t>/a（0.543m</w:t>
            </w:r>
            <w:r>
              <w:rPr>
                <w:color w:val="auto"/>
                <w:sz w:val="24"/>
                <w:szCs w:val="21"/>
                <w:highlight w:val="none"/>
                <w:vertAlign w:val="superscript"/>
              </w:rPr>
              <w:t>3</w:t>
            </w:r>
            <w:r>
              <w:rPr>
                <w:color w:val="auto"/>
                <w:sz w:val="24"/>
                <w:szCs w:val="21"/>
                <w:highlight w:val="none"/>
              </w:rPr>
              <w:t>/d），回用水用量为354.84m</w:t>
            </w:r>
            <w:r>
              <w:rPr>
                <w:color w:val="auto"/>
                <w:sz w:val="24"/>
                <w:szCs w:val="21"/>
                <w:highlight w:val="none"/>
                <w:vertAlign w:val="superscript"/>
              </w:rPr>
              <w:t>3</w:t>
            </w:r>
            <w:r>
              <w:rPr>
                <w:color w:val="auto"/>
                <w:sz w:val="24"/>
                <w:szCs w:val="21"/>
                <w:highlight w:val="none"/>
              </w:rPr>
              <w:t>/a（2.957m</w:t>
            </w:r>
            <w:r>
              <w:rPr>
                <w:color w:val="auto"/>
                <w:sz w:val="24"/>
                <w:szCs w:val="21"/>
                <w:highlight w:val="none"/>
                <w:vertAlign w:val="superscript"/>
              </w:rPr>
              <w:t>3</w:t>
            </w:r>
            <w:r>
              <w:rPr>
                <w:color w:val="auto"/>
                <w:sz w:val="24"/>
                <w:szCs w:val="21"/>
                <w:highlight w:val="none"/>
              </w:rPr>
              <w:t>/d）。</w:t>
            </w:r>
          </w:p>
          <w:p w14:paraId="4AB638EA">
            <w:pPr>
              <w:adjustRightInd w:val="0"/>
              <w:snapToGrid w:val="0"/>
              <w:spacing w:line="460" w:lineRule="exact"/>
              <w:ind w:firstLine="480" w:firstLineChars="200"/>
              <w:rPr>
                <w:color w:val="auto"/>
                <w:sz w:val="24"/>
                <w:szCs w:val="21"/>
                <w:highlight w:val="none"/>
              </w:rPr>
            </w:pPr>
            <w:r>
              <w:rPr>
                <w:color w:val="auto"/>
                <w:sz w:val="24"/>
                <w:szCs w:val="21"/>
                <w:highlight w:val="none"/>
              </w:rPr>
              <w:t>②二级清洗环节</w:t>
            </w:r>
          </w:p>
          <w:p w14:paraId="6850A671">
            <w:pPr>
              <w:adjustRightInd w:val="0"/>
              <w:snapToGrid w:val="0"/>
              <w:spacing w:line="460" w:lineRule="exact"/>
              <w:ind w:firstLine="480" w:firstLineChars="200"/>
              <w:rPr>
                <w:color w:val="auto"/>
                <w:sz w:val="24"/>
                <w:szCs w:val="21"/>
                <w:highlight w:val="none"/>
              </w:rPr>
            </w:pPr>
            <w:r>
              <w:rPr>
                <w:color w:val="auto"/>
                <w:sz w:val="24"/>
                <w:szCs w:val="21"/>
                <w:highlight w:val="none"/>
              </w:rPr>
              <w:t>二级清洗环节为人工清洗，据业主提供的数据，二级清洗用水按0.8m</w:t>
            </w:r>
            <w:r>
              <w:rPr>
                <w:color w:val="auto"/>
                <w:sz w:val="24"/>
                <w:szCs w:val="21"/>
                <w:highlight w:val="none"/>
                <w:vertAlign w:val="superscript"/>
              </w:rPr>
              <w:t>3</w:t>
            </w:r>
            <w:r>
              <w:rPr>
                <w:color w:val="auto"/>
                <w:sz w:val="24"/>
                <w:szCs w:val="21"/>
                <w:highlight w:val="none"/>
              </w:rPr>
              <w:t>/t-原料，经一级清洗后，进入二级清洗的原料鲜葛根总量为597t，总需水量为477.6m</w:t>
            </w:r>
            <w:r>
              <w:rPr>
                <w:color w:val="auto"/>
                <w:sz w:val="24"/>
                <w:szCs w:val="21"/>
                <w:highlight w:val="none"/>
                <w:vertAlign w:val="superscript"/>
              </w:rPr>
              <w:t>3</w:t>
            </w:r>
            <w:r>
              <w:rPr>
                <w:color w:val="auto"/>
                <w:sz w:val="24"/>
                <w:szCs w:val="21"/>
                <w:highlight w:val="none"/>
              </w:rPr>
              <w:t>/a（3.980m</w:t>
            </w:r>
            <w:r>
              <w:rPr>
                <w:color w:val="auto"/>
                <w:sz w:val="24"/>
                <w:szCs w:val="21"/>
                <w:highlight w:val="none"/>
                <w:vertAlign w:val="superscript"/>
              </w:rPr>
              <w:t>3</w:t>
            </w:r>
            <w:r>
              <w:rPr>
                <w:color w:val="auto"/>
                <w:sz w:val="24"/>
                <w:szCs w:val="21"/>
                <w:highlight w:val="none"/>
              </w:rPr>
              <w:t>/d），均为新鲜水。</w:t>
            </w:r>
          </w:p>
          <w:p w14:paraId="4136EA17">
            <w:pPr>
              <w:adjustRightInd w:val="0"/>
              <w:snapToGrid w:val="0"/>
              <w:spacing w:line="460" w:lineRule="exact"/>
              <w:ind w:firstLine="480" w:firstLineChars="200"/>
              <w:rPr>
                <w:color w:val="auto"/>
                <w:sz w:val="24"/>
                <w:szCs w:val="21"/>
                <w:highlight w:val="none"/>
              </w:rPr>
            </w:pPr>
            <w:r>
              <w:rPr>
                <w:color w:val="auto"/>
                <w:sz w:val="24"/>
                <w:szCs w:val="21"/>
                <w:highlight w:val="none"/>
              </w:rPr>
              <w:t>③粉碎磨浆用水</w:t>
            </w:r>
          </w:p>
          <w:p w14:paraId="47B679BB">
            <w:pPr>
              <w:adjustRightInd w:val="0"/>
              <w:snapToGrid w:val="0"/>
              <w:spacing w:line="460" w:lineRule="exact"/>
              <w:ind w:firstLine="480" w:firstLineChars="200"/>
              <w:rPr>
                <w:color w:val="auto"/>
                <w:sz w:val="24"/>
                <w:szCs w:val="21"/>
                <w:highlight w:val="none"/>
              </w:rPr>
            </w:pPr>
            <w:r>
              <w:rPr>
                <w:color w:val="auto"/>
                <w:sz w:val="24"/>
                <w:szCs w:val="21"/>
                <w:highlight w:val="none"/>
              </w:rPr>
              <w:t>清洗后的葛根进入葛根粉碎机进行粉碎磨浆，需加入一定量的新鲜水，根据业主提供的数据，粉碎磨浆用水按0.4m</w:t>
            </w:r>
            <w:r>
              <w:rPr>
                <w:color w:val="auto"/>
                <w:sz w:val="24"/>
                <w:szCs w:val="21"/>
                <w:highlight w:val="none"/>
                <w:vertAlign w:val="superscript"/>
              </w:rPr>
              <w:t>3</w:t>
            </w:r>
            <w:r>
              <w:rPr>
                <w:color w:val="auto"/>
                <w:sz w:val="24"/>
                <w:szCs w:val="21"/>
                <w:highlight w:val="none"/>
              </w:rPr>
              <w:t>/t-原料，经二级清洗环节除去泥沙后进入葛根粉碎机原料鲜葛根共581.88t，故粉碎磨浆用水量约232.752 m</w:t>
            </w:r>
            <w:r>
              <w:rPr>
                <w:color w:val="auto"/>
                <w:sz w:val="24"/>
                <w:szCs w:val="21"/>
                <w:highlight w:val="none"/>
                <w:vertAlign w:val="superscript"/>
              </w:rPr>
              <w:t>3</w:t>
            </w:r>
            <w:r>
              <w:rPr>
                <w:color w:val="auto"/>
                <w:sz w:val="24"/>
                <w:szCs w:val="21"/>
                <w:highlight w:val="none"/>
              </w:rPr>
              <w:t>/a（1.940 m</w:t>
            </w:r>
            <w:r>
              <w:rPr>
                <w:color w:val="auto"/>
                <w:sz w:val="24"/>
                <w:szCs w:val="21"/>
                <w:highlight w:val="none"/>
                <w:vertAlign w:val="superscript"/>
              </w:rPr>
              <w:t>3</w:t>
            </w:r>
            <w:r>
              <w:rPr>
                <w:color w:val="auto"/>
                <w:sz w:val="24"/>
                <w:szCs w:val="21"/>
                <w:highlight w:val="none"/>
              </w:rPr>
              <w:t>/d）。</w:t>
            </w:r>
          </w:p>
          <w:p w14:paraId="2FBA8D44">
            <w:pPr>
              <w:adjustRightInd w:val="0"/>
              <w:snapToGrid w:val="0"/>
              <w:spacing w:line="460" w:lineRule="exact"/>
              <w:ind w:firstLine="480" w:firstLineChars="200"/>
              <w:rPr>
                <w:color w:val="auto"/>
                <w:sz w:val="24"/>
                <w:szCs w:val="21"/>
                <w:highlight w:val="none"/>
              </w:rPr>
            </w:pPr>
            <w:r>
              <w:rPr>
                <w:color w:val="auto"/>
                <w:sz w:val="24"/>
                <w:szCs w:val="21"/>
                <w:highlight w:val="none"/>
              </w:rPr>
              <w:t>④浆渣分离用水</w:t>
            </w:r>
          </w:p>
          <w:p w14:paraId="615C0257">
            <w:pPr>
              <w:adjustRightInd w:val="0"/>
              <w:snapToGrid w:val="0"/>
              <w:spacing w:line="460" w:lineRule="exact"/>
              <w:ind w:firstLine="480" w:firstLineChars="200"/>
              <w:rPr>
                <w:color w:val="auto"/>
                <w:sz w:val="24"/>
                <w:szCs w:val="21"/>
                <w:highlight w:val="none"/>
              </w:rPr>
            </w:pPr>
            <w:r>
              <w:rPr>
                <w:color w:val="auto"/>
                <w:sz w:val="24"/>
                <w:szCs w:val="21"/>
                <w:highlight w:val="none"/>
              </w:rPr>
              <w:t>本项目生产使用浆渣分离机加入一定量的新鲜水进行渣浆过滤分离，浆渣过滤用水量为464.73m</w:t>
            </w:r>
            <w:r>
              <w:rPr>
                <w:color w:val="auto"/>
                <w:sz w:val="24"/>
                <w:szCs w:val="21"/>
                <w:highlight w:val="none"/>
                <w:vertAlign w:val="superscript"/>
              </w:rPr>
              <w:t>3</w:t>
            </w:r>
            <w:r>
              <w:rPr>
                <w:color w:val="auto"/>
                <w:sz w:val="24"/>
                <w:szCs w:val="21"/>
                <w:highlight w:val="none"/>
              </w:rPr>
              <w:t>/a（3.872 m</w:t>
            </w:r>
            <w:r>
              <w:rPr>
                <w:color w:val="auto"/>
                <w:sz w:val="24"/>
                <w:szCs w:val="21"/>
                <w:highlight w:val="none"/>
                <w:vertAlign w:val="superscript"/>
              </w:rPr>
              <w:t>3</w:t>
            </w:r>
            <w:r>
              <w:rPr>
                <w:color w:val="auto"/>
                <w:sz w:val="24"/>
                <w:szCs w:val="21"/>
                <w:highlight w:val="none"/>
              </w:rPr>
              <w:t>/d）。</w:t>
            </w:r>
          </w:p>
          <w:p w14:paraId="5B28B850">
            <w:pPr>
              <w:adjustRightInd w:val="0"/>
              <w:snapToGrid w:val="0"/>
              <w:spacing w:line="460" w:lineRule="exact"/>
              <w:ind w:firstLine="480" w:firstLineChars="200"/>
              <w:rPr>
                <w:color w:val="auto"/>
                <w:sz w:val="24"/>
                <w:szCs w:val="21"/>
                <w:highlight w:val="none"/>
              </w:rPr>
            </w:pPr>
            <w:r>
              <w:rPr>
                <w:color w:val="auto"/>
                <w:sz w:val="24"/>
                <w:szCs w:val="21"/>
                <w:highlight w:val="none"/>
              </w:rPr>
              <w:t>⑤二级沉淀用水</w:t>
            </w:r>
          </w:p>
          <w:p w14:paraId="44E8ECE3">
            <w:pPr>
              <w:adjustRightInd w:val="0"/>
              <w:snapToGrid w:val="0"/>
              <w:spacing w:line="460" w:lineRule="exact"/>
              <w:ind w:firstLine="480" w:firstLineChars="200"/>
              <w:rPr>
                <w:color w:val="auto"/>
                <w:sz w:val="24"/>
                <w:szCs w:val="21"/>
                <w:highlight w:val="none"/>
              </w:rPr>
            </w:pPr>
            <w:r>
              <w:rPr>
                <w:color w:val="auto"/>
                <w:sz w:val="24"/>
                <w:szCs w:val="21"/>
                <w:highlight w:val="none"/>
              </w:rPr>
              <w:t>本项目二级沉淀在容积为100L的二级沉淀桶内进行，每天需二级沉淀桶20个，每桶新加入水量为20L，则二级沉淀共计需新鲜水48m</w:t>
            </w:r>
            <w:r>
              <w:rPr>
                <w:color w:val="auto"/>
                <w:sz w:val="24"/>
                <w:szCs w:val="21"/>
                <w:highlight w:val="none"/>
                <w:vertAlign w:val="superscript"/>
              </w:rPr>
              <w:t>3</w:t>
            </w:r>
            <w:r>
              <w:rPr>
                <w:color w:val="auto"/>
                <w:sz w:val="24"/>
                <w:szCs w:val="21"/>
                <w:highlight w:val="none"/>
              </w:rPr>
              <w:t>/a（0.4 m</w:t>
            </w:r>
            <w:r>
              <w:rPr>
                <w:color w:val="auto"/>
                <w:sz w:val="24"/>
                <w:szCs w:val="21"/>
                <w:highlight w:val="none"/>
                <w:vertAlign w:val="superscript"/>
              </w:rPr>
              <w:t>3</w:t>
            </w:r>
            <w:r>
              <w:rPr>
                <w:color w:val="auto"/>
                <w:sz w:val="24"/>
                <w:szCs w:val="21"/>
                <w:highlight w:val="none"/>
              </w:rPr>
              <w:t>/d）。</w:t>
            </w:r>
          </w:p>
          <w:p w14:paraId="39C47EE1">
            <w:pPr>
              <w:numPr>
                <w:ilvl w:val="0"/>
                <w:numId w:val="2"/>
              </w:numPr>
              <w:adjustRightInd w:val="0"/>
              <w:snapToGrid w:val="0"/>
              <w:spacing w:line="460" w:lineRule="exact"/>
              <w:ind w:firstLine="482" w:firstLineChars="200"/>
              <w:rPr>
                <w:b/>
                <w:bCs/>
                <w:color w:val="auto"/>
                <w:sz w:val="24"/>
                <w:szCs w:val="21"/>
                <w:highlight w:val="none"/>
              </w:rPr>
            </w:pPr>
            <w:r>
              <w:rPr>
                <w:b/>
                <w:bCs/>
                <w:color w:val="auto"/>
                <w:sz w:val="24"/>
                <w:szCs w:val="21"/>
                <w:highlight w:val="none"/>
              </w:rPr>
              <w:t>地面清洁用水</w:t>
            </w:r>
          </w:p>
          <w:p w14:paraId="30986A46">
            <w:pPr>
              <w:adjustRightInd w:val="0"/>
              <w:snapToGrid w:val="0"/>
              <w:spacing w:line="460" w:lineRule="exact"/>
              <w:ind w:firstLine="480" w:firstLineChars="200"/>
              <w:rPr>
                <w:color w:val="auto"/>
                <w:sz w:val="24"/>
                <w:szCs w:val="21"/>
                <w:highlight w:val="none"/>
              </w:rPr>
            </w:pPr>
            <w:r>
              <w:rPr>
                <w:color w:val="auto"/>
                <w:sz w:val="24"/>
                <w:szCs w:val="21"/>
                <w:highlight w:val="none"/>
              </w:rPr>
              <w:t>地面清洗用水按2 L/</w:t>
            </w:r>
            <w:r>
              <w:rPr>
                <w:bCs/>
                <w:color w:val="auto"/>
                <w:sz w:val="24"/>
                <w:highlight w:val="none"/>
              </w:rPr>
              <w:t>m</w:t>
            </w:r>
            <w:r>
              <w:rPr>
                <w:bCs/>
                <w:color w:val="auto"/>
                <w:sz w:val="24"/>
                <w:highlight w:val="none"/>
                <w:vertAlign w:val="superscript"/>
              </w:rPr>
              <w:t>2</w:t>
            </w:r>
            <w:r>
              <w:rPr>
                <w:bCs/>
                <w:color w:val="auto"/>
                <w:sz w:val="24"/>
                <w:highlight w:val="none"/>
              </w:rPr>
              <w:t>·d计，清洗间、粉碎磨洗间</w:t>
            </w:r>
            <w:r>
              <w:rPr>
                <w:color w:val="auto"/>
                <w:sz w:val="24"/>
                <w:szCs w:val="21"/>
                <w:highlight w:val="none"/>
              </w:rPr>
              <w:t xml:space="preserve">地面清洗面积为76.99 </w:t>
            </w:r>
            <w:r>
              <w:rPr>
                <w:bCs/>
                <w:color w:val="auto"/>
                <w:sz w:val="24"/>
                <w:highlight w:val="none"/>
              </w:rPr>
              <w:t>m</w:t>
            </w:r>
            <w:r>
              <w:rPr>
                <w:bCs/>
                <w:color w:val="auto"/>
                <w:sz w:val="24"/>
                <w:highlight w:val="none"/>
                <w:vertAlign w:val="superscript"/>
              </w:rPr>
              <w:t>2</w:t>
            </w:r>
            <w:r>
              <w:rPr>
                <w:color w:val="auto"/>
                <w:sz w:val="24"/>
                <w:szCs w:val="21"/>
                <w:highlight w:val="none"/>
              </w:rPr>
              <w:t>，按每日清洗一次，地面清洗用水量为18.480 m</w:t>
            </w:r>
            <w:r>
              <w:rPr>
                <w:color w:val="auto"/>
                <w:sz w:val="24"/>
                <w:szCs w:val="21"/>
                <w:highlight w:val="none"/>
                <w:vertAlign w:val="superscript"/>
              </w:rPr>
              <w:t>3</w:t>
            </w:r>
            <w:r>
              <w:rPr>
                <w:color w:val="auto"/>
                <w:sz w:val="24"/>
                <w:szCs w:val="21"/>
                <w:highlight w:val="none"/>
              </w:rPr>
              <w:t>/a（0.154 m</w:t>
            </w:r>
            <w:r>
              <w:rPr>
                <w:color w:val="auto"/>
                <w:sz w:val="24"/>
                <w:szCs w:val="21"/>
                <w:highlight w:val="none"/>
                <w:vertAlign w:val="superscript"/>
              </w:rPr>
              <w:t>3</w:t>
            </w:r>
            <w:r>
              <w:rPr>
                <w:color w:val="auto"/>
                <w:sz w:val="24"/>
                <w:szCs w:val="21"/>
                <w:highlight w:val="none"/>
              </w:rPr>
              <w:t xml:space="preserve">/d）；沉淀间、烘干间、内包装间、外包装间、更衣间及过道的地面清洗面积为276.28 </w:t>
            </w:r>
            <w:r>
              <w:rPr>
                <w:bCs/>
                <w:color w:val="auto"/>
                <w:sz w:val="24"/>
                <w:highlight w:val="none"/>
              </w:rPr>
              <w:t>m</w:t>
            </w:r>
            <w:r>
              <w:rPr>
                <w:bCs/>
                <w:color w:val="auto"/>
                <w:sz w:val="24"/>
                <w:highlight w:val="none"/>
                <w:vertAlign w:val="superscript"/>
              </w:rPr>
              <w:t>2</w:t>
            </w:r>
            <w:r>
              <w:rPr>
                <w:color w:val="auto"/>
                <w:sz w:val="24"/>
                <w:szCs w:val="21"/>
                <w:highlight w:val="none"/>
              </w:rPr>
              <w:t>，按每5天清洗一次，地面清洗用水量为13.272 m</w:t>
            </w:r>
            <w:r>
              <w:rPr>
                <w:color w:val="auto"/>
                <w:sz w:val="24"/>
                <w:szCs w:val="21"/>
                <w:highlight w:val="none"/>
                <w:vertAlign w:val="superscript"/>
              </w:rPr>
              <w:t>3</w:t>
            </w:r>
            <w:r>
              <w:rPr>
                <w:color w:val="auto"/>
                <w:sz w:val="24"/>
                <w:szCs w:val="21"/>
                <w:highlight w:val="none"/>
              </w:rPr>
              <w:t>/a（0.553 m</w:t>
            </w:r>
            <w:r>
              <w:rPr>
                <w:color w:val="auto"/>
                <w:sz w:val="24"/>
                <w:szCs w:val="21"/>
                <w:highlight w:val="none"/>
                <w:vertAlign w:val="superscript"/>
              </w:rPr>
              <w:t>3</w:t>
            </w:r>
            <w:r>
              <w:rPr>
                <w:color w:val="auto"/>
                <w:sz w:val="24"/>
                <w:szCs w:val="21"/>
                <w:highlight w:val="none"/>
              </w:rPr>
              <w:t>/次）。则每天地面清洗最大用水量为0.707m</w:t>
            </w:r>
            <w:r>
              <w:rPr>
                <w:color w:val="auto"/>
                <w:sz w:val="24"/>
                <w:szCs w:val="21"/>
                <w:highlight w:val="none"/>
                <w:vertAlign w:val="superscript"/>
              </w:rPr>
              <w:t>3</w:t>
            </w:r>
            <w:r>
              <w:rPr>
                <w:color w:val="auto"/>
                <w:sz w:val="24"/>
                <w:szCs w:val="21"/>
                <w:highlight w:val="none"/>
              </w:rPr>
              <w:t>/d。</w:t>
            </w:r>
          </w:p>
          <w:p w14:paraId="1F971F5E">
            <w:pPr>
              <w:numPr>
                <w:ilvl w:val="0"/>
                <w:numId w:val="2"/>
              </w:numPr>
              <w:adjustRightInd w:val="0"/>
              <w:snapToGrid w:val="0"/>
              <w:spacing w:line="460" w:lineRule="exact"/>
              <w:ind w:firstLine="480" w:firstLineChars="200"/>
              <w:rPr>
                <w:color w:val="auto"/>
                <w:sz w:val="24"/>
                <w:szCs w:val="21"/>
                <w:highlight w:val="none"/>
              </w:rPr>
            </w:pPr>
            <w:r>
              <w:rPr>
                <w:color w:val="auto"/>
                <w:sz w:val="24"/>
                <w:szCs w:val="21"/>
                <w:highlight w:val="none"/>
              </w:rPr>
              <w:t>设备清洗用水</w:t>
            </w:r>
          </w:p>
          <w:p w14:paraId="6F814F3D">
            <w:pPr>
              <w:adjustRightInd w:val="0"/>
              <w:snapToGrid w:val="0"/>
              <w:spacing w:line="460" w:lineRule="exact"/>
              <w:ind w:firstLine="480" w:firstLineChars="200"/>
              <w:rPr>
                <w:color w:val="auto"/>
                <w:sz w:val="24"/>
                <w:szCs w:val="21"/>
                <w:highlight w:val="none"/>
              </w:rPr>
            </w:pPr>
            <w:r>
              <w:rPr>
                <w:color w:val="auto"/>
                <w:sz w:val="24"/>
                <w:szCs w:val="21"/>
                <w:highlight w:val="none"/>
              </w:rPr>
              <w:t>主要用于对葛根粉碎机、浆渣分离机、二罗机、除砂机、大桶、小桶、烘干机及包装机的清洗。</w:t>
            </w:r>
            <w:r>
              <w:rPr>
                <w:bCs/>
                <w:color w:val="auto"/>
                <w:sz w:val="24"/>
                <w:highlight w:val="none"/>
              </w:rPr>
              <w:t>按5天清洗一次，每次用水量</w:t>
            </w:r>
            <w:r>
              <w:rPr>
                <w:color w:val="auto"/>
                <w:sz w:val="24"/>
                <w:szCs w:val="21"/>
                <w:highlight w:val="none"/>
              </w:rPr>
              <w:t xml:space="preserve">0.5 </w:t>
            </w:r>
            <w:r>
              <w:rPr>
                <w:bCs/>
                <w:color w:val="auto"/>
                <w:sz w:val="24"/>
                <w:highlight w:val="none"/>
              </w:rPr>
              <w:t>m</w:t>
            </w:r>
            <w:r>
              <w:rPr>
                <w:bCs/>
                <w:color w:val="auto"/>
                <w:sz w:val="24"/>
                <w:highlight w:val="none"/>
                <w:vertAlign w:val="superscript"/>
              </w:rPr>
              <w:t>3</w:t>
            </w:r>
            <w:r>
              <w:rPr>
                <w:bCs/>
                <w:color w:val="auto"/>
                <w:sz w:val="24"/>
                <w:highlight w:val="none"/>
              </w:rPr>
              <w:t>/d计，每年清洗24次，设备清洗用水总量为12</w:t>
            </w:r>
            <w:r>
              <w:rPr>
                <w:color w:val="auto"/>
                <w:sz w:val="24"/>
                <w:szCs w:val="21"/>
                <w:highlight w:val="none"/>
              </w:rPr>
              <w:t>m</w:t>
            </w:r>
            <w:r>
              <w:rPr>
                <w:color w:val="auto"/>
                <w:sz w:val="24"/>
                <w:szCs w:val="21"/>
                <w:highlight w:val="none"/>
                <w:vertAlign w:val="superscript"/>
              </w:rPr>
              <w:t>3</w:t>
            </w:r>
            <w:r>
              <w:rPr>
                <w:color w:val="auto"/>
                <w:sz w:val="24"/>
                <w:szCs w:val="21"/>
                <w:highlight w:val="none"/>
              </w:rPr>
              <w:t>/a。</w:t>
            </w:r>
          </w:p>
          <w:p w14:paraId="3CCA71C4">
            <w:pPr>
              <w:numPr>
                <w:ilvl w:val="0"/>
                <w:numId w:val="2"/>
              </w:numPr>
              <w:adjustRightInd w:val="0"/>
              <w:snapToGrid w:val="0"/>
              <w:spacing w:line="460" w:lineRule="exact"/>
              <w:ind w:firstLine="482" w:firstLineChars="200"/>
              <w:rPr>
                <w:b/>
                <w:bCs/>
                <w:color w:val="auto"/>
                <w:sz w:val="24"/>
                <w:szCs w:val="21"/>
                <w:highlight w:val="none"/>
              </w:rPr>
            </w:pPr>
            <w:r>
              <w:rPr>
                <w:b/>
                <w:bCs/>
                <w:color w:val="auto"/>
                <w:sz w:val="24"/>
                <w:szCs w:val="21"/>
                <w:highlight w:val="none"/>
              </w:rPr>
              <w:t>生活用水</w:t>
            </w:r>
          </w:p>
          <w:p w14:paraId="0810C24F">
            <w:pPr>
              <w:adjustRightInd w:val="0"/>
              <w:snapToGrid w:val="0"/>
              <w:spacing w:line="460" w:lineRule="exact"/>
              <w:ind w:firstLine="480" w:firstLineChars="200"/>
              <w:rPr>
                <w:color w:val="auto"/>
                <w:sz w:val="24"/>
                <w:szCs w:val="21"/>
                <w:highlight w:val="none"/>
              </w:rPr>
            </w:pPr>
            <w:r>
              <w:rPr>
                <w:color w:val="auto"/>
                <w:sz w:val="24"/>
                <w:szCs w:val="21"/>
                <w:highlight w:val="none"/>
              </w:rPr>
              <w:t>本项目劳动定员10人，一班8h工作制，年工作120天，不在厂内食宿。根据《建筑给水排水设计标准》（GB 50015-2019），生活用水定额按每人每天50 L计，则生活用水总量为60 m</w:t>
            </w:r>
            <w:r>
              <w:rPr>
                <w:color w:val="auto"/>
                <w:sz w:val="24"/>
                <w:szCs w:val="21"/>
                <w:highlight w:val="none"/>
                <w:vertAlign w:val="superscript"/>
              </w:rPr>
              <w:t>3</w:t>
            </w:r>
            <w:r>
              <w:rPr>
                <w:color w:val="auto"/>
                <w:sz w:val="24"/>
                <w:szCs w:val="21"/>
                <w:highlight w:val="none"/>
              </w:rPr>
              <w:t>/a（0.5 m</w:t>
            </w:r>
            <w:r>
              <w:rPr>
                <w:color w:val="auto"/>
                <w:sz w:val="24"/>
                <w:szCs w:val="21"/>
                <w:highlight w:val="none"/>
                <w:vertAlign w:val="superscript"/>
              </w:rPr>
              <w:t>3</w:t>
            </w:r>
            <w:r>
              <w:rPr>
                <w:color w:val="auto"/>
                <w:sz w:val="24"/>
                <w:szCs w:val="21"/>
                <w:highlight w:val="none"/>
              </w:rPr>
              <w:t>/d）。</w:t>
            </w:r>
          </w:p>
          <w:p w14:paraId="4A38C9B3">
            <w:pPr>
              <w:adjustRightInd w:val="0"/>
              <w:snapToGrid w:val="0"/>
              <w:spacing w:line="460" w:lineRule="exact"/>
              <w:rPr>
                <w:b/>
                <w:bCs/>
                <w:color w:val="auto"/>
                <w:sz w:val="24"/>
                <w:szCs w:val="21"/>
                <w:highlight w:val="none"/>
              </w:rPr>
            </w:pPr>
            <w:r>
              <w:rPr>
                <w:b/>
                <w:bCs/>
                <w:color w:val="auto"/>
                <w:sz w:val="24"/>
                <w:szCs w:val="21"/>
                <w:highlight w:val="none"/>
              </w:rPr>
              <w:t>2.9.2排水</w:t>
            </w:r>
          </w:p>
          <w:p w14:paraId="5FCDD395">
            <w:pPr>
              <w:numPr>
                <w:ilvl w:val="0"/>
                <w:numId w:val="3"/>
              </w:numPr>
              <w:adjustRightInd w:val="0"/>
              <w:snapToGrid w:val="0"/>
              <w:spacing w:line="460" w:lineRule="exact"/>
              <w:rPr>
                <w:color w:val="auto"/>
                <w:sz w:val="24"/>
                <w:szCs w:val="21"/>
                <w:highlight w:val="none"/>
              </w:rPr>
            </w:pPr>
            <w:r>
              <w:rPr>
                <w:b/>
                <w:bCs/>
                <w:color w:val="auto"/>
                <w:sz w:val="24"/>
                <w:szCs w:val="21"/>
                <w:highlight w:val="none"/>
              </w:rPr>
              <w:t>生产废水</w:t>
            </w:r>
          </w:p>
          <w:p w14:paraId="7202AE33">
            <w:pPr>
              <w:adjustRightInd w:val="0"/>
              <w:snapToGrid w:val="0"/>
              <w:spacing w:line="460" w:lineRule="exact"/>
              <w:ind w:firstLine="720" w:firstLineChars="300"/>
              <w:rPr>
                <w:color w:val="auto"/>
                <w:sz w:val="24"/>
                <w:szCs w:val="21"/>
                <w:highlight w:val="none"/>
              </w:rPr>
            </w:pPr>
            <w:r>
              <w:rPr>
                <w:color w:val="auto"/>
                <w:sz w:val="24"/>
                <w:szCs w:val="21"/>
                <w:highlight w:val="none"/>
              </w:rPr>
              <w:t>①一级清洗废水</w:t>
            </w:r>
          </w:p>
          <w:p w14:paraId="1B20D02E">
            <w:pPr>
              <w:adjustRightInd w:val="0"/>
              <w:snapToGrid w:val="0"/>
              <w:spacing w:line="460" w:lineRule="exact"/>
              <w:ind w:firstLine="480" w:firstLineChars="200"/>
              <w:rPr>
                <w:color w:val="auto"/>
                <w:sz w:val="24"/>
                <w:szCs w:val="21"/>
                <w:highlight w:val="none"/>
              </w:rPr>
            </w:pPr>
            <w:r>
              <w:rPr>
                <w:color w:val="auto"/>
                <w:sz w:val="24"/>
                <w:szCs w:val="21"/>
                <w:highlight w:val="none"/>
              </w:rPr>
              <w:t>一级清洗用水量为420 m</w:t>
            </w:r>
            <w:r>
              <w:rPr>
                <w:color w:val="auto"/>
                <w:sz w:val="24"/>
                <w:szCs w:val="21"/>
                <w:highlight w:val="none"/>
                <w:vertAlign w:val="superscript"/>
              </w:rPr>
              <w:t>3</w:t>
            </w:r>
            <w:r>
              <w:rPr>
                <w:color w:val="auto"/>
                <w:sz w:val="24"/>
                <w:szCs w:val="21"/>
                <w:highlight w:val="none"/>
              </w:rPr>
              <w:t>/a（3.5m</w:t>
            </w:r>
            <w:r>
              <w:rPr>
                <w:color w:val="auto"/>
                <w:sz w:val="24"/>
                <w:szCs w:val="21"/>
                <w:highlight w:val="none"/>
                <w:vertAlign w:val="superscript"/>
              </w:rPr>
              <w:t>3</w:t>
            </w:r>
            <w:r>
              <w:rPr>
                <w:color w:val="auto"/>
                <w:sz w:val="24"/>
                <w:szCs w:val="21"/>
                <w:highlight w:val="none"/>
              </w:rPr>
              <w:t>/d），排污系数按0.9计，一级清洗废水产生量为378m</w:t>
            </w:r>
            <w:r>
              <w:rPr>
                <w:color w:val="auto"/>
                <w:sz w:val="24"/>
                <w:szCs w:val="21"/>
                <w:highlight w:val="none"/>
                <w:vertAlign w:val="superscript"/>
              </w:rPr>
              <w:t>3</w:t>
            </w:r>
            <w:r>
              <w:rPr>
                <w:color w:val="auto"/>
                <w:sz w:val="24"/>
                <w:szCs w:val="21"/>
                <w:highlight w:val="none"/>
              </w:rPr>
              <w:t>/a（3.15m</w:t>
            </w:r>
            <w:r>
              <w:rPr>
                <w:color w:val="auto"/>
                <w:sz w:val="24"/>
                <w:szCs w:val="21"/>
                <w:highlight w:val="none"/>
                <w:vertAlign w:val="superscript"/>
              </w:rPr>
              <w:t>3</w:t>
            </w:r>
            <w:r>
              <w:rPr>
                <w:color w:val="auto"/>
                <w:sz w:val="24"/>
                <w:szCs w:val="21"/>
                <w:highlight w:val="none"/>
              </w:rPr>
              <w:t>/d）。</w:t>
            </w:r>
          </w:p>
          <w:p w14:paraId="37F72FD6">
            <w:pPr>
              <w:adjustRightInd w:val="0"/>
              <w:snapToGrid w:val="0"/>
              <w:spacing w:line="460" w:lineRule="exact"/>
              <w:ind w:firstLine="720" w:firstLineChars="300"/>
              <w:rPr>
                <w:color w:val="auto"/>
                <w:sz w:val="24"/>
                <w:szCs w:val="21"/>
                <w:highlight w:val="none"/>
              </w:rPr>
            </w:pPr>
            <w:r>
              <w:rPr>
                <w:color w:val="auto"/>
                <w:sz w:val="24"/>
                <w:szCs w:val="21"/>
                <w:highlight w:val="none"/>
              </w:rPr>
              <w:t>②二级清洗废水</w:t>
            </w:r>
          </w:p>
          <w:p w14:paraId="2C772BEB">
            <w:pPr>
              <w:adjustRightInd w:val="0"/>
              <w:snapToGrid w:val="0"/>
              <w:spacing w:line="460" w:lineRule="exact"/>
              <w:ind w:firstLine="480" w:firstLineChars="200"/>
              <w:rPr>
                <w:color w:val="auto"/>
                <w:sz w:val="24"/>
                <w:szCs w:val="21"/>
                <w:highlight w:val="none"/>
              </w:rPr>
            </w:pPr>
            <w:r>
              <w:rPr>
                <w:color w:val="auto"/>
                <w:sz w:val="24"/>
                <w:szCs w:val="21"/>
                <w:highlight w:val="none"/>
              </w:rPr>
              <w:t>二级清洗用水量为477.6m</w:t>
            </w:r>
            <w:r>
              <w:rPr>
                <w:color w:val="auto"/>
                <w:sz w:val="24"/>
                <w:szCs w:val="21"/>
                <w:highlight w:val="none"/>
                <w:vertAlign w:val="superscript"/>
              </w:rPr>
              <w:t>3</w:t>
            </w:r>
            <w:r>
              <w:rPr>
                <w:color w:val="auto"/>
                <w:sz w:val="24"/>
                <w:szCs w:val="21"/>
                <w:highlight w:val="none"/>
              </w:rPr>
              <w:t>/a，排污系数按0.9计，二级清洗废水产生量为429.84m</w:t>
            </w:r>
            <w:r>
              <w:rPr>
                <w:color w:val="auto"/>
                <w:sz w:val="24"/>
                <w:szCs w:val="21"/>
                <w:highlight w:val="none"/>
                <w:vertAlign w:val="superscript"/>
              </w:rPr>
              <w:t>3</w:t>
            </w:r>
            <w:r>
              <w:rPr>
                <w:color w:val="auto"/>
                <w:sz w:val="24"/>
                <w:szCs w:val="21"/>
                <w:highlight w:val="none"/>
              </w:rPr>
              <w:t>/a，其中96m</w:t>
            </w:r>
            <w:r>
              <w:rPr>
                <w:color w:val="auto"/>
                <w:sz w:val="24"/>
                <w:szCs w:val="21"/>
                <w:highlight w:val="none"/>
                <w:vertAlign w:val="superscript"/>
              </w:rPr>
              <w:t>3</w:t>
            </w:r>
            <w:r>
              <w:rPr>
                <w:color w:val="auto"/>
                <w:sz w:val="24"/>
                <w:szCs w:val="21"/>
                <w:highlight w:val="none"/>
              </w:rPr>
              <w:t>/a（0.8m</w:t>
            </w:r>
            <w:r>
              <w:rPr>
                <w:color w:val="auto"/>
                <w:sz w:val="24"/>
                <w:szCs w:val="21"/>
                <w:highlight w:val="none"/>
                <w:vertAlign w:val="superscript"/>
              </w:rPr>
              <w:t>3</w:t>
            </w:r>
            <w:r>
              <w:rPr>
                <w:color w:val="auto"/>
                <w:sz w:val="24"/>
                <w:szCs w:val="21"/>
                <w:highlight w:val="none"/>
              </w:rPr>
              <w:t>/d）作为废水排入废水处理设施处理，354.84m</w:t>
            </w:r>
            <w:r>
              <w:rPr>
                <w:color w:val="auto"/>
                <w:sz w:val="24"/>
                <w:szCs w:val="21"/>
                <w:highlight w:val="none"/>
                <w:vertAlign w:val="superscript"/>
              </w:rPr>
              <w:t>3</w:t>
            </w:r>
            <w:r>
              <w:rPr>
                <w:color w:val="auto"/>
                <w:sz w:val="24"/>
                <w:szCs w:val="21"/>
                <w:highlight w:val="none"/>
              </w:rPr>
              <w:t>/a（2.957m</w:t>
            </w:r>
            <w:r>
              <w:rPr>
                <w:color w:val="auto"/>
                <w:sz w:val="24"/>
                <w:szCs w:val="21"/>
                <w:highlight w:val="none"/>
                <w:vertAlign w:val="superscript"/>
              </w:rPr>
              <w:t>3</w:t>
            </w:r>
            <w:r>
              <w:rPr>
                <w:color w:val="auto"/>
                <w:sz w:val="24"/>
                <w:szCs w:val="21"/>
                <w:highlight w:val="none"/>
              </w:rPr>
              <w:t>/d）回用做一级清洗用水。</w:t>
            </w:r>
          </w:p>
          <w:p w14:paraId="6BFD681E">
            <w:pPr>
              <w:adjustRightInd w:val="0"/>
              <w:snapToGrid w:val="0"/>
              <w:spacing w:line="460" w:lineRule="exact"/>
              <w:ind w:firstLine="720" w:firstLineChars="300"/>
              <w:rPr>
                <w:color w:val="auto"/>
                <w:sz w:val="24"/>
                <w:szCs w:val="21"/>
                <w:highlight w:val="none"/>
              </w:rPr>
            </w:pPr>
            <w:r>
              <w:rPr>
                <w:color w:val="auto"/>
                <w:sz w:val="24"/>
                <w:szCs w:val="21"/>
                <w:highlight w:val="none"/>
              </w:rPr>
              <w:t>③一级沉淀废水</w:t>
            </w:r>
          </w:p>
          <w:p w14:paraId="5DD69F36">
            <w:pPr>
              <w:adjustRightInd w:val="0"/>
              <w:snapToGrid w:val="0"/>
              <w:spacing w:line="460" w:lineRule="exact"/>
              <w:ind w:firstLine="720" w:firstLineChars="300"/>
              <w:rPr>
                <w:color w:val="auto"/>
                <w:sz w:val="24"/>
                <w:szCs w:val="21"/>
                <w:highlight w:val="none"/>
              </w:rPr>
            </w:pPr>
            <w:r>
              <w:rPr>
                <w:color w:val="auto"/>
                <w:sz w:val="24"/>
                <w:szCs w:val="21"/>
                <w:highlight w:val="none"/>
              </w:rPr>
              <w:t>本项目一级沉淀在容积为400L的一级沉淀桶内进行，每天需一级沉淀桶20个，废水产生率为浆液总容积的80%。一级沉淀废水产生量为768m</w:t>
            </w:r>
            <w:r>
              <w:rPr>
                <w:color w:val="auto"/>
                <w:sz w:val="24"/>
                <w:szCs w:val="21"/>
                <w:highlight w:val="none"/>
                <w:vertAlign w:val="superscript"/>
              </w:rPr>
              <w:t>3</w:t>
            </w:r>
            <w:r>
              <w:rPr>
                <w:color w:val="auto"/>
                <w:sz w:val="24"/>
                <w:szCs w:val="21"/>
                <w:highlight w:val="none"/>
              </w:rPr>
              <w:t>/a（6.4m</w:t>
            </w:r>
            <w:r>
              <w:rPr>
                <w:color w:val="auto"/>
                <w:sz w:val="24"/>
                <w:szCs w:val="21"/>
                <w:highlight w:val="none"/>
                <w:vertAlign w:val="superscript"/>
              </w:rPr>
              <w:t>3</w:t>
            </w:r>
            <w:r>
              <w:rPr>
                <w:color w:val="auto"/>
                <w:sz w:val="24"/>
                <w:szCs w:val="21"/>
                <w:highlight w:val="none"/>
              </w:rPr>
              <w:t>/d）。该环节产生废水污染物浓度较高，不能回用，进入废水处理设施进行处理。</w:t>
            </w:r>
          </w:p>
          <w:p w14:paraId="02AE219A">
            <w:pPr>
              <w:adjustRightInd w:val="0"/>
              <w:snapToGrid w:val="0"/>
              <w:spacing w:line="460" w:lineRule="exact"/>
              <w:ind w:firstLine="720" w:firstLineChars="300"/>
              <w:rPr>
                <w:color w:val="auto"/>
                <w:sz w:val="24"/>
                <w:szCs w:val="21"/>
                <w:highlight w:val="none"/>
              </w:rPr>
            </w:pPr>
            <w:r>
              <w:rPr>
                <w:color w:val="auto"/>
                <w:sz w:val="24"/>
                <w:szCs w:val="21"/>
                <w:highlight w:val="none"/>
              </w:rPr>
              <w:t>④二级沉淀废水</w:t>
            </w:r>
          </w:p>
          <w:p w14:paraId="6FA7DD07">
            <w:pPr>
              <w:adjustRightInd w:val="0"/>
              <w:snapToGrid w:val="0"/>
              <w:spacing w:line="460" w:lineRule="exact"/>
              <w:ind w:firstLine="720" w:firstLineChars="300"/>
              <w:rPr>
                <w:color w:val="auto"/>
                <w:sz w:val="24"/>
                <w:szCs w:val="21"/>
                <w:highlight w:val="none"/>
              </w:rPr>
            </w:pPr>
            <w:r>
              <w:rPr>
                <w:color w:val="auto"/>
                <w:sz w:val="24"/>
                <w:szCs w:val="21"/>
                <w:highlight w:val="none"/>
              </w:rPr>
              <w:t>本项目二级沉淀在容积为100L的二级沉淀桶内进行，每天需二级沉淀桶20个，废水产生率为浆液总容积的60%。二级沉淀废水产生量为144m</w:t>
            </w:r>
            <w:r>
              <w:rPr>
                <w:color w:val="auto"/>
                <w:sz w:val="24"/>
                <w:szCs w:val="21"/>
                <w:highlight w:val="none"/>
                <w:vertAlign w:val="superscript"/>
              </w:rPr>
              <w:t>3</w:t>
            </w:r>
            <w:r>
              <w:rPr>
                <w:color w:val="auto"/>
                <w:sz w:val="24"/>
                <w:szCs w:val="21"/>
                <w:highlight w:val="none"/>
              </w:rPr>
              <w:t>/a（1.2m</w:t>
            </w:r>
            <w:r>
              <w:rPr>
                <w:color w:val="auto"/>
                <w:sz w:val="24"/>
                <w:szCs w:val="21"/>
                <w:highlight w:val="none"/>
                <w:vertAlign w:val="superscript"/>
              </w:rPr>
              <w:t>3</w:t>
            </w:r>
            <w:r>
              <w:rPr>
                <w:color w:val="auto"/>
                <w:sz w:val="24"/>
                <w:szCs w:val="21"/>
                <w:highlight w:val="none"/>
              </w:rPr>
              <w:t>/d）。该环节产生废水污染物浓度较高，不能回用，进入废水处理设施进行处理。</w:t>
            </w:r>
          </w:p>
          <w:p w14:paraId="233BE20F">
            <w:pPr>
              <w:numPr>
                <w:ilvl w:val="0"/>
                <w:numId w:val="3"/>
              </w:numPr>
              <w:adjustRightInd w:val="0"/>
              <w:snapToGrid w:val="0"/>
              <w:spacing w:line="460" w:lineRule="exact"/>
              <w:rPr>
                <w:b/>
                <w:bCs/>
                <w:color w:val="auto"/>
                <w:sz w:val="24"/>
                <w:szCs w:val="21"/>
                <w:highlight w:val="none"/>
              </w:rPr>
            </w:pPr>
            <w:r>
              <w:rPr>
                <w:b/>
                <w:bCs/>
                <w:color w:val="auto"/>
                <w:sz w:val="24"/>
                <w:szCs w:val="21"/>
                <w:highlight w:val="none"/>
              </w:rPr>
              <w:t>地面清洁废水</w:t>
            </w:r>
          </w:p>
          <w:p w14:paraId="3CE43103">
            <w:pPr>
              <w:adjustRightInd w:val="0"/>
              <w:snapToGrid w:val="0"/>
              <w:spacing w:line="460" w:lineRule="exact"/>
              <w:ind w:firstLine="480" w:firstLineChars="200"/>
              <w:rPr>
                <w:color w:val="auto"/>
                <w:sz w:val="24"/>
                <w:szCs w:val="21"/>
                <w:highlight w:val="none"/>
              </w:rPr>
            </w:pPr>
            <w:r>
              <w:rPr>
                <w:color w:val="auto"/>
                <w:sz w:val="24"/>
                <w:szCs w:val="21"/>
                <w:highlight w:val="none"/>
              </w:rPr>
              <w:t>根据2.9.1地面清洁用水量计算，每天地面清洗最大用水量为0.707m</w:t>
            </w:r>
            <w:r>
              <w:rPr>
                <w:color w:val="auto"/>
                <w:sz w:val="24"/>
                <w:szCs w:val="21"/>
                <w:highlight w:val="none"/>
                <w:vertAlign w:val="superscript"/>
              </w:rPr>
              <w:t>3</w:t>
            </w:r>
            <w:r>
              <w:rPr>
                <w:color w:val="auto"/>
                <w:sz w:val="24"/>
                <w:szCs w:val="21"/>
                <w:highlight w:val="none"/>
              </w:rPr>
              <w:t>/d，每年用水量为31.752m</w:t>
            </w:r>
            <w:r>
              <w:rPr>
                <w:color w:val="auto"/>
                <w:sz w:val="24"/>
                <w:szCs w:val="21"/>
                <w:highlight w:val="none"/>
                <w:vertAlign w:val="superscript"/>
              </w:rPr>
              <w:t>3</w:t>
            </w:r>
            <w:r>
              <w:rPr>
                <w:color w:val="auto"/>
                <w:sz w:val="24"/>
                <w:szCs w:val="21"/>
                <w:highlight w:val="none"/>
              </w:rPr>
              <w:t>，排污系数按0.9计，地面清洁废水产生量为28.577m</w:t>
            </w:r>
            <w:r>
              <w:rPr>
                <w:color w:val="auto"/>
                <w:sz w:val="24"/>
                <w:szCs w:val="21"/>
                <w:highlight w:val="none"/>
                <w:vertAlign w:val="superscript"/>
              </w:rPr>
              <w:t>3</w:t>
            </w:r>
            <w:r>
              <w:rPr>
                <w:color w:val="auto"/>
                <w:sz w:val="24"/>
                <w:szCs w:val="21"/>
                <w:highlight w:val="none"/>
              </w:rPr>
              <w:t>/a（0.636m</w:t>
            </w:r>
            <w:r>
              <w:rPr>
                <w:color w:val="auto"/>
                <w:sz w:val="24"/>
                <w:szCs w:val="21"/>
                <w:highlight w:val="none"/>
                <w:vertAlign w:val="superscript"/>
              </w:rPr>
              <w:t>3</w:t>
            </w:r>
            <w:r>
              <w:rPr>
                <w:color w:val="auto"/>
                <w:sz w:val="24"/>
                <w:szCs w:val="21"/>
                <w:highlight w:val="none"/>
              </w:rPr>
              <w:t>/d）。</w:t>
            </w:r>
          </w:p>
          <w:p w14:paraId="29782B70">
            <w:pPr>
              <w:numPr>
                <w:ilvl w:val="0"/>
                <w:numId w:val="3"/>
              </w:numPr>
              <w:adjustRightInd w:val="0"/>
              <w:snapToGrid w:val="0"/>
              <w:spacing w:line="460" w:lineRule="exact"/>
              <w:rPr>
                <w:b/>
                <w:bCs/>
                <w:color w:val="auto"/>
                <w:sz w:val="24"/>
                <w:szCs w:val="21"/>
                <w:highlight w:val="none"/>
              </w:rPr>
            </w:pPr>
            <w:r>
              <w:rPr>
                <w:b/>
                <w:bCs/>
                <w:color w:val="auto"/>
                <w:sz w:val="24"/>
                <w:szCs w:val="21"/>
                <w:highlight w:val="none"/>
              </w:rPr>
              <w:t>设备清洗废水</w:t>
            </w:r>
          </w:p>
          <w:p w14:paraId="236DA4C5">
            <w:pPr>
              <w:adjustRightInd w:val="0"/>
              <w:snapToGrid w:val="0"/>
              <w:spacing w:line="460" w:lineRule="exact"/>
              <w:ind w:firstLine="480" w:firstLineChars="200"/>
              <w:rPr>
                <w:color w:val="auto"/>
                <w:sz w:val="24"/>
                <w:szCs w:val="21"/>
                <w:highlight w:val="none"/>
              </w:rPr>
            </w:pPr>
            <w:r>
              <w:rPr>
                <w:bCs/>
                <w:color w:val="auto"/>
                <w:sz w:val="24"/>
                <w:highlight w:val="none"/>
              </w:rPr>
              <w:t>设备清洗用水总量为12</w:t>
            </w:r>
            <w:r>
              <w:rPr>
                <w:color w:val="auto"/>
                <w:sz w:val="24"/>
                <w:szCs w:val="21"/>
                <w:highlight w:val="none"/>
              </w:rPr>
              <w:t>m</w:t>
            </w:r>
            <w:r>
              <w:rPr>
                <w:color w:val="auto"/>
                <w:sz w:val="24"/>
                <w:szCs w:val="21"/>
                <w:highlight w:val="none"/>
                <w:vertAlign w:val="superscript"/>
              </w:rPr>
              <w:t>3</w:t>
            </w:r>
            <w:r>
              <w:rPr>
                <w:color w:val="auto"/>
                <w:sz w:val="24"/>
                <w:szCs w:val="21"/>
                <w:highlight w:val="none"/>
              </w:rPr>
              <w:t>/a，每5天清洗一次，</w:t>
            </w:r>
            <w:r>
              <w:rPr>
                <w:bCs/>
                <w:color w:val="auto"/>
                <w:sz w:val="24"/>
                <w:highlight w:val="none"/>
              </w:rPr>
              <w:t>每次用水量</w:t>
            </w:r>
            <w:r>
              <w:rPr>
                <w:color w:val="auto"/>
                <w:sz w:val="24"/>
                <w:szCs w:val="21"/>
                <w:highlight w:val="none"/>
              </w:rPr>
              <w:t xml:space="preserve">0.5 </w:t>
            </w:r>
            <w:r>
              <w:rPr>
                <w:bCs/>
                <w:color w:val="auto"/>
                <w:sz w:val="24"/>
                <w:highlight w:val="none"/>
              </w:rPr>
              <w:t>m</w:t>
            </w:r>
            <w:r>
              <w:rPr>
                <w:bCs/>
                <w:color w:val="auto"/>
                <w:sz w:val="24"/>
                <w:highlight w:val="none"/>
                <w:vertAlign w:val="superscript"/>
              </w:rPr>
              <w:t>3</w:t>
            </w:r>
            <w:r>
              <w:rPr>
                <w:bCs/>
                <w:color w:val="auto"/>
                <w:sz w:val="24"/>
                <w:highlight w:val="none"/>
              </w:rPr>
              <w:t>/次计，</w:t>
            </w:r>
            <w:r>
              <w:rPr>
                <w:color w:val="auto"/>
                <w:sz w:val="24"/>
                <w:szCs w:val="21"/>
                <w:highlight w:val="none"/>
              </w:rPr>
              <w:t>排污系数按0.9计，</w:t>
            </w:r>
            <w:r>
              <w:rPr>
                <w:bCs/>
                <w:color w:val="auto"/>
                <w:sz w:val="24"/>
                <w:highlight w:val="none"/>
              </w:rPr>
              <w:t>设备</w:t>
            </w:r>
            <w:r>
              <w:rPr>
                <w:color w:val="auto"/>
                <w:sz w:val="24"/>
                <w:szCs w:val="21"/>
                <w:highlight w:val="none"/>
              </w:rPr>
              <w:t>清洗废水产生量为10.8m</w:t>
            </w:r>
            <w:r>
              <w:rPr>
                <w:color w:val="auto"/>
                <w:sz w:val="24"/>
                <w:szCs w:val="21"/>
                <w:highlight w:val="none"/>
                <w:vertAlign w:val="superscript"/>
              </w:rPr>
              <w:t>3</w:t>
            </w:r>
            <w:r>
              <w:rPr>
                <w:color w:val="auto"/>
                <w:sz w:val="24"/>
                <w:szCs w:val="21"/>
                <w:highlight w:val="none"/>
              </w:rPr>
              <w:t>/a（0.45</w:t>
            </w:r>
            <w:r>
              <w:rPr>
                <w:bCs/>
                <w:color w:val="auto"/>
                <w:sz w:val="24"/>
                <w:highlight w:val="none"/>
              </w:rPr>
              <w:t>m</w:t>
            </w:r>
            <w:r>
              <w:rPr>
                <w:bCs/>
                <w:color w:val="auto"/>
                <w:sz w:val="24"/>
                <w:highlight w:val="none"/>
                <w:vertAlign w:val="superscript"/>
              </w:rPr>
              <w:t>3</w:t>
            </w:r>
            <w:r>
              <w:rPr>
                <w:bCs/>
                <w:color w:val="auto"/>
                <w:sz w:val="24"/>
                <w:highlight w:val="none"/>
              </w:rPr>
              <w:t>/d</w:t>
            </w:r>
            <w:r>
              <w:rPr>
                <w:color w:val="auto"/>
                <w:sz w:val="24"/>
                <w:szCs w:val="21"/>
                <w:highlight w:val="none"/>
              </w:rPr>
              <w:t>）。</w:t>
            </w:r>
          </w:p>
          <w:p w14:paraId="3410A563">
            <w:pPr>
              <w:numPr>
                <w:ilvl w:val="0"/>
                <w:numId w:val="3"/>
              </w:numPr>
              <w:adjustRightInd w:val="0"/>
              <w:snapToGrid w:val="0"/>
              <w:spacing w:line="460" w:lineRule="exact"/>
              <w:rPr>
                <w:b/>
                <w:bCs/>
                <w:color w:val="auto"/>
                <w:sz w:val="24"/>
                <w:szCs w:val="21"/>
                <w:highlight w:val="none"/>
              </w:rPr>
            </w:pPr>
            <w:r>
              <w:rPr>
                <w:b/>
                <w:bCs/>
                <w:color w:val="auto"/>
                <w:sz w:val="24"/>
                <w:szCs w:val="21"/>
                <w:highlight w:val="none"/>
              </w:rPr>
              <w:t>生活污水</w:t>
            </w:r>
          </w:p>
          <w:p w14:paraId="2BCAF88E">
            <w:pPr>
              <w:adjustRightInd w:val="0"/>
              <w:snapToGrid w:val="0"/>
              <w:spacing w:line="460" w:lineRule="exact"/>
              <w:ind w:firstLine="480" w:firstLineChars="200"/>
              <w:rPr>
                <w:color w:val="auto"/>
                <w:sz w:val="24"/>
                <w:szCs w:val="21"/>
                <w:highlight w:val="none"/>
              </w:rPr>
            </w:pPr>
            <w:r>
              <w:rPr>
                <w:color w:val="auto"/>
                <w:sz w:val="24"/>
                <w:szCs w:val="21"/>
                <w:highlight w:val="none"/>
              </w:rPr>
              <w:t>生活用水总量为60 m</w:t>
            </w:r>
            <w:r>
              <w:rPr>
                <w:color w:val="auto"/>
                <w:sz w:val="24"/>
                <w:szCs w:val="21"/>
                <w:highlight w:val="none"/>
                <w:vertAlign w:val="superscript"/>
              </w:rPr>
              <w:t>3</w:t>
            </w:r>
            <w:r>
              <w:rPr>
                <w:color w:val="auto"/>
                <w:sz w:val="24"/>
                <w:szCs w:val="21"/>
                <w:highlight w:val="none"/>
              </w:rPr>
              <w:t>/a（0.5 m</w:t>
            </w:r>
            <w:r>
              <w:rPr>
                <w:color w:val="auto"/>
                <w:sz w:val="24"/>
                <w:szCs w:val="21"/>
                <w:highlight w:val="none"/>
                <w:vertAlign w:val="superscript"/>
              </w:rPr>
              <w:t>3</w:t>
            </w:r>
            <w:r>
              <w:rPr>
                <w:color w:val="auto"/>
                <w:sz w:val="24"/>
                <w:szCs w:val="21"/>
                <w:highlight w:val="none"/>
              </w:rPr>
              <w:t>/d），排污系数按0.85计，则生活污水产生量为51 m</w:t>
            </w:r>
            <w:r>
              <w:rPr>
                <w:color w:val="auto"/>
                <w:sz w:val="24"/>
                <w:szCs w:val="21"/>
                <w:highlight w:val="none"/>
                <w:vertAlign w:val="superscript"/>
              </w:rPr>
              <w:t>3</w:t>
            </w:r>
            <w:r>
              <w:rPr>
                <w:color w:val="auto"/>
                <w:sz w:val="24"/>
                <w:szCs w:val="21"/>
                <w:highlight w:val="none"/>
              </w:rPr>
              <w:t>/a（0.425 m</w:t>
            </w:r>
            <w:r>
              <w:rPr>
                <w:color w:val="auto"/>
                <w:sz w:val="24"/>
                <w:szCs w:val="21"/>
                <w:highlight w:val="none"/>
                <w:vertAlign w:val="superscript"/>
              </w:rPr>
              <w:t>3</w:t>
            </w:r>
            <w:r>
              <w:rPr>
                <w:color w:val="auto"/>
                <w:sz w:val="24"/>
                <w:szCs w:val="21"/>
                <w:highlight w:val="none"/>
              </w:rPr>
              <w:t>/d）。</w:t>
            </w:r>
          </w:p>
          <w:p w14:paraId="5A614DE1">
            <w:pPr>
              <w:adjustRightInd w:val="0"/>
              <w:snapToGrid w:val="0"/>
              <w:spacing w:line="460" w:lineRule="exact"/>
              <w:ind w:firstLine="480" w:firstLineChars="200"/>
              <w:rPr>
                <w:color w:val="auto"/>
                <w:sz w:val="24"/>
                <w:szCs w:val="21"/>
                <w:highlight w:val="none"/>
              </w:rPr>
            </w:pPr>
            <w:r>
              <w:rPr>
                <w:color w:val="auto"/>
                <w:sz w:val="24"/>
                <w:szCs w:val="21"/>
                <w:highlight w:val="none"/>
              </w:rPr>
              <w:t>本项目建成后</w:t>
            </w:r>
            <w:r>
              <w:rPr>
                <w:rFonts w:hint="eastAsia"/>
                <w:color w:val="auto"/>
                <w:sz w:val="24"/>
                <w:szCs w:val="21"/>
                <w:highlight w:val="none"/>
                <w:lang w:val="en-US" w:eastAsia="zh-CN"/>
              </w:rPr>
              <w:t>最大用水量1746.834</w:t>
            </w:r>
            <w:r>
              <w:rPr>
                <w:color w:val="auto"/>
                <w:sz w:val="24"/>
                <w:szCs w:val="21"/>
                <w:highlight w:val="none"/>
              </w:rPr>
              <w:t>m</w:t>
            </w:r>
            <w:r>
              <w:rPr>
                <w:color w:val="auto"/>
                <w:sz w:val="24"/>
                <w:szCs w:val="21"/>
                <w:highlight w:val="none"/>
                <w:vertAlign w:val="superscript"/>
              </w:rPr>
              <w:t>3</w:t>
            </w:r>
            <w:r>
              <w:rPr>
                <w:color w:val="auto"/>
                <w:sz w:val="24"/>
                <w:szCs w:val="21"/>
                <w:highlight w:val="none"/>
              </w:rPr>
              <w:t>/a（1</w:t>
            </w:r>
            <w:r>
              <w:rPr>
                <w:rFonts w:hint="eastAsia"/>
                <w:color w:val="auto"/>
                <w:sz w:val="24"/>
                <w:szCs w:val="21"/>
                <w:highlight w:val="none"/>
                <w:lang w:val="en-US" w:eastAsia="zh-CN"/>
              </w:rPr>
              <w:t>4.557</w:t>
            </w:r>
            <w:r>
              <w:rPr>
                <w:color w:val="auto"/>
                <w:sz w:val="24"/>
                <w:szCs w:val="21"/>
                <w:highlight w:val="none"/>
              </w:rPr>
              <w:t>m</w:t>
            </w:r>
            <w:r>
              <w:rPr>
                <w:color w:val="auto"/>
                <w:sz w:val="24"/>
                <w:szCs w:val="21"/>
                <w:highlight w:val="none"/>
                <w:vertAlign w:val="superscript"/>
              </w:rPr>
              <w:t>3</w:t>
            </w:r>
            <w:r>
              <w:rPr>
                <w:color w:val="auto"/>
                <w:sz w:val="24"/>
                <w:szCs w:val="21"/>
                <w:highlight w:val="none"/>
              </w:rPr>
              <w:t>/d）</w:t>
            </w:r>
            <w:r>
              <w:rPr>
                <w:rFonts w:hint="eastAsia"/>
                <w:color w:val="auto"/>
                <w:sz w:val="24"/>
                <w:szCs w:val="21"/>
                <w:highlight w:val="none"/>
                <w:lang w:val="en-US" w:eastAsia="zh-CN"/>
              </w:rPr>
              <w:t>其中新鲜水用量</w:t>
            </w:r>
            <w:r>
              <w:rPr>
                <w:color w:val="auto"/>
                <w:sz w:val="24"/>
                <w:szCs w:val="21"/>
                <w:highlight w:val="none"/>
              </w:rPr>
              <w:t>为1391.994 m</w:t>
            </w:r>
            <w:r>
              <w:rPr>
                <w:color w:val="auto"/>
                <w:sz w:val="24"/>
                <w:szCs w:val="21"/>
                <w:highlight w:val="none"/>
                <w:vertAlign w:val="superscript"/>
              </w:rPr>
              <w:t>3</w:t>
            </w:r>
            <w:r>
              <w:rPr>
                <w:color w:val="auto"/>
                <w:sz w:val="24"/>
                <w:szCs w:val="21"/>
                <w:highlight w:val="none"/>
              </w:rPr>
              <w:t>/a（12.442 m</w:t>
            </w:r>
            <w:r>
              <w:rPr>
                <w:color w:val="auto"/>
                <w:sz w:val="24"/>
                <w:szCs w:val="21"/>
                <w:highlight w:val="none"/>
                <w:vertAlign w:val="superscript"/>
              </w:rPr>
              <w:t>3</w:t>
            </w:r>
            <w:r>
              <w:rPr>
                <w:color w:val="auto"/>
                <w:sz w:val="24"/>
                <w:szCs w:val="21"/>
                <w:highlight w:val="none"/>
              </w:rPr>
              <w:t>/d）</w:t>
            </w:r>
            <w:r>
              <w:rPr>
                <w:rFonts w:hint="eastAsia"/>
                <w:color w:val="auto"/>
                <w:sz w:val="24"/>
                <w:szCs w:val="21"/>
                <w:highlight w:val="none"/>
                <w:lang w:eastAsia="zh-CN"/>
              </w:rPr>
              <w:t>，</w:t>
            </w:r>
            <w:r>
              <w:rPr>
                <w:rFonts w:hint="eastAsia"/>
                <w:color w:val="auto"/>
                <w:sz w:val="24"/>
                <w:szCs w:val="21"/>
                <w:highlight w:val="none"/>
                <w:lang w:val="en-US" w:eastAsia="zh-CN"/>
              </w:rPr>
              <w:t>回用水量为354.840</w:t>
            </w:r>
            <w:r>
              <w:rPr>
                <w:color w:val="auto"/>
                <w:sz w:val="24"/>
                <w:szCs w:val="21"/>
                <w:highlight w:val="none"/>
              </w:rPr>
              <w:t>m</w:t>
            </w:r>
            <w:r>
              <w:rPr>
                <w:color w:val="auto"/>
                <w:sz w:val="24"/>
                <w:szCs w:val="21"/>
                <w:highlight w:val="none"/>
                <w:vertAlign w:val="superscript"/>
              </w:rPr>
              <w:t>3</w:t>
            </w:r>
            <w:r>
              <w:rPr>
                <w:color w:val="auto"/>
                <w:sz w:val="24"/>
                <w:szCs w:val="21"/>
                <w:highlight w:val="none"/>
              </w:rPr>
              <w:t>/a（</w:t>
            </w:r>
            <w:r>
              <w:rPr>
                <w:rFonts w:hint="eastAsia"/>
                <w:color w:val="auto"/>
                <w:sz w:val="24"/>
                <w:szCs w:val="21"/>
                <w:highlight w:val="none"/>
                <w:lang w:val="en-US" w:eastAsia="zh-CN"/>
              </w:rPr>
              <w:t>2.975</w:t>
            </w:r>
            <w:r>
              <w:rPr>
                <w:color w:val="auto"/>
                <w:sz w:val="24"/>
                <w:szCs w:val="21"/>
                <w:highlight w:val="none"/>
              </w:rPr>
              <w:t>m</w:t>
            </w:r>
            <w:r>
              <w:rPr>
                <w:color w:val="auto"/>
                <w:sz w:val="24"/>
                <w:szCs w:val="21"/>
                <w:highlight w:val="none"/>
                <w:vertAlign w:val="superscript"/>
              </w:rPr>
              <w:t>3</w:t>
            </w:r>
            <w:r>
              <w:rPr>
                <w:color w:val="auto"/>
                <w:sz w:val="24"/>
                <w:szCs w:val="21"/>
                <w:highlight w:val="none"/>
              </w:rPr>
              <w:t>/d），原料带入水量420m</w:t>
            </w:r>
            <w:r>
              <w:rPr>
                <w:color w:val="auto"/>
                <w:sz w:val="24"/>
                <w:szCs w:val="21"/>
                <w:highlight w:val="none"/>
                <w:vertAlign w:val="superscript"/>
              </w:rPr>
              <w:t>3</w:t>
            </w:r>
            <w:r>
              <w:rPr>
                <w:color w:val="auto"/>
                <w:sz w:val="24"/>
                <w:szCs w:val="21"/>
                <w:highlight w:val="none"/>
              </w:rPr>
              <w:t>/a（3.5m</w:t>
            </w:r>
            <w:r>
              <w:rPr>
                <w:color w:val="auto"/>
                <w:sz w:val="24"/>
                <w:szCs w:val="21"/>
                <w:highlight w:val="none"/>
                <w:vertAlign w:val="superscript"/>
              </w:rPr>
              <w:t>3</w:t>
            </w:r>
            <w:r>
              <w:rPr>
                <w:color w:val="auto"/>
                <w:sz w:val="24"/>
                <w:szCs w:val="21"/>
                <w:highlight w:val="none"/>
              </w:rPr>
              <w:t>/d）；每天最大废水产生量为13.061 m</w:t>
            </w:r>
            <w:r>
              <w:rPr>
                <w:color w:val="auto"/>
                <w:sz w:val="24"/>
                <w:szCs w:val="21"/>
                <w:highlight w:val="none"/>
                <w:vertAlign w:val="superscript"/>
              </w:rPr>
              <w:t>3</w:t>
            </w:r>
            <w:r>
              <w:rPr>
                <w:color w:val="auto"/>
                <w:sz w:val="24"/>
                <w:szCs w:val="21"/>
                <w:highlight w:val="none"/>
              </w:rPr>
              <w:t>/d，每年废水产生量为1476.377m</w:t>
            </w:r>
            <w:r>
              <w:rPr>
                <w:color w:val="auto"/>
                <w:sz w:val="24"/>
                <w:szCs w:val="21"/>
                <w:highlight w:val="none"/>
                <w:vertAlign w:val="superscript"/>
              </w:rPr>
              <w:t>3</w:t>
            </w:r>
            <w:r>
              <w:rPr>
                <w:color w:val="auto"/>
                <w:sz w:val="24"/>
                <w:szCs w:val="21"/>
                <w:highlight w:val="none"/>
              </w:rPr>
              <w:t>/a。</w:t>
            </w:r>
          </w:p>
          <w:p w14:paraId="6D6C4F25">
            <w:pPr>
              <w:adjustRightInd w:val="0"/>
              <w:snapToGrid w:val="0"/>
              <w:spacing w:line="460" w:lineRule="exact"/>
              <w:ind w:left="479" w:leftChars="228"/>
              <w:rPr>
                <w:color w:val="auto"/>
                <w:sz w:val="24"/>
                <w:highlight w:val="none"/>
              </w:rPr>
            </w:pPr>
            <w:r>
              <w:rPr>
                <w:color w:val="auto"/>
                <w:sz w:val="24"/>
                <w:highlight w:val="none"/>
              </w:rPr>
              <w:t>本项目用、排水情况见表2.9-1。</w:t>
            </w:r>
          </w:p>
          <w:p w14:paraId="63117EB4">
            <w:pPr>
              <w:adjustRightInd w:val="0"/>
              <w:snapToGrid w:val="0"/>
              <w:jc w:val="center"/>
              <w:rPr>
                <w:b/>
                <w:color w:val="auto"/>
                <w:sz w:val="24"/>
                <w:highlight w:val="none"/>
              </w:rPr>
            </w:pPr>
            <w:r>
              <w:rPr>
                <w:b/>
                <w:color w:val="auto"/>
                <w:sz w:val="24"/>
                <w:highlight w:val="none"/>
              </w:rPr>
              <w:t>表2.9-1  本项目用、排水量核算表</w:t>
            </w:r>
          </w:p>
          <w:tbl>
            <w:tblPr>
              <w:tblStyle w:val="18"/>
              <w:tblW w:w="8420" w:type="dxa"/>
              <w:tblInd w:w="0" w:type="dxa"/>
              <w:tblLayout w:type="fixed"/>
              <w:tblCellMar>
                <w:top w:w="0" w:type="dxa"/>
                <w:left w:w="108" w:type="dxa"/>
                <w:bottom w:w="0" w:type="dxa"/>
                <w:right w:w="108" w:type="dxa"/>
              </w:tblCellMar>
            </w:tblPr>
            <w:tblGrid>
              <w:gridCol w:w="364"/>
              <w:gridCol w:w="576"/>
              <w:gridCol w:w="705"/>
              <w:gridCol w:w="645"/>
              <w:gridCol w:w="795"/>
              <w:gridCol w:w="630"/>
              <w:gridCol w:w="825"/>
              <w:gridCol w:w="570"/>
              <w:gridCol w:w="645"/>
              <w:gridCol w:w="630"/>
              <w:gridCol w:w="856"/>
              <w:gridCol w:w="552"/>
              <w:gridCol w:w="627"/>
            </w:tblGrid>
            <w:tr w14:paraId="3EA3C1AB">
              <w:tblPrEx>
                <w:tblCellMar>
                  <w:top w:w="0" w:type="dxa"/>
                  <w:left w:w="108" w:type="dxa"/>
                  <w:bottom w:w="0" w:type="dxa"/>
                  <w:right w:w="108" w:type="dxa"/>
                </w:tblCellMar>
              </w:tblPrEx>
              <w:trPr>
                <w:trHeight w:val="285" w:hRule="atLeast"/>
              </w:trPr>
              <w:tc>
                <w:tcPr>
                  <w:tcW w:w="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F5041">
                  <w:pPr>
                    <w:widowControl/>
                    <w:jc w:val="center"/>
                    <w:textAlignment w:val="center"/>
                    <w:rPr>
                      <w:color w:val="auto"/>
                      <w:sz w:val="15"/>
                      <w:szCs w:val="15"/>
                      <w:highlight w:val="none"/>
                    </w:rPr>
                  </w:pPr>
                  <w:r>
                    <w:rPr>
                      <w:color w:val="auto"/>
                      <w:kern w:val="0"/>
                      <w:sz w:val="15"/>
                      <w:szCs w:val="15"/>
                      <w:highlight w:val="none"/>
                      <w:lang w:bidi="ar"/>
                    </w:rPr>
                    <w:t>用水类型</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D486C8">
                  <w:pPr>
                    <w:widowControl/>
                    <w:jc w:val="center"/>
                    <w:textAlignment w:val="center"/>
                    <w:rPr>
                      <w:color w:val="auto"/>
                      <w:sz w:val="15"/>
                      <w:szCs w:val="15"/>
                      <w:highlight w:val="none"/>
                    </w:rPr>
                  </w:pPr>
                  <w:r>
                    <w:rPr>
                      <w:color w:val="auto"/>
                      <w:kern w:val="0"/>
                      <w:sz w:val="15"/>
                      <w:szCs w:val="15"/>
                      <w:highlight w:val="none"/>
                      <w:lang w:bidi="ar"/>
                    </w:rPr>
                    <w:t>用水标准</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C3AF58">
                  <w:pPr>
                    <w:widowControl/>
                    <w:jc w:val="center"/>
                    <w:textAlignment w:val="center"/>
                    <w:rPr>
                      <w:color w:val="auto"/>
                      <w:sz w:val="15"/>
                      <w:szCs w:val="15"/>
                      <w:highlight w:val="none"/>
                    </w:rPr>
                  </w:pPr>
                  <w:r>
                    <w:rPr>
                      <w:color w:val="auto"/>
                      <w:kern w:val="0"/>
                      <w:sz w:val="15"/>
                      <w:szCs w:val="15"/>
                      <w:highlight w:val="none"/>
                      <w:lang w:bidi="ar"/>
                    </w:rPr>
                    <w:t>用水规模</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B7E0F">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总需水量</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60D28">
                  <w:pPr>
                    <w:widowControl/>
                    <w:jc w:val="center"/>
                    <w:textAlignment w:val="center"/>
                    <w:rPr>
                      <w:color w:val="auto"/>
                      <w:sz w:val="15"/>
                      <w:szCs w:val="15"/>
                      <w:highlight w:val="none"/>
                    </w:rPr>
                  </w:pPr>
                  <w:r>
                    <w:rPr>
                      <w:color w:val="auto"/>
                      <w:kern w:val="0"/>
                      <w:sz w:val="15"/>
                      <w:szCs w:val="15"/>
                      <w:highlight w:val="none"/>
                      <w:lang w:bidi="ar"/>
                    </w:rPr>
                    <w:t>最大新鲜水用量</w:t>
                  </w: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FA4938">
                  <w:pPr>
                    <w:widowControl/>
                    <w:jc w:val="center"/>
                    <w:textAlignment w:val="center"/>
                    <w:rPr>
                      <w:color w:val="auto"/>
                      <w:sz w:val="15"/>
                      <w:szCs w:val="15"/>
                      <w:highlight w:val="none"/>
                    </w:rPr>
                  </w:pPr>
                  <w:r>
                    <w:rPr>
                      <w:color w:val="auto"/>
                      <w:kern w:val="0"/>
                      <w:sz w:val="15"/>
                      <w:szCs w:val="15"/>
                      <w:highlight w:val="none"/>
                      <w:lang w:bidi="ar"/>
                    </w:rPr>
                    <w:t>回用水量</w:t>
                  </w:r>
                </w:p>
              </w:tc>
              <w:tc>
                <w:tcPr>
                  <w:tcW w:w="1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B1B9DF">
                  <w:pPr>
                    <w:widowControl/>
                    <w:jc w:val="center"/>
                    <w:textAlignment w:val="center"/>
                    <w:rPr>
                      <w:color w:val="auto"/>
                      <w:sz w:val="15"/>
                      <w:szCs w:val="15"/>
                      <w:highlight w:val="none"/>
                    </w:rPr>
                  </w:pPr>
                  <w:r>
                    <w:rPr>
                      <w:color w:val="auto"/>
                      <w:kern w:val="0"/>
                      <w:sz w:val="15"/>
                      <w:szCs w:val="15"/>
                      <w:highlight w:val="none"/>
                      <w:lang w:bidi="ar"/>
                    </w:rPr>
                    <w:t>最大排水量</w:t>
                  </w: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4BC6F">
                  <w:pPr>
                    <w:widowControl/>
                    <w:jc w:val="center"/>
                    <w:textAlignment w:val="center"/>
                    <w:rPr>
                      <w:color w:val="auto"/>
                      <w:sz w:val="15"/>
                      <w:szCs w:val="15"/>
                      <w:highlight w:val="none"/>
                    </w:rPr>
                  </w:pPr>
                  <w:r>
                    <w:rPr>
                      <w:color w:val="auto"/>
                      <w:kern w:val="0"/>
                      <w:sz w:val="15"/>
                      <w:szCs w:val="15"/>
                      <w:highlight w:val="none"/>
                      <w:lang w:bidi="ar"/>
                    </w:rPr>
                    <w:t>备注</w:t>
                  </w:r>
                </w:p>
              </w:tc>
            </w:tr>
            <w:tr w14:paraId="4123281A">
              <w:tblPrEx>
                <w:tblCellMar>
                  <w:top w:w="0" w:type="dxa"/>
                  <w:left w:w="108" w:type="dxa"/>
                  <w:bottom w:w="0" w:type="dxa"/>
                  <w:right w:w="108" w:type="dxa"/>
                </w:tblCellMar>
              </w:tblPrEx>
              <w:trPr>
                <w:trHeight w:val="315" w:hRule="atLeast"/>
              </w:trPr>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C75E8">
                  <w:pPr>
                    <w:jc w:val="center"/>
                    <w:rPr>
                      <w:color w:val="auto"/>
                      <w:sz w:val="15"/>
                      <w:szCs w:val="15"/>
                      <w:highlight w:val="none"/>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BAD7B">
                  <w:pPr>
                    <w:jc w:val="center"/>
                    <w:rPr>
                      <w:color w:val="auto"/>
                      <w:sz w:val="15"/>
                      <w:szCs w:val="15"/>
                      <w:highlight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67DE5">
                  <w:pPr>
                    <w:jc w:val="center"/>
                    <w:rPr>
                      <w:color w:val="auto"/>
                      <w:sz w:val="15"/>
                      <w:szCs w:val="15"/>
                      <w:highlight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476F">
                  <w:pPr>
                    <w:widowControl/>
                    <w:jc w:val="center"/>
                    <w:textAlignment w:val="center"/>
                    <w:rPr>
                      <w:color w:val="auto"/>
                      <w:kern w:val="0"/>
                      <w:sz w:val="15"/>
                      <w:szCs w:val="15"/>
                      <w:highlight w:val="none"/>
                      <w:lang w:bidi="ar"/>
                    </w:rPr>
                  </w:pPr>
                  <w:r>
                    <w:rPr>
                      <w:color w:val="auto"/>
                      <w:kern w:val="0"/>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/d</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C6EF">
                  <w:pPr>
                    <w:widowControl/>
                    <w:jc w:val="center"/>
                    <w:textAlignment w:val="center"/>
                    <w:rPr>
                      <w:color w:val="auto"/>
                      <w:kern w:val="0"/>
                      <w:sz w:val="15"/>
                      <w:szCs w:val="15"/>
                      <w:highlight w:val="none"/>
                      <w:lang w:bidi="ar"/>
                    </w:rPr>
                  </w:pPr>
                  <w:r>
                    <w:rPr>
                      <w:color w:val="auto"/>
                      <w:kern w:val="0"/>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/a</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787E">
                  <w:pPr>
                    <w:widowControl/>
                    <w:jc w:val="center"/>
                    <w:textAlignment w:val="center"/>
                    <w:rPr>
                      <w:color w:val="auto"/>
                      <w:sz w:val="15"/>
                      <w:szCs w:val="15"/>
                      <w:highlight w:val="none"/>
                    </w:rPr>
                  </w:pPr>
                  <w:r>
                    <w:rPr>
                      <w:color w:val="auto"/>
                      <w:kern w:val="0"/>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/d</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00A3">
                  <w:pPr>
                    <w:widowControl/>
                    <w:jc w:val="center"/>
                    <w:textAlignment w:val="center"/>
                    <w:rPr>
                      <w:color w:val="auto"/>
                      <w:sz w:val="15"/>
                      <w:szCs w:val="15"/>
                      <w:highlight w:val="none"/>
                    </w:rPr>
                  </w:pPr>
                  <w:r>
                    <w:rPr>
                      <w:color w:val="auto"/>
                      <w:kern w:val="0"/>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/a</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4BA6">
                  <w:pPr>
                    <w:widowControl/>
                    <w:jc w:val="center"/>
                    <w:textAlignment w:val="center"/>
                    <w:rPr>
                      <w:color w:val="auto"/>
                      <w:sz w:val="15"/>
                      <w:szCs w:val="15"/>
                      <w:highlight w:val="none"/>
                    </w:rPr>
                  </w:pPr>
                  <w:r>
                    <w:rPr>
                      <w:color w:val="auto"/>
                      <w:kern w:val="0"/>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0D24">
                  <w:pPr>
                    <w:widowControl/>
                    <w:jc w:val="center"/>
                    <w:textAlignment w:val="center"/>
                    <w:rPr>
                      <w:color w:val="auto"/>
                      <w:sz w:val="15"/>
                      <w:szCs w:val="15"/>
                      <w:highlight w:val="none"/>
                    </w:rPr>
                  </w:pPr>
                  <w:r>
                    <w:rPr>
                      <w:color w:val="auto"/>
                      <w:kern w:val="0"/>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/a</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CB0C">
                  <w:pPr>
                    <w:widowControl/>
                    <w:jc w:val="center"/>
                    <w:textAlignment w:val="center"/>
                    <w:rPr>
                      <w:color w:val="auto"/>
                      <w:sz w:val="15"/>
                      <w:szCs w:val="15"/>
                      <w:highlight w:val="none"/>
                    </w:rPr>
                  </w:pPr>
                  <w:r>
                    <w:rPr>
                      <w:color w:val="auto"/>
                      <w:kern w:val="0"/>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/d</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06AA">
                  <w:pPr>
                    <w:widowControl/>
                    <w:jc w:val="center"/>
                    <w:textAlignment w:val="center"/>
                    <w:rPr>
                      <w:color w:val="auto"/>
                      <w:sz w:val="15"/>
                      <w:szCs w:val="15"/>
                      <w:highlight w:val="none"/>
                    </w:rPr>
                  </w:pPr>
                  <w:r>
                    <w:rPr>
                      <w:color w:val="auto"/>
                      <w:kern w:val="0"/>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/a</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7E97">
                  <w:pPr>
                    <w:widowControl/>
                    <w:jc w:val="center"/>
                    <w:textAlignment w:val="center"/>
                    <w:rPr>
                      <w:color w:val="auto"/>
                      <w:sz w:val="15"/>
                      <w:szCs w:val="15"/>
                      <w:highlight w:val="none"/>
                    </w:rPr>
                  </w:pPr>
                  <w:r>
                    <w:rPr>
                      <w:color w:val="auto"/>
                      <w:kern w:val="0"/>
                      <w:sz w:val="15"/>
                      <w:szCs w:val="15"/>
                      <w:highlight w:val="none"/>
                      <w:lang w:bidi="ar"/>
                    </w:rPr>
                    <w:t>m</w:t>
                  </w:r>
                  <w:r>
                    <w:rPr>
                      <w:rStyle w:val="58"/>
                      <w:color w:val="auto"/>
                      <w:sz w:val="15"/>
                      <w:szCs w:val="15"/>
                      <w:highlight w:val="none"/>
                      <w:lang w:bidi="ar"/>
                    </w:rPr>
                    <w:t>3</w:t>
                  </w:r>
                  <w:r>
                    <w:rPr>
                      <w:rStyle w:val="59"/>
                      <w:color w:val="auto"/>
                      <w:sz w:val="15"/>
                      <w:szCs w:val="15"/>
                      <w:highlight w:val="none"/>
                      <w:lang w:bidi="ar"/>
                    </w:rPr>
                    <w:t>/d</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F6E4">
                  <w:pPr>
                    <w:widowControl/>
                    <w:jc w:val="center"/>
                    <w:textAlignment w:val="center"/>
                    <w:rPr>
                      <w:color w:val="auto"/>
                      <w:sz w:val="15"/>
                      <w:szCs w:val="15"/>
                      <w:highlight w:val="none"/>
                    </w:rPr>
                  </w:pPr>
                  <w:r>
                    <w:rPr>
                      <w:color w:val="auto"/>
                      <w:kern w:val="0"/>
                      <w:sz w:val="15"/>
                      <w:szCs w:val="15"/>
                      <w:highlight w:val="none"/>
                      <w:lang w:bidi="ar"/>
                    </w:rPr>
                    <w:t>m</w:t>
                  </w:r>
                  <w:r>
                    <w:rPr>
                      <w:rStyle w:val="58"/>
                      <w:color w:val="auto"/>
                      <w:sz w:val="15"/>
                      <w:szCs w:val="15"/>
                      <w:highlight w:val="none"/>
                      <w:lang w:bidi="ar"/>
                    </w:rPr>
                    <w:t>3</w:t>
                  </w:r>
                  <w:r>
                    <w:rPr>
                      <w:rStyle w:val="59"/>
                      <w:color w:val="auto"/>
                      <w:sz w:val="15"/>
                      <w:szCs w:val="15"/>
                      <w:highlight w:val="none"/>
                      <w:lang w:bidi="ar"/>
                    </w:rPr>
                    <w:t>/a</w:t>
                  </w:r>
                </w:p>
              </w:tc>
            </w:tr>
            <w:tr w14:paraId="5CC87092">
              <w:tblPrEx>
                <w:tblCellMar>
                  <w:top w:w="0" w:type="dxa"/>
                  <w:left w:w="108" w:type="dxa"/>
                  <w:bottom w:w="0" w:type="dxa"/>
                  <w:right w:w="108" w:type="dxa"/>
                </w:tblCellMar>
              </w:tblPrEx>
              <w:trPr>
                <w:trHeight w:val="315"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A7CF">
                  <w:pPr>
                    <w:widowControl/>
                    <w:jc w:val="center"/>
                    <w:textAlignment w:val="center"/>
                    <w:rPr>
                      <w:color w:val="auto"/>
                      <w:sz w:val="15"/>
                      <w:szCs w:val="15"/>
                      <w:highlight w:val="none"/>
                    </w:rPr>
                  </w:pPr>
                  <w:r>
                    <w:rPr>
                      <w:color w:val="auto"/>
                      <w:kern w:val="0"/>
                      <w:sz w:val="15"/>
                      <w:szCs w:val="15"/>
                      <w:highlight w:val="none"/>
                      <w:lang w:bidi="ar"/>
                    </w:rPr>
                    <w:t>/</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BACD">
                  <w:pPr>
                    <w:widowControl/>
                    <w:jc w:val="center"/>
                    <w:textAlignment w:val="center"/>
                    <w:rPr>
                      <w:color w:val="auto"/>
                      <w:sz w:val="15"/>
                      <w:szCs w:val="15"/>
                      <w:highlight w:val="none"/>
                    </w:rPr>
                  </w:pPr>
                  <w:r>
                    <w:rPr>
                      <w:color w:val="auto"/>
                      <w:kern w:val="0"/>
                      <w:sz w:val="15"/>
                      <w:szCs w:val="15"/>
                      <w:highlight w:val="none"/>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12AF3">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CD59">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93DD">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828C">
                  <w:pPr>
                    <w:widowControl/>
                    <w:jc w:val="center"/>
                    <w:textAlignment w:val="center"/>
                    <w:rPr>
                      <w:color w:val="auto"/>
                      <w:sz w:val="15"/>
                      <w:szCs w:val="15"/>
                      <w:highlight w:val="none"/>
                    </w:rPr>
                  </w:pPr>
                  <w:r>
                    <w:rPr>
                      <w:color w:val="auto"/>
                      <w:kern w:val="0"/>
                      <w:sz w:val="15"/>
                      <w:szCs w:val="15"/>
                      <w:highlight w:val="none"/>
                      <w:lang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FBF5">
                  <w:pPr>
                    <w:widowControl/>
                    <w:jc w:val="center"/>
                    <w:textAlignment w:val="center"/>
                    <w:rPr>
                      <w:color w:val="auto"/>
                      <w:sz w:val="15"/>
                      <w:szCs w:val="15"/>
                      <w:highlight w:val="none"/>
                    </w:rPr>
                  </w:pPr>
                  <w:r>
                    <w:rPr>
                      <w:color w:val="auto"/>
                      <w:kern w:val="0"/>
                      <w:sz w:val="15"/>
                      <w:szCs w:val="15"/>
                      <w:highlight w:val="none"/>
                      <w:lang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EA52">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A45E">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17DE0">
                  <w:pPr>
                    <w:widowControl/>
                    <w:jc w:val="center"/>
                    <w:textAlignment w:val="center"/>
                    <w:rPr>
                      <w:color w:val="auto"/>
                      <w:sz w:val="15"/>
                      <w:szCs w:val="15"/>
                      <w:highlight w:val="none"/>
                    </w:rPr>
                  </w:pPr>
                  <w:r>
                    <w:rPr>
                      <w:color w:val="auto"/>
                      <w:kern w:val="0"/>
                      <w:sz w:val="15"/>
                      <w:szCs w:val="15"/>
                      <w:highlight w:val="none"/>
                      <w:lang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337E">
                  <w:pPr>
                    <w:widowControl/>
                    <w:jc w:val="center"/>
                    <w:textAlignment w:val="center"/>
                    <w:rPr>
                      <w:color w:val="auto"/>
                      <w:sz w:val="15"/>
                      <w:szCs w:val="15"/>
                      <w:highlight w:val="none"/>
                    </w:rPr>
                  </w:pPr>
                  <w:r>
                    <w:rPr>
                      <w:color w:val="auto"/>
                      <w:kern w:val="0"/>
                      <w:sz w:val="15"/>
                      <w:szCs w:val="15"/>
                      <w:highlight w:val="none"/>
                      <w:lang w:bidi="ar"/>
                    </w:rPr>
                    <w:t>/</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7F40">
                  <w:pPr>
                    <w:widowControl/>
                    <w:jc w:val="left"/>
                    <w:textAlignment w:val="center"/>
                    <w:rPr>
                      <w:color w:val="auto"/>
                      <w:sz w:val="15"/>
                      <w:szCs w:val="15"/>
                      <w:highlight w:val="none"/>
                    </w:rPr>
                  </w:pPr>
                  <w:r>
                    <w:rPr>
                      <w:color w:val="auto"/>
                      <w:kern w:val="0"/>
                      <w:sz w:val="15"/>
                      <w:szCs w:val="15"/>
                      <w:highlight w:val="none"/>
                      <w:lang w:bidi="ar"/>
                    </w:rPr>
                    <w:t>鲜葛根带水3.5</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A63C">
                  <w:pPr>
                    <w:widowControl/>
                    <w:jc w:val="left"/>
                    <w:textAlignment w:val="center"/>
                    <w:rPr>
                      <w:color w:val="auto"/>
                      <w:sz w:val="15"/>
                      <w:szCs w:val="15"/>
                      <w:highlight w:val="none"/>
                    </w:rPr>
                  </w:pPr>
                  <w:r>
                    <w:rPr>
                      <w:color w:val="auto"/>
                      <w:kern w:val="0"/>
                      <w:sz w:val="15"/>
                      <w:szCs w:val="15"/>
                      <w:highlight w:val="none"/>
                      <w:lang w:bidi="ar"/>
                    </w:rPr>
                    <w:t>鲜葛根带水420</w:t>
                  </w:r>
                </w:p>
              </w:tc>
            </w:tr>
            <w:tr w14:paraId="269060EF">
              <w:tblPrEx>
                <w:tblCellMar>
                  <w:top w:w="0" w:type="dxa"/>
                  <w:left w:w="108" w:type="dxa"/>
                  <w:bottom w:w="0" w:type="dxa"/>
                  <w:right w:w="108" w:type="dxa"/>
                </w:tblCellMar>
              </w:tblPrEx>
              <w:trPr>
                <w:trHeight w:val="525"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BC33">
                  <w:pPr>
                    <w:widowControl/>
                    <w:jc w:val="center"/>
                    <w:textAlignment w:val="center"/>
                    <w:rPr>
                      <w:color w:val="auto"/>
                      <w:sz w:val="15"/>
                      <w:szCs w:val="15"/>
                      <w:highlight w:val="none"/>
                    </w:rPr>
                  </w:pPr>
                  <w:r>
                    <w:rPr>
                      <w:color w:val="auto"/>
                      <w:kern w:val="0"/>
                      <w:sz w:val="15"/>
                      <w:szCs w:val="15"/>
                      <w:highlight w:val="none"/>
                      <w:lang w:bidi="ar"/>
                    </w:rPr>
                    <w:t>一级清洗用水</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7440">
                  <w:pPr>
                    <w:widowControl/>
                    <w:jc w:val="center"/>
                    <w:textAlignment w:val="center"/>
                    <w:rPr>
                      <w:color w:val="auto"/>
                      <w:sz w:val="15"/>
                      <w:szCs w:val="15"/>
                      <w:highlight w:val="none"/>
                    </w:rPr>
                  </w:pPr>
                  <w:r>
                    <w:rPr>
                      <w:color w:val="auto"/>
                      <w:kern w:val="0"/>
                      <w:sz w:val="15"/>
                      <w:szCs w:val="15"/>
                      <w:highlight w:val="none"/>
                      <w:lang w:bidi="ar"/>
                    </w:rPr>
                    <w:t>0.7</w:t>
                  </w:r>
                  <w:r>
                    <w:rPr>
                      <w:rStyle w:val="57"/>
                      <w:color w:val="auto"/>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/t-</w:t>
                  </w:r>
                  <w:r>
                    <w:rPr>
                      <w:rStyle w:val="60"/>
                      <w:rFonts w:hint="default" w:ascii="Times New Roman" w:hAnsi="Times New Roman" w:cs="Times New Roman"/>
                      <w:color w:val="auto"/>
                      <w:sz w:val="15"/>
                      <w:szCs w:val="15"/>
                      <w:highlight w:val="none"/>
                      <w:lang w:bidi="ar"/>
                    </w:rPr>
                    <w:t>原料</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C582">
                  <w:pPr>
                    <w:widowControl/>
                    <w:jc w:val="center"/>
                    <w:textAlignment w:val="center"/>
                    <w:rPr>
                      <w:color w:val="auto"/>
                      <w:sz w:val="15"/>
                      <w:szCs w:val="15"/>
                      <w:highlight w:val="none"/>
                    </w:rPr>
                  </w:pPr>
                  <w:r>
                    <w:rPr>
                      <w:color w:val="auto"/>
                      <w:kern w:val="0"/>
                      <w:sz w:val="15"/>
                      <w:szCs w:val="15"/>
                      <w:highlight w:val="none"/>
                      <w:lang w:bidi="ar"/>
                    </w:rPr>
                    <w:t>鲜葛根</w:t>
                  </w:r>
                  <w:r>
                    <w:rPr>
                      <w:rStyle w:val="57"/>
                      <w:color w:val="auto"/>
                      <w:sz w:val="15"/>
                      <w:szCs w:val="15"/>
                      <w:highlight w:val="none"/>
                      <w:lang w:bidi="ar"/>
                    </w:rPr>
                    <w:t>600t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686B">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3.5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71BC">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420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E0A5">
                  <w:pPr>
                    <w:widowControl/>
                    <w:jc w:val="center"/>
                    <w:textAlignment w:val="center"/>
                    <w:rPr>
                      <w:color w:val="auto"/>
                      <w:sz w:val="15"/>
                      <w:szCs w:val="15"/>
                      <w:highlight w:val="none"/>
                    </w:rPr>
                  </w:pPr>
                  <w:r>
                    <w:rPr>
                      <w:color w:val="auto"/>
                      <w:kern w:val="0"/>
                      <w:sz w:val="15"/>
                      <w:szCs w:val="15"/>
                      <w:highlight w:val="none"/>
                      <w:lang w:bidi="ar"/>
                    </w:rPr>
                    <w:t>0.543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CF58">
                  <w:pPr>
                    <w:widowControl/>
                    <w:jc w:val="center"/>
                    <w:textAlignment w:val="center"/>
                    <w:rPr>
                      <w:color w:val="auto"/>
                      <w:sz w:val="15"/>
                      <w:szCs w:val="15"/>
                      <w:highlight w:val="none"/>
                    </w:rPr>
                  </w:pPr>
                  <w:r>
                    <w:rPr>
                      <w:color w:val="auto"/>
                      <w:kern w:val="0"/>
                      <w:sz w:val="15"/>
                      <w:szCs w:val="15"/>
                      <w:highlight w:val="none"/>
                      <w:lang w:bidi="ar"/>
                    </w:rPr>
                    <w:t>65.16</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94F0">
                  <w:pPr>
                    <w:widowControl/>
                    <w:jc w:val="center"/>
                    <w:textAlignment w:val="center"/>
                    <w:rPr>
                      <w:color w:val="auto"/>
                      <w:sz w:val="15"/>
                      <w:szCs w:val="15"/>
                      <w:highlight w:val="none"/>
                    </w:rPr>
                  </w:pPr>
                  <w:r>
                    <w:rPr>
                      <w:color w:val="auto"/>
                      <w:kern w:val="0"/>
                      <w:sz w:val="15"/>
                      <w:szCs w:val="15"/>
                      <w:highlight w:val="none"/>
                      <w:lang w:bidi="ar"/>
                    </w:rPr>
                    <w:t>2.957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1168">
                  <w:pPr>
                    <w:widowControl/>
                    <w:jc w:val="center"/>
                    <w:textAlignment w:val="center"/>
                    <w:rPr>
                      <w:color w:val="auto"/>
                      <w:sz w:val="15"/>
                      <w:szCs w:val="15"/>
                      <w:highlight w:val="none"/>
                    </w:rPr>
                  </w:pPr>
                  <w:r>
                    <w:rPr>
                      <w:color w:val="auto"/>
                      <w:kern w:val="0"/>
                      <w:sz w:val="15"/>
                      <w:szCs w:val="15"/>
                      <w:highlight w:val="none"/>
                      <w:lang w:bidi="ar"/>
                    </w:rPr>
                    <w:t>354.84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5163">
                  <w:pPr>
                    <w:widowControl/>
                    <w:jc w:val="center"/>
                    <w:textAlignment w:val="center"/>
                    <w:rPr>
                      <w:color w:val="auto"/>
                      <w:sz w:val="15"/>
                      <w:szCs w:val="15"/>
                      <w:highlight w:val="none"/>
                    </w:rPr>
                  </w:pPr>
                  <w:r>
                    <w:rPr>
                      <w:color w:val="auto"/>
                      <w:kern w:val="0"/>
                      <w:sz w:val="15"/>
                      <w:szCs w:val="15"/>
                      <w:highlight w:val="none"/>
                      <w:lang w:bidi="ar"/>
                    </w:rPr>
                    <w:t>3.15</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70DD">
                  <w:pPr>
                    <w:widowControl/>
                    <w:jc w:val="center"/>
                    <w:textAlignment w:val="center"/>
                    <w:rPr>
                      <w:color w:val="auto"/>
                      <w:sz w:val="15"/>
                      <w:szCs w:val="15"/>
                      <w:highlight w:val="none"/>
                    </w:rPr>
                  </w:pPr>
                  <w:r>
                    <w:rPr>
                      <w:color w:val="auto"/>
                      <w:kern w:val="0"/>
                      <w:sz w:val="15"/>
                      <w:szCs w:val="15"/>
                      <w:highlight w:val="none"/>
                      <w:lang w:bidi="ar"/>
                    </w:rPr>
                    <w:t>378</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D39F">
                  <w:pPr>
                    <w:widowControl/>
                    <w:jc w:val="center"/>
                    <w:textAlignment w:val="center"/>
                    <w:rPr>
                      <w:color w:val="auto"/>
                      <w:sz w:val="15"/>
                      <w:szCs w:val="15"/>
                      <w:highlight w:val="none"/>
                    </w:rPr>
                  </w:pPr>
                  <w:r>
                    <w:rPr>
                      <w:color w:val="auto"/>
                      <w:kern w:val="0"/>
                      <w:sz w:val="15"/>
                      <w:szCs w:val="15"/>
                      <w:highlight w:val="none"/>
                      <w:lang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F9B6">
                  <w:pPr>
                    <w:widowControl/>
                    <w:jc w:val="center"/>
                    <w:textAlignment w:val="center"/>
                    <w:rPr>
                      <w:color w:val="auto"/>
                      <w:sz w:val="15"/>
                      <w:szCs w:val="15"/>
                      <w:highlight w:val="none"/>
                    </w:rPr>
                  </w:pPr>
                  <w:r>
                    <w:rPr>
                      <w:color w:val="auto"/>
                      <w:kern w:val="0"/>
                      <w:sz w:val="15"/>
                      <w:szCs w:val="15"/>
                      <w:highlight w:val="none"/>
                      <w:lang w:bidi="ar"/>
                    </w:rPr>
                    <w:t>/</w:t>
                  </w:r>
                </w:p>
              </w:tc>
            </w:tr>
            <w:tr w14:paraId="0F3BDC4D">
              <w:tblPrEx>
                <w:tblCellMar>
                  <w:top w:w="0" w:type="dxa"/>
                  <w:left w:w="108" w:type="dxa"/>
                  <w:bottom w:w="0" w:type="dxa"/>
                  <w:right w:w="108" w:type="dxa"/>
                </w:tblCellMar>
              </w:tblPrEx>
              <w:trPr>
                <w:trHeight w:val="840"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3058">
                  <w:pPr>
                    <w:widowControl/>
                    <w:jc w:val="center"/>
                    <w:textAlignment w:val="center"/>
                    <w:rPr>
                      <w:color w:val="auto"/>
                      <w:sz w:val="15"/>
                      <w:szCs w:val="15"/>
                      <w:highlight w:val="none"/>
                    </w:rPr>
                  </w:pPr>
                  <w:r>
                    <w:rPr>
                      <w:color w:val="auto"/>
                      <w:kern w:val="0"/>
                      <w:sz w:val="15"/>
                      <w:szCs w:val="15"/>
                      <w:highlight w:val="none"/>
                      <w:lang w:bidi="ar"/>
                    </w:rPr>
                    <w:t>二级清洗用水</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046E">
                  <w:pPr>
                    <w:widowControl/>
                    <w:jc w:val="center"/>
                    <w:textAlignment w:val="center"/>
                    <w:rPr>
                      <w:color w:val="auto"/>
                      <w:sz w:val="15"/>
                      <w:szCs w:val="15"/>
                      <w:highlight w:val="none"/>
                    </w:rPr>
                  </w:pPr>
                  <w:r>
                    <w:rPr>
                      <w:color w:val="auto"/>
                      <w:kern w:val="0"/>
                      <w:sz w:val="15"/>
                      <w:szCs w:val="15"/>
                      <w:highlight w:val="none"/>
                      <w:lang w:bidi="ar"/>
                    </w:rPr>
                    <w:t>0.8</w:t>
                  </w:r>
                  <w:r>
                    <w:rPr>
                      <w:rStyle w:val="57"/>
                      <w:color w:val="auto"/>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/t-</w:t>
                  </w:r>
                  <w:r>
                    <w:rPr>
                      <w:rStyle w:val="60"/>
                      <w:rFonts w:hint="default" w:ascii="Times New Roman" w:hAnsi="Times New Roman" w:cs="Times New Roman"/>
                      <w:color w:val="auto"/>
                      <w:sz w:val="15"/>
                      <w:szCs w:val="15"/>
                      <w:highlight w:val="none"/>
                      <w:lang w:bidi="ar"/>
                    </w:rPr>
                    <w:t>原料</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5587">
                  <w:pPr>
                    <w:widowControl/>
                    <w:jc w:val="center"/>
                    <w:textAlignment w:val="center"/>
                    <w:rPr>
                      <w:color w:val="auto"/>
                      <w:sz w:val="15"/>
                      <w:szCs w:val="15"/>
                      <w:highlight w:val="none"/>
                    </w:rPr>
                  </w:pPr>
                  <w:r>
                    <w:rPr>
                      <w:color w:val="auto"/>
                      <w:kern w:val="0"/>
                      <w:sz w:val="15"/>
                      <w:szCs w:val="15"/>
                      <w:highlight w:val="none"/>
                      <w:lang w:bidi="ar"/>
                    </w:rPr>
                    <w:t>二级清洗的原料鲜葛根总量为</w:t>
                  </w:r>
                  <w:r>
                    <w:rPr>
                      <w:rStyle w:val="57"/>
                      <w:color w:val="auto"/>
                      <w:sz w:val="15"/>
                      <w:szCs w:val="15"/>
                      <w:highlight w:val="none"/>
                      <w:lang w:bidi="ar"/>
                    </w:rPr>
                    <w:t>597t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74C8">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3.980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9437">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477.6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E36A">
                  <w:pPr>
                    <w:widowControl/>
                    <w:jc w:val="center"/>
                    <w:textAlignment w:val="center"/>
                    <w:rPr>
                      <w:color w:val="auto"/>
                      <w:sz w:val="15"/>
                      <w:szCs w:val="15"/>
                      <w:highlight w:val="none"/>
                    </w:rPr>
                  </w:pPr>
                  <w:r>
                    <w:rPr>
                      <w:color w:val="auto"/>
                      <w:kern w:val="0"/>
                      <w:sz w:val="15"/>
                      <w:szCs w:val="15"/>
                      <w:highlight w:val="none"/>
                      <w:lang w:bidi="ar"/>
                    </w:rPr>
                    <w:t>3.980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7C20">
                  <w:pPr>
                    <w:widowControl/>
                    <w:jc w:val="center"/>
                    <w:textAlignment w:val="center"/>
                    <w:rPr>
                      <w:color w:val="auto"/>
                      <w:sz w:val="15"/>
                      <w:szCs w:val="15"/>
                      <w:highlight w:val="none"/>
                    </w:rPr>
                  </w:pPr>
                  <w:r>
                    <w:rPr>
                      <w:color w:val="auto"/>
                      <w:kern w:val="0"/>
                      <w:sz w:val="15"/>
                      <w:szCs w:val="15"/>
                      <w:highlight w:val="none"/>
                      <w:lang w:bidi="ar"/>
                    </w:rPr>
                    <w:t>477.6</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5743">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31D9">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B6B1">
                  <w:pPr>
                    <w:widowControl/>
                    <w:jc w:val="center"/>
                    <w:textAlignment w:val="center"/>
                    <w:rPr>
                      <w:color w:val="auto"/>
                      <w:sz w:val="15"/>
                      <w:szCs w:val="15"/>
                      <w:highlight w:val="none"/>
                    </w:rPr>
                  </w:pPr>
                  <w:r>
                    <w:rPr>
                      <w:color w:val="auto"/>
                      <w:kern w:val="0"/>
                      <w:sz w:val="15"/>
                      <w:szCs w:val="15"/>
                      <w:highlight w:val="none"/>
                      <w:lang w:bidi="ar"/>
                    </w:rPr>
                    <w:t>0.8</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F50C">
                  <w:pPr>
                    <w:widowControl/>
                    <w:jc w:val="center"/>
                    <w:textAlignment w:val="center"/>
                    <w:rPr>
                      <w:color w:val="auto"/>
                      <w:sz w:val="15"/>
                      <w:szCs w:val="15"/>
                      <w:highlight w:val="none"/>
                    </w:rPr>
                  </w:pPr>
                  <w:r>
                    <w:rPr>
                      <w:color w:val="auto"/>
                      <w:kern w:val="0"/>
                      <w:sz w:val="15"/>
                      <w:szCs w:val="15"/>
                      <w:highlight w:val="none"/>
                      <w:lang w:bidi="ar"/>
                    </w:rPr>
                    <w:t>96</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82A0">
                  <w:pPr>
                    <w:widowControl/>
                    <w:jc w:val="center"/>
                    <w:textAlignment w:val="center"/>
                    <w:rPr>
                      <w:color w:val="auto"/>
                      <w:sz w:val="15"/>
                      <w:szCs w:val="15"/>
                      <w:highlight w:val="none"/>
                    </w:rPr>
                  </w:pPr>
                  <w:r>
                    <w:rPr>
                      <w:color w:val="auto"/>
                      <w:kern w:val="0"/>
                      <w:sz w:val="15"/>
                      <w:szCs w:val="15"/>
                      <w:highlight w:val="none"/>
                      <w:lang w:bidi="ar"/>
                    </w:rPr>
                    <w:t>2.957</w:t>
                  </w:r>
                  <w:r>
                    <w:rPr>
                      <w:rStyle w:val="61"/>
                      <w:rFonts w:hint="default" w:ascii="Times New Roman" w:hAnsi="Times New Roman" w:cs="Times New Roman"/>
                      <w:color w:val="auto"/>
                      <w:sz w:val="15"/>
                      <w:szCs w:val="15"/>
                      <w:highlight w:val="none"/>
                      <w:lang w:bidi="ar"/>
                    </w:rPr>
                    <w:t>回用于一级清洗</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5BD9">
                  <w:pPr>
                    <w:widowControl/>
                    <w:jc w:val="center"/>
                    <w:textAlignment w:val="center"/>
                    <w:rPr>
                      <w:color w:val="auto"/>
                      <w:sz w:val="15"/>
                      <w:szCs w:val="15"/>
                      <w:highlight w:val="none"/>
                    </w:rPr>
                  </w:pPr>
                  <w:r>
                    <w:rPr>
                      <w:color w:val="auto"/>
                      <w:kern w:val="0"/>
                      <w:sz w:val="15"/>
                      <w:szCs w:val="15"/>
                      <w:highlight w:val="none"/>
                      <w:lang w:bidi="ar"/>
                    </w:rPr>
                    <w:t>354.84</w:t>
                  </w:r>
                  <w:r>
                    <w:rPr>
                      <w:rStyle w:val="61"/>
                      <w:rFonts w:hint="default" w:ascii="Times New Roman" w:hAnsi="Times New Roman" w:cs="Times New Roman"/>
                      <w:color w:val="auto"/>
                      <w:sz w:val="15"/>
                      <w:szCs w:val="15"/>
                      <w:highlight w:val="none"/>
                      <w:lang w:bidi="ar"/>
                    </w:rPr>
                    <w:t>回用于一级清洗</w:t>
                  </w:r>
                </w:p>
              </w:tc>
            </w:tr>
            <w:tr w14:paraId="37846D66">
              <w:tblPrEx>
                <w:tblCellMar>
                  <w:top w:w="0" w:type="dxa"/>
                  <w:left w:w="108" w:type="dxa"/>
                  <w:bottom w:w="0" w:type="dxa"/>
                  <w:right w:w="108" w:type="dxa"/>
                </w:tblCellMar>
              </w:tblPrEx>
              <w:trPr>
                <w:trHeight w:val="525"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44C7">
                  <w:pPr>
                    <w:widowControl/>
                    <w:jc w:val="center"/>
                    <w:textAlignment w:val="center"/>
                    <w:rPr>
                      <w:color w:val="auto"/>
                      <w:sz w:val="15"/>
                      <w:szCs w:val="15"/>
                      <w:highlight w:val="none"/>
                    </w:rPr>
                  </w:pPr>
                  <w:r>
                    <w:rPr>
                      <w:color w:val="auto"/>
                      <w:kern w:val="0"/>
                      <w:sz w:val="15"/>
                      <w:szCs w:val="15"/>
                      <w:highlight w:val="none"/>
                      <w:lang w:bidi="ar"/>
                    </w:rPr>
                    <w:t>粉碎磨浆</w:t>
                  </w:r>
                  <w:r>
                    <w:rPr>
                      <w:rStyle w:val="60"/>
                      <w:rFonts w:hint="default" w:ascii="Times New Roman" w:hAnsi="Times New Roman" w:cs="Times New Roman"/>
                      <w:color w:val="auto"/>
                      <w:sz w:val="15"/>
                      <w:szCs w:val="15"/>
                      <w:highlight w:val="none"/>
                      <w:lang w:bidi="ar"/>
                    </w:rPr>
                    <w:t>用水</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26ED">
                  <w:pPr>
                    <w:widowControl/>
                    <w:jc w:val="center"/>
                    <w:textAlignment w:val="center"/>
                    <w:rPr>
                      <w:color w:val="auto"/>
                      <w:sz w:val="15"/>
                      <w:szCs w:val="15"/>
                      <w:highlight w:val="none"/>
                    </w:rPr>
                  </w:pPr>
                  <w:r>
                    <w:rPr>
                      <w:color w:val="auto"/>
                      <w:kern w:val="0"/>
                      <w:sz w:val="15"/>
                      <w:szCs w:val="15"/>
                      <w:highlight w:val="none"/>
                      <w:lang w:bidi="ar"/>
                    </w:rPr>
                    <w:t>0.4</w:t>
                  </w:r>
                  <w:r>
                    <w:rPr>
                      <w:rStyle w:val="57"/>
                      <w:color w:val="auto"/>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/t-</w:t>
                  </w:r>
                  <w:r>
                    <w:rPr>
                      <w:rStyle w:val="60"/>
                      <w:rFonts w:hint="default" w:ascii="Times New Roman" w:hAnsi="Times New Roman" w:cs="Times New Roman"/>
                      <w:color w:val="auto"/>
                      <w:sz w:val="15"/>
                      <w:szCs w:val="15"/>
                      <w:highlight w:val="none"/>
                      <w:lang w:bidi="ar"/>
                    </w:rPr>
                    <w:t>原料</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6CD0">
                  <w:pPr>
                    <w:widowControl/>
                    <w:jc w:val="center"/>
                    <w:textAlignment w:val="center"/>
                    <w:rPr>
                      <w:color w:val="auto"/>
                      <w:sz w:val="15"/>
                      <w:szCs w:val="15"/>
                      <w:highlight w:val="none"/>
                    </w:rPr>
                  </w:pPr>
                  <w:r>
                    <w:rPr>
                      <w:color w:val="auto"/>
                      <w:kern w:val="0"/>
                      <w:sz w:val="15"/>
                      <w:szCs w:val="15"/>
                      <w:highlight w:val="none"/>
                      <w:lang w:bidi="ar"/>
                    </w:rPr>
                    <w:t>清洗后鲜葛根</w:t>
                  </w:r>
                  <w:r>
                    <w:rPr>
                      <w:rStyle w:val="57"/>
                      <w:color w:val="auto"/>
                      <w:sz w:val="15"/>
                      <w:szCs w:val="15"/>
                      <w:highlight w:val="none"/>
                      <w:lang w:bidi="ar"/>
                    </w:rPr>
                    <w:t>581.88t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81B2">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1.940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9D63">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232.752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CA33">
                  <w:pPr>
                    <w:widowControl/>
                    <w:jc w:val="center"/>
                    <w:textAlignment w:val="center"/>
                    <w:rPr>
                      <w:color w:val="auto"/>
                      <w:sz w:val="15"/>
                      <w:szCs w:val="15"/>
                      <w:highlight w:val="none"/>
                    </w:rPr>
                  </w:pPr>
                  <w:r>
                    <w:rPr>
                      <w:color w:val="auto"/>
                      <w:kern w:val="0"/>
                      <w:sz w:val="15"/>
                      <w:szCs w:val="15"/>
                      <w:highlight w:val="none"/>
                      <w:lang w:bidi="ar"/>
                    </w:rPr>
                    <w:t>1.940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6E493">
                  <w:pPr>
                    <w:widowControl/>
                    <w:jc w:val="center"/>
                    <w:textAlignment w:val="center"/>
                    <w:rPr>
                      <w:color w:val="auto"/>
                      <w:sz w:val="15"/>
                      <w:szCs w:val="15"/>
                      <w:highlight w:val="none"/>
                    </w:rPr>
                  </w:pPr>
                  <w:r>
                    <w:rPr>
                      <w:color w:val="auto"/>
                      <w:kern w:val="0"/>
                      <w:sz w:val="15"/>
                      <w:szCs w:val="15"/>
                      <w:highlight w:val="none"/>
                      <w:lang w:bidi="ar"/>
                    </w:rPr>
                    <w:t>232.752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943C">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3698">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C2D5">
                  <w:pPr>
                    <w:widowControl/>
                    <w:jc w:val="center"/>
                    <w:textAlignment w:val="center"/>
                    <w:rPr>
                      <w:color w:val="auto"/>
                      <w:sz w:val="15"/>
                      <w:szCs w:val="15"/>
                      <w:highlight w:val="none"/>
                    </w:rPr>
                  </w:pPr>
                  <w:r>
                    <w:rPr>
                      <w:color w:val="auto"/>
                      <w:kern w:val="0"/>
                      <w:sz w:val="15"/>
                      <w:szCs w:val="15"/>
                      <w:highlight w:val="none"/>
                      <w:lang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842D">
                  <w:pPr>
                    <w:widowControl/>
                    <w:jc w:val="center"/>
                    <w:textAlignment w:val="center"/>
                    <w:rPr>
                      <w:color w:val="auto"/>
                      <w:sz w:val="15"/>
                      <w:szCs w:val="15"/>
                      <w:highlight w:val="none"/>
                    </w:rPr>
                  </w:pPr>
                  <w:r>
                    <w:rPr>
                      <w:color w:val="auto"/>
                      <w:kern w:val="0"/>
                      <w:sz w:val="15"/>
                      <w:szCs w:val="15"/>
                      <w:highlight w:val="none"/>
                      <w:lang w:bidi="ar"/>
                    </w:rPr>
                    <w:t>/</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4792">
                  <w:pPr>
                    <w:rPr>
                      <w:color w:val="auto"/>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C717">
                  <w:pPr>
                    <w:rPr>
                      <w:color w:val="auto"/>
                      <w:sz w:val="15"/>
                      <w:szCs w:val="15"/>
                      <w:highlight w:val="none"/>
                    </w:rPr>
                  </w:pPr>
                </w:p>
              </w:tc>
            </w:tr>
            <w:tr w14:paraId="1272C59D">
              <w:tblPrEx>
                <w:tblCellMar>
                  <w:top w:w="0" w:type="dxa"/>
                  <w:left w:w="108" w:type="dxa"/>
                  <w:bottom w:w="0" w:type="dxa"/>
                  <w:right w:w="108" w:type="dxa"/>
                </w:tblCellMar>
              </w:tblPrEx>
              <w:trPr>
                <w:trHeight w:val="570"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0D6A">
                  <w:pPr>
                    <w:widowControl/>
                    <w:jc w:val="center"/>
                    <w:textAlignment w:val="center"/>
                    <w:rPr>
                      <w:color w:val="auto"/>
                      <w:sz w:val="15"/>
                      <w:szCs w:val="15"/>
                      <w:highlight w:val="none"/>
                    </w:rPr>
                  </w:pPr>
                  <w:r>
                    <w:rPr>
                      <w:color w:val="auto"/>
                      <w:kern w:val="0"/>
                      <w:sz w:val="15"/>
                      <w:szCs w:val="15"/>
                      <w:highlight w:val="none"/>
                      <w:lang w:bidi="ar"/>
                    </w:rPr>
                    <w:t>浆渣分离用水</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719D">
                  <w:pPr>
                    <w:widowControl/>
                    <w:jc w:val="center"/>
                    <w:textAlignment w:val="center"/>
                    <w:rPr>
                      <w:color w:val="auto"/>
                      <w:sz w:val="15"/>
                      <w:szCs w:val="15"/>
                      <w:highlight w:val="none"/>
                    </w:rPr>
                  </w:pPr>
                  <w:r>
                    <w:rPr>
                      <w:color w:val="auto"/>
                      <w:kern w:val="0"/>
                      <w:sz w:val="15"/>
                      <w:szCs w:val="15"/>
                      <w:highlight w:val="none"/>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DAED">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A469">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3.872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2228">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464.73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DFB2">
                  <w:pPr>
                    <w:widowControl/>
                    <w:jc w:val="center"/>
                    <w:textAlignment w:val="center"/>
                    <w:rPr>
                      <w:color w:val="auto"/>
                      <w:sz w:val="15"/>
                      <w:szCs w:val="15"/>
                      <w:highlight w:val="none"/>
                    </w:rPr>
                  </w:pPr>
                  <w:r>
                    <w:rPr>
                      <w:color w:val="auto"/>
                      <w:kern w:val="0"/>
                      <w:sz w:val="15"/>
                      <w:szCs w:val="15"/>
                      <w:highlight w:val="none"/>
                      <w:lang w:bidi="ar"/>
                    </w:rPr>
                    <w:t>3.872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70B4">
                  <w:pPr>
                    <w:widowControl/>
                    <w:jc w:val="center"/>
                    <w:textAlignment w:val="center"/>
                    <w:rPr>
                      <w:color w:val="auto"/>
                      <w:sz w:val="15"/>
                      <w:szCs w:val="15"/>
                      <w:highlight w:val="none"/>
                    </w:rPr>
                  </w:pPr>
                  <w:r>
                    <w:rPr>
                      <w:color w:val="auto"/>
                      <w:kern w:val="0"/>
                      <w:sz w:val="15"/>
                      <w:szCs w:val="15"/>
                      <w:highlight w:val="none"/>
                      <w:lang w:bidi="ar"/>
                    </w:rPr>
                    <w:t>464.73</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075F">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E8E6">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AFB5">
                  <w:pPr>
                    <w:widowControl/>
                    <w:jc w:val="center"/>
                    <w:textAlignment w:val="center"/>
                    <w:rPr>
                      <w:color w:val="auto"/>
                      <w:sz w:val="15"/>
                      <w:szCs w:val="15"/>
                      <w:highlight w:val="none"/>
                    </w:rPr>
                  </w:pPr>
                  <w:r>
                    <w:rPr>
                      <w:color w:val="auto"/>
                      <w:kern w:val="0"/>
                      <w:sz w:val="15"/>
                      <w:szCs w:val="15"/>
                      <w:highlight w:val="none"/>
                      <w:lang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AEA7">
                  <w:pPr>
                    <w:widowControl/>
                    <w:jc w:val="center"/>
                    <w:textAlignment w:val="center"/>
                    <w:rPr>
                      <w:color w:val="auto"/>
                      <w:sz w:val="15"/>
                      <w:szCs w:val="15"/>
                      <w:highlight w:val="none"/>
                    </w:rPr>
                  </w:pPr>
                  <w:r>
                    <w:rPr>
                      <w:color w:val="auto"/>
                      <w:kern w:val="0"/>
                      <w:sz w:val="15"/>
                      <w:szCs w:val="15"/>
                      <w:highlight w:val="none"/>
                      <w:lang w:bidi="ar"/>
                    </w:rPr>
                    <w:t>/</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FD70">
                  <w:pPr>
                    <w:widowControl/>
                    <w:jc w:val="center"/>
                    <w:textAlignment w:val="center"/>
                    <w:rPr>
                      <w:color w:val="auto"/>
                      <w:sz w:val="15"/>
                      <w:szCs w:val="15"/>
                      <w:highlight w:val="none"/>
                    </w:rPr>
                  </w:pPr>
                  <w:r>
                    <w:rPr>
                      <w:color w:val="auto"/>
                      <w:kern w:val="0"/>
                      <w:sz w:val="15"/>
                      <w:szCs w:val="15"/>
                      <w:highlight w:val="none"/>
                      <w:lang w:bidi="ar"/>
                    </w:rPr>
                    <w:t>固废含水</w:t>
                  </w:r>
                  <w:r>
                    <w:rPr>
                      <w:rStyle w:val="59"/>
                      <w:color w:val="auto"/>
                      <w:sz w:val="15"/>
                      <w:szCs w:val="15"/>
                      <w:highlight w:val="none"/>
                      <w:lang w:bidi="ar"/>
                    </w:rPr>
                    <w:t>1.8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1550">
                  <w:pPr>
                    <w:widowControl/>
                    <w:jc w:val="center"/>
                    <w:textAlignment w:val="center"/>
                    <w:rPr>
                      <w:color w:val="auto"/>
                      <w:sz w:val="15"/>
                      <w:szCs w:val="15"/>
                      <w:highlight w:val="none"/>
                    </w:rPr>
                  </w:pPr>
                  <w:r>
                    <w:rPr>
                      <w:color w:val="auto"/>
                      <w:kern w:val="0"/>
                      <w:sz w:val="15"/>
                      <w:szCs w:val="15"/>
                      <w:highlight w:val="none"/>
                      <w:lang w:bidi="ar"/>
                    </w:rPr>
                    <w:t>固废含水</w:t>
                  </w:r>
                  <w:r>
                    <w:rPr>
                      <w:rStyle w:val="59"/>
                      <w:color w:val="auto"/>
                      <w:sz w:val="15"/>
                      <w:szCs w:val="15"/>
                      <w:highlight w:val="none"/>
                      <w:lang w:bidi="ar"/>
                    </w:rPr>
                    <w:t>216</w:t>
                  </w:r>
                </w:p>
              </w:tc>
            </w:tr>
            <w:tr w14:paraId="744090A6">
              <w:tblPrEx>
                <w:tblCellMar>
                  <w:top w:w="0" w:type="dxa"/>
                  <w:left w:w="108" w:type="dxa"/>
                  <w:bottom w:w="0" w:type="dxa"/>
                  <w:right w:w="108" w:type="dxa"/>
                </w:tblCellMar>
              </w:tblPrEx>
              <w:trPr>
                <w:trHeight w:val="570"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A72A">
                  <w:pPr>
                    <w:widowControl/>
                    <w:jc w:val="center"/>
                    <w:textAlignment w:val="center"/>
                    <w:rPr>
                      <w:color w:val="auto"/>
                      <w:sz w:val="15"/>
                      <w:szCs w:val="15"/>
                      <w:highlight w:val="none"/>
                    </w:rPr>
                  </w:pPr>
                  <w:r>
                    <w:rPr>
                      <w:color w:val="auto"/>
                      <w:kern w:val="0"/>
                      <w:sz w:val="15"/>
                      <w:szCs w:val="15"/>
                      <w:highlight w:val="none"/>
                      <w:lang w:bidi="ar"/>
                    </w:rPr>
                    <w:t>细筛</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12E6">
                  <w:pPr>
                    <w:widowControl/>
                    <w:jc w:val="center"/>
                    <w:textAlignment w:val="center"/>
                    <w:rPr>
                      <w:color w:val="auto"/>
                      <w:sz w:val="15"/>
                      <w:szCs w:val="15"/>
                      <w:highlight w:val="none"/>
                    </w:rPr>
                  </w:pPr>
                  <w:r>
                    <w:rPr>
                      <w:color w:val="auto"/>
                      <w:kern w:val="0"/>
                      <w:sz w:val="15"/>
                      <w:szCs w:val="15"/>
                      <w:highlight w:val="none"/>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6C28">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1461">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0596">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3872">
                  <w:pPr>
                    <w:widowControl/>
                    <w:jc w:val="center"/>
                    <w:textAlignment w:val="center"/>
                    <w:rPr>
                      <w:color w:val="auto"/>
                      <w:sz w:val="15"/>
                      <w:szCs w:val="15"/>
                      <w:highlight w:val="none"/>
                    </w:rPr>
                  </w:pPr>
                  <w:r>
                    <w:rPr>
                      <w:color w:val="auto"/>
                      <w:kern w:val="0"/>
                      <w:sz w:val="15"/>
                      <w:szCs w:val="15"/>
                      <w:highlight w:val="none"/>
                      <w:lang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1987">
                  <w:pPr>
                    <w:widowControl/>
                    <w:jc w:val="center"/>
                    <w:textAlignment w:val="center"/>
                    <w:rPr>
                      <w:color w:val="auto"/>
                      <w:sz w:val="15"/>
                      <w:szCs w:val="15"/>
                      <w:highlight w:val="none"/>
                    </w:rPr>
                  </w:pPr>
                  <w:r>
                    <w:rPr>
                      <w:color w:val="auto"/>
                      <w:kern w:val="0"/>
                      <w:sz w:val="15"/>
                      <w:szCs w:val="15"/>
                      <w:highlight w:val="none"/>
                      <w:lang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9C0C">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8CD3">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FCB5">
                  <w:pPr>
                    <w:widowControl/>
                    <w:jc w:val="center"/>
                    <w:textAlignment w:val="center"/>
                    <w:rPr>
                      <w:color w:val="auto"/>
                      <w:sz w:val="15"/>
                      <w:szCs w:val="15"/>
                      <w:highlight w:val="none"/>
                    </w:rPr>
                  </w:pPr>
                  <w:r>
                    <w:rPr>
                      <w:color w:val="auto"/>
                      <w:kern w:val="0"/>
                      <w:sz w:val="15"/>
                      <w:szCs w:val="15"/>
                      <w:highlight w:val="none"/>
                      <w:lang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3A31">
                  <w:pPr>
                    <w:widowControl/>
                    <w:jc w:val="center"/>
                    <w:textAlignment w:val="center"/>
                    <w:rPr>
                      <w:color w:val="auto"/>
                      <w:sz w:val="15"/>
                      <w:szCs w:val="15"/>
                      <w:highlight w:val="none"/>
                    </w:rPr>
                  </w:pPr>
                  <w:r>
                    <w:rPr>
                      <w:color w:val="auto"/>
                      <w:kern w:val="0"/>
                      <w:sz w:val="15"/>
                      <w:szCs w:val="15"/>
                      <w:highlight w:val="none"/>
                      <w:lang w:bidi="ar"/>
                    </w:rPr>
                    <w:t>/</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6E75">
                  <w:pPr>
                    <w:widowControl/>
                    <w:jc w:val="center"/>
                    <w:textAlignment w:val="center"/>
                    <w:rPr>
                      <w:color w:val="auto"/>
                      <w:sz w:val="15"/>
                      <w:szCs w:val="15"/>
                      <w:highlight w:val="none"/>
                    </w:rPr>
                  </w:pPr>
                  <w:r>
                    <w:rPr>
                      <w:color w:val="auto"/>
                      <w:kern w:val="0"/>
                      <w:sz w:val="15"/>
                      <w:szCs w:val="15"/>
                      <w:highlight w:val="none"/>
                      <w:lang w:bidi="ar"/>
                    </w:rPr>
                    <w:t>固废含水</w:t>
                  </w:r>
                  <w:r>
                    <w:rPr>
                      <w:rStyle w:val="59"/>
                      <w:color w:val="auto"/>
                      <w:sz w:val="15"/>
                      <w:szCs w:val="15"/>
                      <w:highlight w:val="none"/>
                      <w:lang w:bidi="ar"/>
                    </w:rPr>
                    <w:t>0.16</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4648">
                  <w:pPr>
                    <w:widowControl/>
                    <w:jc w:val="center"/>
                    <w:textAlignment w:val="center"/>
                    <w:rPr>
                      <w:color w:val="auto"/>
                      <w:sz w:val="15"/>
                      <w:szCs w:val="15"/>
                      <w:highlight w:val="none"/>
                    </w:rPr>
                  </w:pPr>
                  <w:r>
                    <w:rPr>
                      <w:color w:val="auto"/>
                      <w:kern w:val="0"/>
                      <w:sz w:val="15"/>
                      <w:szCs w:val="15"/>
                      <w:highlight w:val="none"/>
                      <w:lang w:bidi="ar"/>
                    </w:rPr>
                    <w:t>固废含水</w:t>
                  </w:r>
                  <w:r>
                    <w:rPr>
                      <w:rStyle w:val="59"/>
                      <w:color w:val="auto"/>
                      <w:sz w:val="15"/>
                      <w:szCs w:val="15"/>
                      <w:highlight w:val="none"/>
                      <w:lang w:bidi="ar"/>
                    </w:rPr>
                    <w:t>19.2</w:t>
                  </w:r>
                </w:p>
              </w:tc>
            </w:tr>
            <w:tr w14:paraId="5433B0D3">
              <w:tblPrEx>
                <w:tblCellMar>
                  <w:top w:w="0" w:type="dxa"/>
                  <w:left w:w="108" w:type="dxa"/>
                  <w:bottom w:w="0" w:type="dxa"/>
                  <w:right w:w="108" w:type="dxa"/>
                </w:tblCellMar>
              </w:tblPrEx>
              <w:trPr>
                <w:trHeight w:val="570"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E868">
                  <w:pPr>
                    <w:widowControl/>
                    <w:jc w:val="center"/>
                    <w:textAlignment w:val="center"/>
                    <w:rPr>
                      <w:color w:val="auto"/>
                      <w:sz w:val="15"/>
                      <w:szCs w:val="15"/>
                      <w:highlight w:val="none"/>
                    </w:rPr>
                  </w:pPr>
                  <w:r>
                    <w:rPr>
                      <w:color w:val="auto"/>
                      <w:kern w:val="0"/>
                      <w:sz w:val="15"/>
                      <w:szCs w:val="15"/>
                      <w:highlight w:val="none"/>
                      <w:lang w:bidi="ar"/>
                    </w:rPr>
                    <w:t>淀粉除砂</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D19D">
                  <w:pPr>
                    <w:widowControl/>
                    <w:jc w:val="center"/>
                    <w:textAlignment w:val="center"/>
                    <w:rPr>
                      <w:color w:val="auto"/>
                      <w:sz w:val="15"/>
                      <w:szCs w:val="15"/>
                      <w:highlight w:val="none"/>
                    </w:rPr>
                  </w:pPr>
                  <w:r>
                    <w:rPr>
                      <w:color w:val="auto"/>
                      <w:kern w:val="0"/>
                      <w:sz w:val="15"/>
                      <w:szCs w:val="15"/>
                      <w:highlight w:val="none"/>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5411">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C16C">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1A45">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F0AF">
                  <w:pPr>
                    <w:widowControl/>
                    <w:jc w:val="center"/>
                    <w:textAlignment w:val="center"/>
                    <w:rPr>
                      <w:color w:val="auto"/>
                      <w:sz w:val="15"/>
                      <w:szCs w:val="15"/>
                      <w:highlight w:val="none"/>
                    </w:rPr>
                  </w:pPr>
                  <w:r>
                    <w:rPr>
                      <w:color w:val="auto"/>
                      <w:kern w:val="0"/>
                      <w:sz w:val="15"/>
                      <w:szCs w:val="15"/>
                      <w:highlight w:val="none"/>
                      <w:lang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683A">
                  <w:pPr>
                    <w:widowControl/>
                    <w:jc w:val="center"/>
                    <w:textAlignment w:val="center"/>
                    <w:rPr>
                      <w:color w:val="auto"/>
                      <w:sz w:val="15"/>
                      <w:szCs w:val="15"/>
                      <w:highlight w:val="none"/>
                    </w:rPr>
                  </w:pPr>
                  <w:r>
                    <w:rPr>
                      <w:color w:val="auto"/>
                      <w:kern w:val="0"/>
                      <w:sz w:val="15"/>
                      <w:szCs w:val="15"/>
                      <w:highlight w:val="none"/>
                      <w:lang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7317">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2574">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21A1">
                  <w:pPr>
                    <w:widowControl/>
                    <w:jc w:val="center"/>
                    <w:textAlignment w:val="center"/>
                    <w:rPr>
                      <w:color w:val="auto"/>
                      <w:sz w:val="15"/>
                      <w:szCs w:val="15"/>
                      <w:highlight w:val="none"/>
                    </w:rPr>
                  </w:pPr>
                  <w:r>
                    <w:rPr>
                      <w:color w:val="auto"/>
                      <w:kern w:val="0"/>
                      <w:sz w:val="15"/>
                      <w:szCs w:val="15"/>
                      <w:highlight w:val="none"/>
                      <w:lang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F07E">
                  <w:pPr>
                    <w:widowControl/>
                    <w:jc w:val="center"/>
                    <w:textAlignment w:val="center"/>
                    <w:rPr>
                      <w:color w:val="auto"/>
                      <w:sz w:val="15"/>
                      <w:szCs w:val="15"/>
                      <w:highlight w:val="none"/>
                    </w:rPr>
                  </w:pPr>
                  <w:r>
                    <w:rPr>
                      <w:color w:val="auto"/>
                      <w:kern w:val="0"/>
                      <w:sz w:val="15"/>
                      <w:szCs w:val="15"/>
                      <w:highlight w:val="none"/>
                      <w:lang w:bidi="ar"/>
                    </w:rPr>
                    <w:t>/</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CD4A">
                  <w:pPr>
                    <w:widowControl/>
                    <w:jc w:val="center"/>
                    <w:textAlignment w:val="center"/>
                    <w:rPr>
                      <w:color w:val="auto"/>
                      <w:sz w:val="15"/>
                      <w:szCs w:val="15"/>
                      <w:highlight w:val="none"/>
                    </w:rPr>
                  </w:pPr>
                  <w:r>
                    <w:rPr>
                      <w:color w:val="auto"/>
                      <w:kern w:val="0"/>
                      <w:sz w:val="15"/>
                      <w:szCs w:val="15"/>
                      <w:highlight w:val="none"/>
                      <w:lang w:bidi="ar"/>
                    </w:rPr>
                    <w:t>固废含水</w:t>
                  </w:r>
                  <w:r>
                    <w:rPr>
                      <w:rStyle w:val="59"/>
                      <w:color w:val="auto"/>
                      <w:sz w:val="15"/>
                      <w:szCs w:val="15"/>
                      <w:highlight w:val="none"/>
                      <w:lang w:bidi="ar"/>
                    </w:rPr>
                    <w:t>0.04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B675">
                  <w:pPr>
                    <w:widowControl/>
                    <w:jc w:val="center"/>
                    <w:textAlignment w:val="center"/>
                    <w:rPr>
                      <w:color w:val="auto"/>
                      <w:sz w:val="15"/>
                      <w:szCs w:val="15"/>
                      <w:highlight w:val="none"/>
                    </w:rPr>
                  </w:pPr>
                  <w:r>
                    <w:rPr>
                      <w:color w:val="auto"/>
                      <w:kern w:val="0"/>
                      <w:sz w:val="15"/>
                      <w:szCs w:val="15"/>
                      <w:highlight w:val="none"/>
                      <w:lang w:bidi="ar"/>
                    </w:rPr>
                    <w:t>固废含水</w:t>
                  </w:r>
                  <w:r>
                    <w:rPr>
                      <w:rStyle w:val="59"/>
                      <w:color w:val="auto"/>
                      <w:sz w:val="15"/>
                      <w:szCs w:val="15"/>
                      <w:highlight w:val="none"/>
                      <w:lang w:bidi="ar"/>
                    </w:rPr>
                    <w:t>4.8</w:t>
                  </w:r>
                </w:p>
              </w:tc>
            </w:tr>
            <w:tr w14:paraId="7FD5D2C0">
              <w:tblPrEx>
                <w:tblCellMar>
                  <w:top w:w="0" w:type="dxa"/>
                  <w:left w:w="108" w:type="dxa"/>
                  <w:bottom w:w="0" w:type="dxa"/>
                  <w:right w:w="108" w:type="dxa"/>
                </w:tblCellMar>
              </w:tblPrEx>
              <w:trPr>
                <w:trHeight w:val="285"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DD60">
                  <w:pPr>
                    <w:widowControl/>
                    <w:jc w:val="center"/>
                    <w:textAlignment w:val="center"/>
                    <w:rPr>
                      <w:color w:val="auto"/>
                      <w:sz w:val="15"/>
                      <w:szCs w:val="15"/>
                      <w:highlight w:val="none"/>
                    </w:rPr>
                  </w:pPr>
                  <w:r>
                    <w:rPr>
                      <w:color w:val="auto"/>
                      <w:kern w:val="0"/>
                      <w:sz w:val="15"/>
                      <w:szCs w:val="15"/>
                      <w:highlight w:val="none"/>
                      <w:lang w:bidi="ar"/>
                    </w:rPr>
                    <w:t>一级沉淀</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D5BE">
                  <w:pPr>
                    <w:widowControl/>
                    <w:jc w:val="center"/>
                    <w:textAlignment w:val="center"/>
                    <w:rPr>
                      <w:color w:val="auto"/>
                      <w:sz w:val="15"/>
                      <w:szCs w:val="15"/>
                      <w:highlight w:val="none"/>
                    </w:rPr>
                  </w:pPr>
                  <w:r>
                    <w:rPr>
                      <w:color w:val="auto"/>
                      <w:kern w:val="0"/>
                      <w:sz w:val="15"/>
                      <w:szCs w:val="15"/>
                      <w:highlight w:val="none"/>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847C">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626F">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04F1">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6A47">
                  <w:pPr>
                    <w:widowControl/>
                    <w:jc w:val="center"/>
                    <w:textAlignment w:val="center"/>
                    <w:rPr>
                      <w:color w:val="auto"/>
                      <w:sz w:val="15"/>
                      <w:szCs w:val="15"/>
                      <w:highlight w:val="none"/>
                    </w:rPr>
                  </w:pPr>
                  <w:r>
                    <w:rPr>
                      <w:color w:val="auto"/>
                      <w:kern w:val="0"/>
                      <w:sz w:val="15"/>
                      <w:szCs w:val="15"/>
                      <w:highlight w:val="none"/>
                      <w:lang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A600">
                  <w:pPr>
                    <w:widowControl/>
                    <w:jc w:val="center"/>
                    <w:textAlignment w:val="center"/>
                    <w:rPr>
                      <w:color w:val="auto"/>
                      <w:sz w:val="15"/>
                      <w:szCs w:val="15"/>
                      <w:highlight w:val="none"/>
                    </w:rPr>
                  </w:pPr>
                  <w:r>
                    <w:rPr>
                      <w:color w:val="auto"/>
                      <w:kern w:val="0"/>
                      <w:sz w:val="15"/>
                      <w:szCs w:val="15"/>
                      <w:highlight w:val="none"/>
                      <w:lang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48E9">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9349">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E617">
                  <w:pPr>
                    <w:widowControl/>
                    <w:jc w:val="center"/>
                    <w:textAlignment w:val="center"/>
                    <w:rPr>
                      <w:color w:val="auto"/>
                      <w:sz w:val="15"/>
                      <w:szCs w:val="15"/>
                      <w:highlight w:val="none"/>
                    </w:rPr>
                  </w:pPr>
                  <w:r>
                    <w:rPr>
                      <w:color w:val="auto"/>
                      <w:kern w:val="0"/>
                      <w:sz w:val="15"/>
                      <w:szCs w:val="15"/>
                      <w:highlight w:val="none"/>
                      <w:lang w:bidi="ar"/>
                    </w:rPr>
                    <w:t>6.4</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A425">
                  <w:pPr>
                    <w:widowControl/>
                    <w:jc w:val="center"/>
                    <w:textAlignment w:val="center"/>
                    <w:rPr>
                      <w:color w:val="auto"/>
                      <w:sz w:val="15"/>
                      <w:szCs w:val="15"/>
                      <w:highlight w:val="none"/>
                    </w:rPr>
                  </w:pPr>
                  <w:r>
                    <w:rPr>
                      <w:color w:val="auto"/>
                      <w:kern w:val="0"/>
                      <w:sz w:val="15"/>
                      <w:szCs w:val="15"/>
                      <w:highlight w:val="none"/>
                      <w:lang w:bidi="ar"/>
                    </w:rPr>
                    <w:t>768</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F02A">
                  <w:pPr>
                    <w:widowControl/>
                    <w:jc w:val="center"/>
                    <w:textAlignment w:val="center"/>
                    <w:rPr>
                      <w:color w:val="auto"/>
                      <w:sz w:val="15"/>
                      <w:szCs w:val="15"/>
                      <w:highlight w:val="none"/>
                    </w:rPr>
                  </w:pPr>
                  <w:r>
                    <w:rPr>
                      <w:color w:val="auto"/>
                      <w:kern w:val="0"/>
                      <w:sz w:val="15"/>
                      <w:szCs w:val="15"/>
                      <w:highlight w:val="none"/>
                      <w:lang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1C5D">
                  <w:pPr>
                    <w:widowControl/>
                    <w:jc w:val="center"/>
                    <w:textAlignment w:val="center"/>
                    <w:rPr>
                      <w:color w:val="auto"/>
                      <w:sz w:val="15"/>
                      <w:szCs w:val="15"/>
                      <w:highlight w:val="none"/>
                    </w:rPr>
                  </w:pPr>
                  <w:r>
                    <w:rPr>
                      <w:color w:val="auto"/>
                      <w:kern w:val="0"/>
                      <w:sz w:val="15"/>
                      <w:szCs w:val="15"/>
                      <w:highlight w:val="none"/>
                      <w:lang w:bidi="ar"/>
                    </w:rPr>
                    <w:t>/</w:t>
                  </w:r>
                </w:p>
              </w:tc>
            </w:tr>
            <w:tr w14:paraId="41BF3FCC">
              <w:tblPrEx>
                <w:tblCellMar>
                  <w:top w:w="0" w:type="dxa"/>
                  <w:left w:w="108" w:type="dxa"/>
                  <w:bottom w:w="0" w:type="dxa"/>
                  <w:right w:w="108" w:type="dxa"/>
                </w:tblCellMar>
              </w:tblPrEx>
              <w:trPr>
                <w:trHeight w:val="285"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FD35">
                  <w:pPr>
                    <w:widowControl/>
                    <w:jc w:val="center"/>
                    <w:textAlignment w:val="center"/>
                    <w:rPr>
                      <w:color w:val="auto"/>
                      <w:sz w:val="15"/>
                      <w:szCs w:val="15"/>
                      <w:highlight w:val="none"/>
                    </w:rPr>
                  </w:pPr>
                  <w:r>
                    <w:rPr>
                      <w:color w:val="auto"/>
                      <w:kern w:val="0"/>
                      <w:sz w:val="15"/>
                      <w:szCs w:val="15"/>
                      <w:highlight w:val="none"/>
                      <w:lang w:bidi="ar"/>
                    </w:rPr>
                    <w:t>二级沉淀</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3A39">
                  <w:pPr>
                    <w:widowControl/>
                    <w:jc w:val="center"/>
                    <w:textAlignment w:val="center"/>
                    <w:rPr>
                      <w:color w:val="auto"/>
                      <w:sz w:val="15"/>
                      <w:szCs w:val="15"/>
                      <w:highlight w:val="none"/>
                    </w:rPr>
                  </w:pPr>
                  <w:r>
                    <w:rPr>
                      <w:color w:val="auto"/>
                      <w:kern w:val="0"/>
                      <w:sz w:val="15"/>
                      <w:szCs w:val="15"/>
                      <w:highlight w:val="none"/>
                      <w:lang w:bidi="ar"/>
                    </w:rPr>
                    <w:t>20L/</w:t>
                  </w:r>
                  <w:r>
                    <w:rPr>
                      <w:rStyle w:val="60"/>
                      <w:rFonts w:hint="default" w:ascii="Times New Roman" w:hAnsi="Times New Roman" w:cs="Times New Roman"/>
                      <w:color w:val="auto"/>
                      <w:sz w:val="15"/>
                      <w:szCs w:val="15"/>
                      <w:highlight w:val="none"/>
                      <w:lang w:bidi="ar"/>
                    </w:rPr>
                    <w:t>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4B5E">
                  <w:pPr>
                    <w:widowControl/>
                    <w:jc w:val="center"/>
                    <w:textAlignment w:val="center"/>
                    <w:rPr>
                      <w:color w:val="auto"/>
                      <w:sz w:val="15"/>
                      <w:szCs w:val="15"/>
                      <w:highlight w:val="none"/>
                    </w:rPr>
                  </w:pPr>
                  <w:r>
                    <w:rPr>
                      <w:color w:val="auto"/>
                      <w:kern w:val="0"/>
                      <w:sz w:val="15"/>
                      <w:szCs w:val="15"/>
                      <w:highlight w:val="none"/>
                      <w:lang w:bidi="ar"/>
                    </w:rPr>
                    <w:t>20</w:t>
                  </w:r>
                  <w:r>
                    <w:rPr>
                      <w:rStyle w:val="60"/>
                      <w:rFonts w:hint="default" w:ascii="Times New Roman" w:hAnsi="Times New Roman" w:cs="Times New Roman"/>
                      <w:color w:val="auto"/>
                      <w:sz w:val="15"/>
                      <w:szCs w:val="15"/>
                      <w:highlight w:val="none"/>
                      <w:lang w:bidi="ar"/>
                    </w:rPr>
                    <w:t>桶</w:t>
                  </w:r>
                  <w:r>
                    <w:rPr>
                      <w:rStyle w:val="57"/>
                      <w:color w:val="auto"/>
                      <w:sz w:val="15"/>
                      <w:szCs w:val="15"/>
                      <w:highlight w:val="none"/>
                      <w:lang w:bidi="ar"/>
                    </w:rPr>
                    <w:t>/</w:t>
                  </w:r>
                  <w:r>
                    <w:rPr>
                      <w:rStyle w:val="60"/>
                      <w:rFonts w:hint="default" w:ascii="Times New Roman" w:hAnsi="Times New Roman" w:cs="Times New Roman"/>
                      <w:color w:val="auto"/>
                      <w:sz w:val="15"/>
                      <w:szCs w:val="15"/>
                      <w:highlight w:val="none"/>
                      <w:lang w:bidi="ar"/>
                    </w:rPr>
                    <w:t>天</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5EA0">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0.4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E910">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48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8F7E">
                  <w:pPr>
                    <w:widowControl/>
                    <w:jc w:val="center"/>
                    <w:textAlignment w:val="center"/>
                    <w:rPr>
                      <w:color w:val="auto"/>
                      <w:sz w:val="15"/>
                      <w:szCs w:val="15"/>
                      <w:highlight w:val="none"/>
                    </w:rPr>
                  </w:pPr>
                  <w:r>
                    <w:rPr>
                      <w:color w:val="auto"/>
                      <w:kern w:val="0"/>
                      <w:sz w:val="15"/>
                      <w:szCs w:val="15"/>
                      <w:highlight w:val="none"/>
                      <w:lang w:bidi="ar"/>
                    </w:rPr>
                    <w:t>0.4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C9AB">
                  <w:pPr>
                    <w:widowControl/>
                    <w:jc w:val="center"/>
                    <w:textAlignment w:val="center"/>
                    <w:rPr>
                      <w:color w:val="auto"/>
                      <w:sz w:val="15"/>
                      <w:szCs w:val="15"/>
                      <w:highlight w:val="none"/>
                    </w:rPr>
                  </w:pPr>
                  <w:r>
                    <w:rPr>
                      <w:color w:val="auto"/>
                      <w:kern w:val="0"/>
                      <w:sz w:val="15"/>
                      <w:szCs w:val="15"/>
                      <w:highlight w:val="none"/>
                      <w:lang w:bidi="ar"/>
                    </w:rPr>
                    <w:t>48</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3DE1">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706E">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3C05">
                  <w:pPr>
                    <w:widowControl/>
                    <w:jc w:val="center"/>
                    <w:textAlignment w:val="center"/>
                    <w:rPr>
                      <w:color w:val="auto"/>
                      <w:sz w:val="15"/>
                      <w:szCs w:val="15"/>
                      <w:highlight w:val="none"/>
                    </w:rPr>
                  </w:pPr>
                  <w:r>
                    <w:rPr>
                      <w:color w:val="auto"/>
                      <w:kern w:val="0"/>
                      <w:sz w:val="15"/>
                      <w:szCs w:val="15"/>
                      <w:highlight w:val="none"/>
                      <w:lang w:bidi="ar"/>
                    </w:rPr>
                    <w:t>1.2</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782EB">
                  <w:pPr>
                    <w:widowControl/>
                    <w:jc w:val="center"/>
                    <w:textAlignment w:val="center"/>
                    <w:rPr>
                      <w:color w:val="auto"/>
                      <w:sz w:val="15"/>
                      <w:szCs w:val="15"/>
                      <w:highlight w:val="none"/>
                    </w:rPr>
                  </w:pPr>
                  <w:r>
                    <w:rPr>
                      <w:color w:val="auto"/>
                      <w:kern w:val="0"/>
                      <w:sz w:val="15"/>
                      <w:szCs w:val="15"/>
                      <w:highlight w:val="none"/>
                      <w:lang w:bidi="ar"/>
                    </w:rPr>
                    <w:t>144</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D126">
                  <w:pPr>
                    <w:widowControl/>
                    <w:jc w:val="center"/>
                    <w:textAlignment w:val="center"/>
                    <w:rPr>
                      <w:color w:val="auto"/>
                      <w:sz w:val="15"/>
                      <w:szCs w:val="15"/>
                      <w:highlight w:val="none"/>
                    </w:rPr>
                  </w:pPr>
                  <w:r>
                    <w:rPr>
                      <w:color w:val="auto"/>
                      <w:kern w:val="0"/>
                      <w:sz w:val="15"/>
                      <w:szCs w:val="15"/>
                      <w:highlight w:val="none"/>
                      <w:lang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FD5C">
                  <w:pPr>
                    <w:widowControl/>
                    <w:jc w:val="center"/>
                    <w:textAlignment w:val="center"/>
                    <w:rPr>
                      <w:color w:val="auto"/>
                      <w:sz w:val="15"/>
                      <w:szCs w:val="15"/>
                      <w:highlight w:val="none"/>
                    </w:rPr>
                  </w:pPr>
                  <w:r>
                    <w:rPr>
                      <w:color w:val="auto"/>
                      <w:kern w:val="0"/>
                      <w:sz w:val="15"/>
                      <w:szCs w:val="15"/>
                      <w:highlight w:val="none"/>
                      <w:lang w:bidi="ar"/>
                    </w:rPr>
                    <w:t>/</w:t>
                  </w:r>
                </w:p>
              </w:tc>
            </w:tr>
            <w:tr w14:paraId="6DFF580B">
              <w:tblPrEx>
                <w:tblCellMar>
                  <w:top w:w="0" w:type="dxa"/>
                  <w:left w:w="108" w:type="dxa"/>
                  <w:bottom w:w="0" w:type="dxa"/>
                  <w:right w:w="108" w:type="dxa"/>
                </w:tblCellMar>
              </w:tblPrEx>
              <w:trPr>
                <w:trHeight w:val="525"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7FDD">
                  <w:pPr>
                    <w:widowControl/>
                    <w:jc w:val="center"/>
                    <w:textAlignment w:val="center"/>
                    <w:rPr>
                      <w:color w:val="auto"/>
                      <w:sz w:val="15"/>
                      <w:szCs w:val="15"/>
                      <w:highlight w:val="none"/>
                    </w:rPr>
                  </w:pPr>
                  <w:r>
                    <w:rPr>
                      <w:color w:val="auto"/>
                      <w:kern w:val="0"/>
                      <w:sz w:val="15"/>
                      <w:szCs w:val="15"/>
                      <w:highlight w:val="none"/>
                      <w:lang w:bidi="ar"/>
                    </w:rPr>
                    <w:t>自然晾干及烘干</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6051">
                  <w:pPr>
                    <w:widowControl/>
                    <w:jc w:val="center"/>
                    <w:textAlignment w:val="center"/>
                    <w:rPr>
                      <w:color w:val="auto"/>
                      <w:sz w:val="15"/>
                      <w:szCs w:val="15"/>
                      <w:highlight w:val="none"/>
                    </w:rPr>
                  </w:pPr>
                  <w:r>
                    <w:rPr>
                      <w:color w:val="auto"/>
                      <w:kern w:val="0"/>
                      <w:sz w:val="15"/>
                      <w:szCs w:val="15"/>
                      <w:highlight w:val="none"/>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19FF3">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75D1">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9BCA">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C074">
                  <w:pPr>
                    <w:widowControl/>
                    <w:jc w:val="center"/>
                    <w:textAlignment w:val="center"/>
                    <w:rPr>
                      <w:color w:val="auto"/>
                      <w:sz w:val="15"/>
                      <w:szCs w:val="15"/>
                      <w:highlight w:val="none"/>
                    </w:rPr>
                  </w:pPr>
                  <w:r>
                    <w:rPr>
                      <w:color w:val="auto"/>
                      <w:kern w:val="0"/>
                      <w:sz w:val="15"/>
                      <w:szCs w:val="15"/>
                      <w:highlight w:val="none"/>
                      <w:lang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99F7">
                  <w:pPr>
                    <w:widowControl/>
                    <w:jc w:val="center"/>
                    <w:textAlignment w:val="center"/>
                    <w:rPr>
                      <w:color w:val="auto"/>
                      <w:sz w:val="15"/>
                      <w:szCs w:val="15"/>
                      <w:highlight w:val="none"/>
                    </w:rPr>
                  </w:pPr>
                  <w:r>
                    <w:rPr>
                      <w:color w:val="auto"/>
                      <w:kern w:val="0"/>
                      <w:sz w:val="15"/>
                      <w:szCs w:val="15"/>
                      <w:highlight w:val="none"/>
                      <w:lang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481E">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F12B">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B2AA">
                  <w:pPr>
                    <w:widowControl/>
                    <w:jc w:val="center"/>
                    <w:textAlignment w:val="center"/>
                    <w:rPr>
                      <w:color w:val="auto"/>
                      <w:sz w:val="15"/>
                      <w:szCs w:val="15"/>
                      <w:highlight w:val="none"/>
                    </w:rPr>
                  </w:pPr>
                  <w:r>
                    <w:rPr>
                      <w:color w:val="auto"/>
                      <w:kern w:val="0"/>
                      <w:sz w:val="15"/>
                      <w:szCs w:val="15"/>
                      <w:highlight w:val="none"/>
                      <w:lang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F436">
                  <w:pPr>
                    <w:widowControl/>
                    <w:jc w:val="center"/>
                    <w:textAlignment w:val="center"/>
                    <w:rPr>
                      <w:color w:val="auto"/>
                      <w:sz w:val="15"/>
                      <w:szCs w:val="15"/>
                      <w:highlight w:val="none"/>
                    </w:rPr>
                  </w:pPr>
                  <w:r>
                    <w:rPr>
                      <w:color w:val="auto"/>
                      <w:kern w:val="0"/>
                      <w:sz w:val="15"/>
                      <w:szCs w:val="15"/>
                      <w:highlight w:val="none"/>
                      <w:lang w:bidi="ar"/>
                    </w:rPr>
                    <w:t>/</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E559">
                  <w:pPr>
                    <w:widowControl/>
                    <w:jc w:val="center"/>
                    <w:textAlignment w:val="center"/>
                    <w:rPr>
                      <w:color w:val="auto"/>
                      <w:sz w:val="15"/>
                      <w:szCs w:val="15"/>
                      <w:highlight w:val="none"/>
                    </w:rPr>
                  </w:pPr>
                  <w:r>
                    <w:rPr>
                      <w:color w:val="auto"/>
                      <w:kern w:val="0"/>
                      <w:sz w:val="15"/>
                      <w:szCs w:val="15"/>
                      <w:highlight w:val="none"/>
                      <w:lang w:bidi="ar"/>
                    </w:rPr>
                    <w:t>进入空气</w:t>
                  </w:r>
                  <w:r>
                    <w:rPr>
                      <w:rStyle w:val="57"/>
                      <w:color w:val="auto"/>
                      <w:sz w:val="15"/>
                      <w:szCs w:val="15"/>
                      <w:highlight w:val="none"/>
                      <w:lang w:bidi="ar"/>
                    </w:rPr>
                    <w:t>0.253</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AE81">
                  <w:pPr>
                    <w:widowControl/>
                    <w:jc w:val="center"/>
                    <w:textAlignment w:val="center"/>
                    <w:rPr>
                      <w:color w:val="auto"/>
                      <w:sz w:val="15"/>
                      <w:szCs w:val="15"/>
                      <w:highlight w:val="none"/>
                    </w:rPr>
                  </w:pPr>
                  <w:r>
                    <w:rPr>
                      <w:color w:val="auto"/>
                      <w:kern w:val="0"/>
                      <w:sz w:val="15"/>
                      <w:szCs w:val="15"/>
                      <w:highlight w:val="none"/>
                      <w:lang w:bidi="ar"/>
                    </w:rPr>
                    <w:t>进入空气</w:t>
                  </w:r>
                  <w:r>
                    <w:rPr>
                      <w:rStyle w:val="57"/>
                      <w:color w:val="auto"/>
                      <w:sz w:val="15"/>
                      <w:szCs w:val="15"/>
                      <w:highlight w:val="none"/>
                      <w:lang w:bidi="ar"/>
                    </w:rPr>
                    <w:t>30.462</w:t>
                  </w:r>
                </w:p>
              </w:tc>
            </w:tr>
            <w:tr w14:paraId="55C03A85">
              <w:tblPrEx>
                <w:tblCellMar>
                  <w:top w:w="0" w:type="dxa"/>
                  <w:left w:w="108" w:type="dxa"/>
                  <w:bottom w:w="0" w:type="dxa"/>
                  <w:right w:w="108" w:type="dxa"/>
                </w:tblCellMar>
              </w:tblPrEx>
              <w:trPr>
                <w:trHeight w:val="525"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58DB">
                  <w:pPr>
                    <w:widowControl/>
                    <w:jc w:val="center"/>
                    <w:textAlignment w:val="center"/>
                    <w:rPr>
                      <w:color w:val="auto"/>
                      <w:sz w:val="15"/>
                      <w:szCs w:val="15"/>
                      <w:highlight w:val="none"/>
                    </w:rPr>
                  </w:pPr>
                  <w:r>
                    <w:rPr>
                      <w:color w:val="auto"/>
                      <w:kern w:val="0"/>
                      <w:sz w:val="15"/>
                      <w:szCs w:val="15"/>
                      <w:highlight w:val="none"/>
                      <w:lang w:bidi="ar"/>
                    </w:rPr>
                    <w:t>/</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155D">
                  <w:pPr>
                    <w:widowControl/>
                    <w:jc w:val="center"/>
                    <w:textAlignment w:val="center"/>
                    <w:rPr>
                      <w:color w:val="auto"/>
                      <w:sz w:val="15"/>
                      <w:szCs w:val="15"/>
                      <w:highlight w:val="none"/>
                    </w:rPr>
                  </w:pPr>
                  <w:r>
                    <w:rPr>
                      <w:color w:val="auto"/>
                      <w:kern w:val="0"/>
                      <w:sz w:val="15"/>
                      <w:szCs w:val="15"/>
                      <w:highlight w:val="none"/>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684B">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B919">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89C9">
                  <w:pPr>
                    <w:widowControl/>
                    <w:jc w:val="center"/>
                    <w:textAlignment w:val="center"/>
                    <w:rPr>
                      <w:rFonts w:hint="eastAsia"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70D8">
                  <w:pPr>
                    <w:widowControl/>
                    <w:jc w:val="center"/>
                    <w:textAlignment w:val="center"/>
                    <w:rPr>
                      <w:color w:val="auto"/>
                      <w:sz w:val="15"/>
                      <w:szCs w:val="15"/>
                      <w:highlight w:val="none"/>
                    </w:rPr>
                  </w:pPr>
                  <w:r>
                    <w:rPr>
                      <w:color w:val="auto"/>
                      <w:kern w:val="0"/>
                      <w:sz w:val="15"/>
                      <w:szCs w:val="15"/>
                      <w:highlight w:val="none"/>
                      <w:lang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952B">
                  <w:pPr>
                    <w:widowControl/>
                    <w:jc w:val="center"/>
                    <w:textAlignment w:val="center"/>
                    <w:rPr>
                      <w:color w:val="auto"/>
                      <w:sz w:val="15"/>
                      <w:szCs w:val="15"/>
                      <w:highlight w:val="none"/>
                    </w:rPr>
                  </w:pPr>
                  <w:r>
                    <w:rPr>
                      <w:color w:val="auto"/>
                      <w:kern w:val="0"/>
                      <w:sz w:val="15"/>
                      <w:szCs w:val="15"/>
                      <w:highlight w:val="none"/>
                      <w:lang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E1B6">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F5BF">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3543">
                  <w:pPr>
                    <w:widowControl/>
                    <w:jc w:val="center"/>
                    <w:textAlignment w:val="center"/>
                    <w:rPr>
                      <w:color w:val="auto"/>
                      <w:sz w:val="15"/>
                      <w:szCs w:val="15"/>
                      <w:highlight w:val="none"/>
                    </w:rPr>
                  </w:pPr>
                  <w:r>
                    <w:rPr>
                      <w:color w:val="auto"/>
                      <w:kern w:val="0"/>
                      <w:sz w:val="15"/>
                      <w:szCs w:val="15"/>
                      <w:highlight w:val="none"/>
                      <w:lang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65B3">
                  <w:pPr>
                    <w:widowControl/>
                    <w:jc w:val="center"/>
                    <w:textAlignment w:val="center"/>
                    <w:rPr>
                      <w:color w:val="auto"/>
                      <w:sz w:val="15"/>
                      <w:szCs w:val="15"/>
                      <w:highlight w:val="none"/>
                    </w:rPr>
                  </w:pPr>
                  <w:r>
                    <w:rPr>
                      <w:color w:val="auto"/>
                      <w:kern w:val="0"/>
                      <w:sz w:val="15"/>
                      <w:szCs w:val="15"/>
                      <w:highlight w:val="none"/>
                      <w:lang w:bidi="ar"/>
                    </w:rPr>
                    <w:t>/</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40FB">
                  <w:pPr>
                    <w:widowControl/>
                    <w:jc w:val="center"/>
                    <w:textAlignment w:val="center"/>
                    <w:rPr>
                      <w:color w:val="auto"/>
                      <w:sz w:val="15"/>
                      <w:szCs w:val="15"/>
                      <w:highlight w:val="none"/>
                    </w:rPr>
                  </w:pPr>
                  <w:r>
                    <w:rPr>
                      <w:color w:val="auto"/>
                      <w:kern w:val="0"/>
                      <w:sz w:val="15"/>
                      <w:szCs w:val="15"/>
                      <w:highlight w:val="none"/>
                      <w:lang w:bidi="ar"/>
                    </w:rPr>
                    <w:t>产品含水</w:t>
                  </w:r>
                  <w:r>
                    <w:rPr>
                      <w:rStyle w:val="57"/>
                      <w:color w:val="auto"/>
                      <w:sz w:val="15"/>
                      <w:szCs w:val="15"/>
                      <w:highlight w:val="none"/>
                      <w:lang w:bidi="ar"/>
                    </w:rPr>
                    <w:t>0.098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01C4">
                  <w:pPr>
                    <w:widowControl/>
                    <w:jc w:val="center"/>
                    <w:textAlignment w:val="center"/>
                    <w:rPr>
                      <w:color w:val="auto"/>
                      <w:sz w:val="15"/>
                      <w:szCs w:val="15"/>
                      <w:highlight w:val="none"/>
                    </w:rPr>
                  </w:pPr>
                  <w:r>
                    <w:rPr>
                      <w:color w:val="auto"/>
                      <w:kern w:val="0"/>
                      <w:sz w:val="15"/>
                      <w:szCs w:val="15"/>
                      <w:highlight w:val="none"/>
                      <w:lang w:bidi="ar"/>
                    </w:rPr>
                    <w:t>产品含水</w:t>
                  </w:r>
                  <w:r>
                    <w:rPr>
                      <w:rStyle w:val="57"/>
                      <w:color w:val="auto"/>
                      <w:sz w:val="15"/>
                      <w:szCs w:val="15"/>
                      <w:highlight w:val="none"/>
                      <w:lang w:bidi="ar"/>
                    </w:rPr>
                    <w:t>11.7</w:t>
                  </w:r>
                </w:p>
              </w:tc>
            </w:tr>
            <w:tr w14:paraId="74C309FB">
              <w:tblPrEx>
                <w:tblCellMar>
                  <w:top w:w="0" w:type="dxa"/>
                  <w:left w:w="108" w:type="dxa"/>
                  <w:bottom w:w="0" w:type="dxa"/>
                  <w:right w:w="108" w:type="dxa"/>
                </w:tblCellMar>
              </w:tblPrEx>
              <w:trPr>
                <w:trHeight w:val="1350"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EC90">
                  <w:pPr>
                    <w:widowControl/>
                    <w:jc w:val="center"/>
                    <w:textAlignment w:val="center"/>
                    <w:rPr>
                      <w:color w:val="auto"/>
                      <w:sz w:val="15"/>
                      <w:szCs w:val="15"/>
                      <w:highlight w:val="none"/>
                    </w:rPr>
                  </w:pPr>
                  <w:r>
                    <w:rPr>
                      <w:color w:val="auto"/>
                      <w:kern w:val="0"/>
                      <w:sz w:val="15"/>
                      <w:szCs w:val="15"/>
                      <w:highlight w:val="none"/>
                      <w:lang w:bidi="ar"/>
                    </w:rPr>
                    <w:t>地面清洁水</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34A9">
                  <w:pPr>
                    <w:widowControl/>
                    <w:jc w:val="center"/>
                    <w:textAlignment w:val="center"/>
                    <w:rPr>
                      <w:color w:val="auto"/>
                      <w:sz w:val="15"/>
                      <w:szCs w:val="15"/>
                      <w:highlight w:val="none"/>
                    </w:rPr>
                  </w:pPr>
                  <w:r>
                    <w:rPr>
                      <w:color w:val="auto"/>
                      <w:kern w:val="0"/>
                      <w:sz w:val="15"/>
                      <w:szCs w:val="15"/>
                      <w:highlight w:val="none"/>
                      <w:lang w:bidi="ar"/>
                    </w:rPr>
                    <w:t>2 L/</w:t>
                  </w:r>
                  <w:r>
                    <w:rPr>
                      <w:rStyle w:val="57"/>
                      <w:color w:val="auto"/>
                      <w:sz w:val="15"/>
                      <w:szCs w:val="15"/>
                      <w:highlight w:val="none"/>
                      <w:lang w:bidi="ar"/>
                    </w:rPr>
                    <w:t>m</w:t>
                  </w:r>
                  <w:r>
                    <w:rPr>
                      <w:rStyle w:val="56"/>
                      <w:color w:val="auto"/>
                      <w:sz w:val="15"/>
                      <w:szCs w:val="15"/>
                      <w:highlight w:val="none"/>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5935">
                  <w:pPr>
                    <w:widowControl/>
                    <w:jc w:val="center"/>
                    <w:textAlignment w:val="center"/>
                    <w:rPr>
                      <w:color w:val="auto"/>
                      <w:sz w:val="15"/>
                      <w:szCs w:val="15"/>
                      <w:highlight w:val="none"/>
                    </w:rPr>
                  </w:pPr>
                  <w:r>
                    <w:rPr>
                      <w:color w:val="auto"/>
                      <w:kern w:val="0"/>
                      <w:sz w:val="15"/>
                      <w:szCs w:val="15"/>
                      <w:highlight w:val="none"/>
                      <w:lang w:bidi="ar"/>
                    </w:rPr>
                    <w:t xml:space="preserve">76.99 </w:t>
                  </w:r>
                  <w:r>
                    <w:rPr>
                      <w:rStyle w:val="57"/>
                      <w:color w:val="auto"/>
                      <w:sz w:val="15"/>
                      <w:szCs w:val="15"/>
                      <w:highlight w:val="none"/>
                      <w:lang w:bidi="ar"/>
                    </w:rPr>
                    <w:t>m</w:t>
                  </w:r>
                  <w:r>
                    <w:rPr>
                      <w:rStyle w:val="56"/>
                      <w:color w:val="auto"/>
                      <w:sz w:val="15"/>
                      <w:szCs w:val="15"/>
                      <w:highlight w:val="none"/>
                      <w:lang w:bidi="ar"/>
                    </w:rPr>
                    <w:t>2</w:t>
                  </w:r>
                  <w:r>
                    <w:rPr>
                      <w:rStyle w:val="60"/>
                      <w:rFonts w:hint="default" w:ascii="Times New Roman" w:hAnsi="Times New Roman" w:cs="Times New Roman"/>
                      <w:color w:val="auto"/>
                      <w:sz w:val="15"/>
                      <w:szCs w:val="15"/>
                      <w:highlight w:val="none"/>
                      <w:lang w:bidi="ar"/>
                    </w:rPr>
                    <w:t>每天清洗一次，</w:t>
                  </w:r>
                  <w:r>
                    <w:rPr>
                      <w:rStyle w:val="57"/>
                      <w:color w:val="auto"/>
                      <w:sz w:val="15"/>
                      <w:szCs w:val="15"/>
                      <w:highlight w:val="none"/>
                      <w:lang w:bidi="ar"/>
                    </w:rPr>
                    <w:t>276.28m</w:t>
                  </w:r>
                  <w:r>
                    <w:rPr>
                      <w:rStyle w:val="56"/>
                      <w:color w:val="auto"/>
                      <w:sz w:val="15"/>
                      <w:szCs w:val="15"/>
                      <w:highlight w:val="none"/>
                      <w:lang w:bidi="ar"/>
                    </w:rPr>
                    <w:t>2</w:t>
                  </w:r>
                  <w:r>
                    <w:rPr>
                      <w:rStyle w:val="60"/>
                      <w:rFonts w:hint="default" w:ascii="Times New Roman" w:hAnsi="Times New Roman" w:cs="Times New Roman"/>
                      <w:color w:val="auto"/>
                      <w:sz w:val="15"/>
                      <w:szCs w:val="15"/>
                      <w:highlight w:val="none"/>
                      <w:lang w:bidi="ar"/>
                    </w:rPr>
                    <w:t>每</w:t>
                  </w:r>
                  <w:r>
                    <w:rPr>
                      <w:rStyle w:val="57"/>
                      <w:color w:val="auto"/>
                      <w:sz w:val="15"/>
                      <w:szCs w:val="15"/>
                      <w:highlight w:val="none"/>
                      <w:lang w:bidi="ar"/>
                    </w:rPr>
                    <w:t>5</w:t>
                  </w:r>
                  <w:r>
                    <w:rPr>
                      <w:rStyle w:val="60"/>
                      <w:rFonts w:hint="default" w:ascii="Times New Roman" w:hAnsi="Times New Roman" w:cs="Times New Roman"/>
                      <w:color w:val="auto"/>
                      <w:sz w:val="15"/>
                      <w:szCs w:val="15"/>
                      <w:highlight w:val="none"/>
                      <w:lang w:bidi="ar"/>
                    </w:rPr>
                    <w:t>天清洗一次</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D9A3">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0.707</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8B32">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31.752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9809">
                  <w:pPr>
                    <w:widowControl/>
                    <w:jc w:val="center"/>
                    <w:textAlignment w:val="center"/>
                    <w:rPr>
                      <w:color w:val="auto"/>
                      <w:sz w:val="15"/>
                      <w:szCs w:val="15"/>
                      <w:highlight w:val="none"/>
                    </w:rPr>
                  </w:pPr>
                  <w:r>
                    <w:rPr>
                      <w:color w:val="auto"/>
                      <w:kern w:val="0"/>
                      <w:sz w:val="15"/>
                      <w:szCs w:val="15"/>
                      <w:highlight w:val="none"/>
                      <w:lang w:bidi="ar"/>
                    </w:rPr>
                    <w:t>0.707</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04AA">
                  <w:pPr>
                    <w:widowControl/>
                    <w:jc w:val="center"/>
                    <w:textAlignment w:val="center"/>
                    <w:rPr>
                      <w:color w:val="auto"/>
                      <w:sz w:val="15"/>
                      <w:szCs w:val="15"/>
                      <w:highlight w:val="none"/>
                    </w:rPr>
                  </w:pPr>
                  <w:r>
                    <w:rPr>
                      <w:color w:val="auto"/>
                      <w:kern w:val="0"/>
                      <w:sz w:val="15"/>
                      <w:szCs w:val="15"/>
                      <w:highlight w:val="none"/>
                      <w:lang w:bidi="ar"/>
                    </w:rPr>
                    <w:t>31.752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E545">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E9B4">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90EB">
                  <w:pPr>
                    <w:widowControl/>
                    <w:jc w:val="center"/>
                    <w:textAlignment w:val="center"/>
                    <w:rPr>
                      <w:color w:val="auto"/>
                      <w:sz w:val="15"/>
                      <w:szCs w:val="15"/>
                      <w:highlight w:val="none"/>
                    </w:rPr>
                  </w:pPr>
                  <w:r>
                    <w:rPr>
                      <w:color w:val="auto"/>
                      <w:kern w:val="0"/>
                      <w:sz w:val="15"/>
                      <w:szCs w:val="15"/>
                      <w:highlight w:val="none"/>
                      <w:lang w:bidi="ar"/>
                    </w:rPr>
                    <w:t>0.636</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0185">
                  <w:pPr>
                    <w:widowControl/>
                    <w:jc w:val="center"/>
                    <w:textAlignment w:val="center"/>
                    <w:rPr>
                      <w:color w:val="auto"/>
                      <w:sz w:val="15"/>
                      <w:szCs w:val="15"/>
                      <w:highlight w:val="none"/>
                    </w:rPr>
                  </w:pPr>
                  <w:r>
                    <w:rPr>
                      <w:color w:val="auto"/>
                      <w:kern w:val="0"/>
                      <w:sz w:val="15"/>
                      <w:szCs w:val="15"/>
                      <w:highlight w:val="none"/>
                      <w:lang w:bidi="ar"/>
                    </w:rPr>
                    <w:t>28.577</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03B0">
                  <w:pPr>
                    <w:widowControl/>
                    <w:jc w:val="center"/>
                    <w:textAlignment w:val="center"/>
                    <w:rPr>
                      <w:color w:val="auto"/>
                      <w:sz w:val="15"/>
                      <w:szCs w:val="15"/>
                      <w:highlight w:val="none"/>
                    </w:rPr>
                  </w:pPr>
                  <w:r>
                    <w:rPr>
                      <w:color w:val="auto"/>
                      <w:kern w:val="0"/>
                      <w:sz w:val="15"/>
                      <w:szCs w:val="15"/>
                      <w:highlight w:val="none"/>
                      <w:lang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E737">
                  <w:pPr>
                    <w:widowControl/>
                    <w:jc w:val="center"/>
                    <w:textAlignment w:val="center"/>
                    <w:rPr>
                      <w:color w:val="auto"/>
                      <w:sz w:val="15"/>
                      <w:szCs w:val="15"/>
                      <w:highlight w:val="none"/>
                    </w:rPr>
                  </w:pPr>
                  <w:r>
                    <w:rPr>
                      <w:color w:val="auto"/>
                      <w:kern w:val="0"/>
                      <w:sz w:val="15"/>
                      <w:szCs w:val="15"/>
                      <w:highlight w:val="none"/>
                      <w:lang w:bidi="ar"/>
                    </w:rPr>
                    <w:t>/</w:t>
                  </w:r>
                </w:p>
              </w:tc>
            </w:tr>
            <w:tr w14:paraId="53B9B522">
              <w:tblPrEx>
                <w:tblCellMar>
                  <w:top w:w="0" w:type="dxa"/>
                  <w:left w:w="108" w:type="dxa"/>
                  <w:bottom w:w="0" w:type="dxa"/>
                  <w:right w:w="108" w:type="dxa"/>
                </w:tblCellMar>
              </w:tblPrEx>
              <w:trPr>
                <w:trHeight w:val="510"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B275">
                  <w:pPr>
                    <w:widowControl/>
                    <w:jc w:val="center"/>
                    <w:textAlignment w:val="center"/>
                    <w:rPr>
                      <w:color w:val="auto"/>
                      <w:sz w:val="15"/>
                      <w:szCs w:val="15"/>
                      <w:highlight w:val="none"/>
                    </w:rPr>
                  </w:pPr>
                  <w:r>
                    <w:rPr>
                      <w:color w:val="auto"/>
                      <w:kern w:val="0"/>
                      <w:sz w:val="15"/>
                      <w:szCs w:val="15"/>
                      <w:highlight w:val="none"/>
                      <w:lang w:bidi="ar"/>
                    </w:rPr>
                    <w:t>设备清洗用水</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B2A7">
                  <w:pPr>
                    <w:widowControl/>
                    <w:jc w:val="center"/>
                    <w:textAlignment w:val="center"/>
                    <w:rPr>
                      <w:color w:val="auto"/>
                      <w:sz w:val="15"/>
                      <w:szCs w:val="15"/>
                      <w:highlight w:val="none"/>
                    </w:rPr>
                  </w:pPr>
                  <w:r>
                    <w:rPr>
                      <w:color w:val="auto"/>
                      <w:kern w:val="0"/>
                      <w:sz w:val="15"/>
                      <w:szCs w:val="15"/>
                      <w:highlight w:val="none"/>
                      <w:lang w:bidi="ar"/>
                    </w:rPr>
                    <w:t xml:space="preserve">0.5 </w:t>
                  </w:r>
                  <w:r>
                    <w:rPr>
                      <w:rStyle w:val="57"/>
                      <w:color w:val="auto"/>
                      <w:sz w:val="15"/>
                      <w:szCs w:val="15"/>
                      <w:highlight w:val="none"/>
                      <w:lang w:bidi="ar"/>
                    </w:rPr>
                    <w:t>m</w:t>
                  </w:r>
                  <w:r>
                    <w:rPr>
                      <w:rStyle w:val="56"/>
                      <w:color w:val="auto"/>
                      <w:sz w:val="15"/>
                      <w:szCs w:val="15"/>
                      <w:highlight w:val="none"/>
                      <w:lang w:bidi="ar"/>
                    </w:rPr>
                    <w:t>3</w:t>
                  </w:r>
                  <w:r>
                    <w:rPr>
                      <w:rStyle w:val="57"/>
                      <w:color w:val="auto"/>
                      <w:sz w:val="15"/>
                      <w:szCs w:val="15"/>
                      <w:highlight w:val="none"/>
                      <w:lang w:bidi="ar"/>
                    </w:rPr>
                    <w:t>/</w:t>
                  </w:r>
                  <w:r>
                    <w:rPr>
                      <w:rStyle w:val="60"/>
                      <w:rFonts w:hint="default" w:ascii="Times New Roman" w:hAnsi="Times New Roman" w:cs="Times New Roman"/>
                      <w:color w:val="auto"/>
                      <w:sz w:val="15"/>
                      <w:szCs w:val="15"/>
                      <w:highlight w:val="none"/>
                      <w:lang w:bidi="ar"/>
                    </w:rPr>
                    <w:t>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89A5">
                  <w:pPr>
                    <w:widowControl/>
                    <w:jc w:val="center"/>
                    <w:textAlignment w:val="center"/>
                    <w:rPr>
                      <w:color w:val="auto"/>
                      <w:sz w:val="15"/>
                      <w:szCs w:val="15"/>
                      <w:highlight w:val="none"/>
                    </w:rPr>
                  </w:pPr>
                  <w:r>
                    <w:rPr>
                      <w:color w:val="auto"/>
                      <w:kern w:val="0"/>
                      <w:sz w:val="15"/>
                      <w:szCs w:val="15"/>
                      <w:highlight w:val="none"/>
                      <w:lang w:bidi="ar"/>
                    </w:rPr>
                    <w:t>每</w:t>
                  </w:r>
                  <w:r>
                    <w:rPr>
                      <w:rStyle w:val="57"/>
                      <w:color w:val="auto"/>
                      <w:sz w:val="15"/>
                      <w:szCs w:val="15"/>
                      <w:highlight w:val="none"/>
                      <w:lang w:bidi="ar"/>
                    </w:rPr>
                    <w:t>5</w:t>
                  </w:r>
                  <w:r>
                    <w:rPr>
                      <w:rStyle w:val="60"/>
                      <w:rFonts w:hint="default" w:ascii="Times New Roman" w:hAnsi="Times New Roman" w:cs="Times New Roman"/>
                      <w:color w:val="auto"/>
                      <w:sz w:val="15"/>
                      <w:szCs w:val="15"/>
                      <w:highlight w:val="none"/>
                      <w:lang w:bidi="ar"/>
                    </w:rPr>
                    <w:t>天清洗一次</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3283">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0.5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52E3">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1D10">
                  <w:pPr>
                    <w:widowControl/>
                    <w:jc w:val="center"/>
                    <w:textAlignment w:val="center"/>
                    <w:rPr>
                      <w:color w:val="auto"/>
                      <w:sz w:val="15"/>
                      <w:szCs w:val="15"/>
                      <w:highlight w:val="none"/>
                    </w:rPr>
                  </w:pPr>
                  <w:r>
                    <w:rPr>
                      <w:color w:val="auto"/>
                      <w:kern w:val="0"/>
                      <w:sz w:val="15"/>
                      <w:szCs w:val="15"/>
                      <w:highlight w:val="none"/>
                      <w:lang w:bidi="ar"/>
                    </w:rPr>
                    <w:t>0.5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D746">
                  <w:pPr>
                    <w:widowControl/>
                    <w:jc w:val="center"/>
                    <w:textAlignment w:val="center"/>
                    <w:rPr>
                      <w:color w:val="auto"/>
                      <w:sz w:val="15"/>
                      <w:szCs w:val="15"/>
                      <w:highlight w:val="none"/>
                    </w:rPr>
                  </w:pPr>
                  <w:r>
                    <w:rPr>
                      <w:color w:val="auto"/>
                      <w:kern w:val="0"/>
                      <w:sz w:val="15"/>
                      <w:szCs w:val="15"/>
                      <w:highlight w:val="none"/>
                      <w:lang w:bidi="ar"/>
                    </w:rPr>
                    <w:t>12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A08E">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3880">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D7C3">
                  <w:pPr>
                    <w:widowControl/>
                    <w:jc w:val="center"/>
                    <w:textAlignment w:val="center"/>
                    <w:rPr>
                      <w:color w:val="auto"/>
                      <w:sz w:val="15"/>
                      <w:szCs w:val="15"/>
                      <w:highlight w:val="none"/>
                    </w:rPr>
                  </w:pPr>
                  <w:r>
                    <w:rPr>
                      <w:color w:val="auto"/>
                      <w:kern w:val="0"/>
                      <w:sz w:val="15"/>
                      <w:szCs w:val="15"/>
                      <w:highlight w:val="none"/>
                      <w:lang w:bidi="ar"/>
                    </w:rPr>
                    <w:t>0.45</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A6AF">
                  <w:pPr>
                    <w:widowControl/>
                    <w:jc w:val="center"/>
                    <w:textAlignment w:val="center"/>
                    <w:rPr>
                      <w:color w:val="auto"/>
                      <w:sz w:val="15"/>
                      <w:szCs w:val="15"/>
                      <w:highlight w:val="none"/>
                    </w:rPr>
                  </w:pPr>
                  <w:r>
                    <w:rPr>
                      <w:color w:val="auto"/>
                      <w:kern w:val="0"/>
                      <w:sz w:val="15"/>
                      <w:szCs w:val="15"/>
                      <w:highlight w:val="none"/>
                      <w:lang w:bidi="ar"/>
                    </w:rPr>
                    <w:t>10.8</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3AE2">
                  <w:pPr>
                    <w:widowControl/>
                    <w:jc w:val="center"/>
                    <w:textAlignment w:val="center"/>
                    <w:rPr>
                      <w:color w:val="auto"/>
                      <w:sz w:val="15"/>
                      <w:szCs w:val="15"/>
                      <w:highlight w:val="none"/>
                    </w:rPr>
                  </w:pPr>
                  <w:r>
                    <w:rPr>
                      <w:color w:val="auto"/>
                      <w:kern w:val="0"/>
                      <w:sz w:val="15"/>
                      <w:szCs w:val="15"/>
                      <w:highlight w:val="none"/>
                      <w:lang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513B">
                  <w:pPr>
                    <w:widowControl/>
                    <w:jc w:val="center"/>
                    <w:textAlignment w:val="center"/>
                    <w:rPr>
                      <w:color w:val="auto"/>
                      <w:sz w:val="15"/>
                      <w:szCs w:val="15"/>
                      <w:highlight w:val="none"/>
                    </w:rPr>
                  </w:pPr>
                  <w:r>
                    <w:rPr>
                      <w:color w:val="auto"/>
                      <w:kern w:val="0"/>
                      <w:sz w:val="15"/>
                      <w:szCs w:val="15"/>
                      <w:highlight w:val="none"/>
                      <w:lang w:bidi="ar"/>
                    </w:rPr>
                    <w:t>/</w:t>
                  </w:r>
                </w:p>
              </w:tc>
            </w:tr>
            <w:tr w14:paraId="18B4065E">
              <w:tblPrEx>
                <w:tblCellMar>
                  <w:top w:w="0" w:type="dxa"/>
                  <w:left w:w="108" w:type="dxa"/>
                  <w:bottom w:w="0" w:type="dxa"/>
                  <w:right w:w="108" w:type="dxa"/>
                </w:tblCellMar>
              </w:tblPrEx>
              <w:trPr>
                <w:trHeight w:val="285"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AC44">
                  <w:pPr>
                    <w:widowControl/>
                    <w:jc w:val="center"/>
                    <w:textAlignment w:val="center"/>
                    <w:rPr>
                      <w:color w:val="auto"/>
                      <w:sz w:val="15"/>
                      <w:szCs w:val="15"/>
                      <w:highlight w:val="none"/>
                    </w:rPr>
                  </w:pPr>
                  <w:r>
                    <w:rPr>
                      <w:color w:val="auto"/>
                      <w:kern w:val="0"/>
                      <w:sz w:val="15"/>
                      <w:szCs w:val="15"/>
                      <w:highlight w:val="none"/>
                      <w:lang w:bidi="ar"/>
                    </w:rPr>
                    <w:t>生活用水</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3714">
                  <w:pPr>
                    <w:widowControl/>
                    <w:jc w:val="center"/>
                    <w:textAlignment w:val="center"/>
                    <w:rPr>
                      <w:color w:val="auto"/>
                      <w:sz w:val="15"/>
                      <w:szCs w:val="15"/>
                      <w:highlight w:val="none"/>
                    </w:rPr>
                  </w:pPr>
                  <w:r>
                    <w:rPr>
                      <w:color w:val="auto"/>
                      <w:kern w:val="0"/>
                      <w:sz w:val="15"/>
                      <w:szCs w:val="15"/>
                      <w:highlight w:val="none"/>
                      <w:lang w:bidi="ar"/>
                    </w:rPr>
                    <w:t>5</w:t>
                  </w:r>
                  <w:r>
                    <w:rPr>
                      <w:rStyle w:val="57"/>
                      <w:color w:val="auto"/>
                      <w:sz w:val="15"/>
                      <w:szCs w:val="15"/>
                      <w:highlight w:val="none"/>
                      <w:lang w:bidi="ar"/>
                    </w:rPr>
                    <w:t>0L/</w:t>
                  </w:r>
                  <w:r>
                    <w:rPr>
                      <w:rStyle w:val="60"/>
                      <w:rFonts w:hint="default" w:ascii="Times New Roman" w:hAnsi="Times New Roman" w:cs="Times New Roman"/>
                      <w:color w:val="auto"/>
                      <w:sz w:val="15"/>
                      <w:szCs w:val="15"/>
                      <w:highlight w:val="none"/>
                      <w:lang w:bidi="ar"/>
                    </w:rPr>
                    <w:t>人</w:t>
                  </w:r>
                  <w:r>
                    <w:rPr>
                      <w:rStyle w:val="57"/>
                      <w:color w:val="auto"/>
                      <w:sz w:val="15"/>
                      <w:szCs w:val="15"/>
                      <w:highlight w:val="none"/>
                      <w:lang w:bidi="ar"/>
                    </w:rPr>
                    <w:t>·d</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B2CE">
                  <w:pPr>
                    <w:widowControl/>
                    <w:jc w:val="center"/>
                    <w:textAlignment w:val="center"/>
                    <w:rPr>
                      <w:color w:val="auto"/>
                      <w:sz w:val="15"/>
                      <w:szCs w:val="15"/>
                      <w:highlight w:val="none"/>
                    </w:rPr>
                  </w:pPr>
                  <w:r>
                    <w:rPr>
                      <w:color w:val="auto"/>
                      <w:kern w:val="0"/>
                      <w:sz w:val="15"/>
                      <w:szCs w:val="15"/>
                      <w:highlight w:val="none"/>
                      <w:lang w:bidi="ar"/>
                    </w:rPr>
                    <w:t>1</w:t>
                  </w:r>
                  <w:r>
                    <w:rPr>
                      <w:rStyle w:val="57"/>
                      <w:color w:val="auto"/>
                      <w:sz w:val="15"/>
                      <w:szCs w:val="15"/>
                      <w:highlight w:val="none"/>
                      <w:lang w:bidi="ar"/>
                    </w:rPr>
                    <w:t>0</w:t>
                  </w:r>
                  <w:r>
                    <w:rPr>
                      <w:rStyle w:val="60"/>
                      <w:rFonts w:hint="default" w:ascii="Times New Roman" w:hAnsi="Times New Roman" w:cs="Times New Roman"/>
                      <w:color w:val="auto"/>
                      <w:sz w:val="15"/>
                      <w:szCs w:val="15"/>
                      <w:highlight w:val="none"/>
                      <w:lang w:bidi="ar"/>
                    </w:rPr>
                    <w:t>人，</w:t>
                  </w:r>
                  <w:r>
                    <w:rPr>
                      <w:rStyle w:val="57"/>
                      <w:color w:val="auto"/>
                      <w:sz w:val="15"/>
                      <w:szCs w:val="15"/>
                      <w:highlight w:val="none"/>
                      <w:lang w:bidi="ar"/>
                    </w:rPr>
                    <w:t>120</w:t>
                  </w:r>
                  <w:r>
                    <w:rPr>
                      <w:rStyle w:val="60"/>
                      <w:rFonts w:hint="default" w:ascii="Times New Roman" w:hAnsi="Times New Roman" w:cs="Times New Roman"/>
                      <w:color w:val="auto"/>
                      <w:sz w:val="15"/>
                      <w:szCs w:val="15"/>
                      <w:highlight w:val="none"/>
                      <w:lang w:bidi="ar"/>
                    </w:rPr>
                    <w:t>天</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C45E">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0.5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5F4F">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6F6D">
                  <w:pPr>
                    <w:widowControl/>
                    <w:jc w:val="center"/>
                    <w:textAlignment w:val="center"/>
                    <w:rPr>
                      <w:color w:val="auto"/>
                      <w:sz w:val="15"/>
                      <w:szCs w:val="15"/>
                      <w:highlight w:val="none"/>
                    </w:rPr>
                  </w:pPr>
                  <w:r>
                    <w:rPr>
                      <w:color w:val="auto"/>
                      <w:kern w:val="0"/>
                      <w:sz w:val="15"/>
                      <w:szCs w:val="15"/>
                      <w:highlight w:val="none"/>
                      <w:lang w:bidi="ar"/>
                    </w:rPr>
                    <w:t>0.5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E803">
                  <w:pPr>
                    <w:widowControl/>
                    <w:jc w:val="center"/>
                    <w:textAlignment w:val="center"/>
                    <w:rPr>
                      <w:color w:val="auto"/>
                      <w:sz w:val="15"/>
                      <w:szCs w:val="15"/>
                      <w:highlight w:val="none"/>
                    </w:rPr>
                  </w:pPr>
                  <w:r>
                    <w:rPr>
                      <w:color w:val="auto"/>
                      <w:kern w:val="0"/>
                      <w:sz w:val="15"/>
                      <w:szCs w:val="15"/>
                      <w:highlight w:val="none"/>
                      <w:lang w:bidi="ar"/>
                    </w:rPr>
                    <w:t>60</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1DFB">
                  <w:pPr>
                    <w:widowControl/>
                    <w:jc w:val="center"/>
                    <w:textAlignment w:val="center"/>
                    <w:rPr>
                      <w:color w:val="auto"/>
                      <w:sz w:val="15"/>
                      <w:szCs w:val="15"/>
                      <w:highlight w:val="none"/>
                    </w:rPr>
                  </w:pPr>
                  <w:r>
                    <w:rPr>
                      <w:color w:val="auto"/>
                      <w:kern w:val="0"/>
                      <w:sz w:val="15"/>
                      <w:szCs w:val="15"/>
                      <w:highlight w:val="none"/>
                      <w:lang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548A">
                  <w:pPr>
                    <w:widowControl/>
                    <w:jc w:val="center"/>
                    <w:textAlignment w:val="center"/>
                    <w:rPr>
                      <w:color w:val="auto"/>
                      <w:sz w:val="15"/>
                      <w:szCs w:val="15"/>
                      <w:highlight w:val="none"/>
                    </w:rPr>
                  </w:pPr>
                  <w:r>
                    <w:rPr>
                      <w:color w:val="auto"/>
                      <w:kern w:val="0"/>
                      <w:sz w:val="15"/>
                      <w:szCs w:val="15"/>
                      <w:highlight w:val="none"/>
                      <w:lang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F120">
                  <w:pPr>
                    <w:widowControl/>
                    <w:jc w:val="center"/>
                    <w:textAlignment w:val="center"/>
                    <w:rPr>
                      <w:color w:val="auto"/>
                      <w:sz w:val="15"/>
                      <w:szCs w:val="15"/>
                      <w:highlight w:val="none"/>
                    </w:rPr>
                  </w:pPr>
                  <w:r>
                    <w:rPr>
                      <w:color w:val="auto"/>
                      <w:kern w:val="0"/>
                      <w:sz w:val="15"/>
                      <w:szCs w:val="15"/>
                      <w:highlight w:val="none"/>
                      <w:lang w:bidi="ar"/>
                    </w:rPr>
                    <w:t>0.425</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AEC2">
                  <w:pPr>
                    <w:widowControl/>
                    <w:jc w:val="center"/>
                    <w:textAlignment w:val="center"/>
                    <w:rPr>
                      <w:color w:val="auto"/>
                      <w:sz w:val="15"/>
                      <w:szCs w:val="15"/>
                      <w:highlight w:val="none"/>
                    </w:rPr>
                  </w:pPr>
                  <w:r>
                    <w:rPr>
                      <w:color w:val="auto"/>
                      <w:kern w:val="0"/>
                      <w:sz w:val="15"/>
                      <w:szCs w:val="15"/>
                      <w:highlight w:val="none"/>
                      <w:lang w:bidi="ar"/>
                    </w:rPr>
                    <w:t>51</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1E85F">
                  <w:pPr>
                    <w:widowControl/>
                    <w:jc w:val="center"/>
                    <w:textAlignment w:val="center"/>
                    <w:rPr>
                      <w:color w:val="auto"/>
                      <w:sz w:val="15"/>
                      <w:szCs w:val="15"/>
                      <w:highlight w:val="none"/>
                    </w:rPr>
                  </w:pPr>
                  <w:r>
                    <w:rPr>
                      <w:color w:val="auto"/>
                      <w:kern w:val="0"/>
                      <w:sz w:val="15"/>
                      <w:szCs w:val="15"/>
                      <w:highlight w:val="none"/>
                      <w:lang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2080">
                  <w:pPr>
                    <w:widowControl/>
                    <w:jc w:val="center"/>
                    <w:textAlignment w:val="center"/>
                    <w:rPr>
                      <w:color w:val="auto"/>
                      <w:sz w:val="15"/>
                      <w:szCs w:val="15"/>
                      <w:highlight w:val="none"/>
                    </w:rPr>
                  </w:pPr>
                  <w:r>
                    <w:rPr>
                      <w:color w:val="auto"/>
                      <w:kern w:val="0"/>
                      <w:sz w:val="15"/>
                      <w:szCs w:val="15"/>
                      <w:highlight w:val="none"/>
                      <w:lang w:bidi="ar"/>
                    </w:rPr>
                    <w:t>/</w:t>
                  </w:r>
                </w:p>
              </w:tc>
            </w:tr>
            <w:tr w14:paraId="436DE633">
              <w:tblPrEx>
                <w:tblCellMar>
                  <w:top w:w="0" w:type="dxa"/>
                  <w:left w:w="108" w:type="dxa"/>
                  <w:bottom w:w="0" w:type="dxa"/>
                  <w:right w:w="108" w:type="dxa"/>
                </w:tblCellMar>
              </w:tblPrEx>
              <w:trPr>
                <w:trHeight w:val="315" w:hRule="atLeast"/>
              </w:trPr>
              <w:tc>
                <w:tcPr>
                  <w:tcW w:w="16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E3960A">
                  <w:pPr>
                    <w:widowControl/>
                    <w:jc w:val="center"/>
                    <w:textAlignment w:val="center"/>
                    <w:rPr>
                      <w:color w:val="auto"/>
                      <w:sz w:val="15"/>
                      <w:szCs w:val="15"/>
                      <w:highlight w:val="none"/>
                    </w:rPr>
                  </w:pPr>
                  <w:r>
                    <w:rPr>
                      <w:color w:val="auto"/>
                      <w:kern w:val="0"/>
                      <w:sz w:val="15"/>
                      <w:szCs w:val="15"/>
                      <w:highlight w:val="none"/>
                      <w:lang w:bidi="ar"/>
                    </w:rPr>
                    <w:t>合计</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497D">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15.339</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D2E40">
                  <w:pPr>
                    <w:widowControl/>
                    <w:jc w:val="center"/>
                    <w:textAlignment w:val="center"/>
                    <w:rPr>
                      <w:rFonts w:hint="default" w:eastAsia="宋体"/>
                      <w:color w:val="auto"/>
                      <w:kern w:val="0"/>
                      <w:sz w:val="15"/>
                      <w:szCs w:val="15"/>
                      <w:highlight w:val="none"/>
                      <w:lang w:val="en-US" w:eastAsia="zh-CN" w:bidi="ar"/>
                    </w:rPr>
                  </w:pPr>
                  <w:r>
                    <w:rPr>
                      <w:rFonts w:hint="eastAsia"/>
                      <w:color w:val="auto"/>
                      <w:kern w:val="0"/>
                      <w:sz w:val="15"/>
                      <w:szCs w:val="15"/>
                      <w:highlight w:val="none"/>
                      <w:lang w:val="en-US" w:eastAsia="zh-CN" w:bidi="ar"/>
                    </w:rPr>
                    <w:t>1476.834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3CCE">
                  <w:pPr>
                    <w:widowControl/>
                    <w:jc w:val="center"/>
                    <w:textAlignment w:val="center"/>
                    <w:rPr>
                      <w:color w:val="auto"/>
                      <w:sz w:val="15"/>
                      <w:szCs w:val="15"/>
                      <w:highlight w:val="none"/>
                    </w:rPr>
                  </w:pPr>
                  <w:r>
                    <w:rPr>
                      <w:color w:val="auto"/>
                      <w:kern w:val="0"/>
                      <w:sz w:val="15"/>
                      <w:szCs w:val="15"/>
                      <w:highlight w:val="none"/>
                      <w:lang w:bidi="ar"/>
                    </w:rPr>
                    <w:t>12.442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01AC">
                  <w:pPr>
                    <w:widowControl/>
                    <w:jc w:val="center"/>
                    <w:textAlignment w:val="center"/>
                    <w:rPr>
                      <w:color w:val="auto"/>
                      <w:sz w:val="15"/>
                      <w:szCs w:val="15"/>
                      <w:highlight w:val="none"/>
                    </w:rPr>
                  </w:pPr>
                  <w:r>
                    <w:rPr>
                      <w:color w:val="auto"/>
                      <w:kern w:val="0"/>
                      <w:sz w:val="15"/>
                      <w:szCs w:val="15"/>
                      <w:highlight w:val="none"/>
                      <w:lang w:bidi="ar"/>
                    </w:rPr>
                    <w:t>1391.994</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2562">
                  <w:pPr>
                    <w:widowControl/>
                    <w:jc w:val="center"/>
                    <w:textAlignment w:val="center"/>
                    <w:rPr>
                      <w:color w:val="auto"/>
                      <w:sz w:val="15"/>
                      <w:szCs w:val="15"/>
                      <w:highlight w:val="none"/>
                    </w:rPr>
                  </w:pPr>
                  <w:r>
                    <w:rPr>
                      <w:color w:val="auto"/>
                      <w:kern w:val="0"/>
                      <w:sz w:val="15"/>
                      <w:szCs w:val="15"/>
                      <w:highlight w:val="none"/>
                      <w:lang w:bidi="ar"/>
                    </w:rPr>
                    <w:t>2.957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263A">
                  <w:pPr>
                    <w:widowControl/>
                    <w:jc w:val="center"/>
                    <w:textAlignment w:val="center"/>
                    <w:rPr>
                      <w:color w:val="auto"/>
                      <w:sz w:val="15"/>
                      <w:szCs w:val="15"/>
                      <w:highlight w:val="none"/>
                    </w:rPr>
                  </w:pPr>
                  <w:r>
                    <w:rPr>
                      <w:color w:val="auto"/>
                      <w:kern w:val="0"/>
                      <w:sz w:val="15"/>
                      <w:szCs w:val="15"/>
                      <w:highlight w:val="none"/>
                      <w:lang w:bidi="ar"/>
                    </w:rPr>
                    <w:t>354.84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442B">
                  <w:pPr>
                    <w:widowControl/>
                    <w:jc w:val="center"/>
                    <w:textAlignment w:val="center"/>
                    <w:rPr>
                      <w:color w:val="auto"/>
                      <w:sz w:val="15"/>
                      <w:szCs w:val="15"/>
                      <w:highlight w:val="none"/>
                    </w:rPr>
                  </w:pPr>
                  <w:r>
                    <w:rPr>
                      <w:color w:val="auto"/>
                      <w:kern w:val="0"/>
                      <w:sz w:val="15"/>
                      <w:szCs w:val="15"/>
                      <w:highlight w:val="none"/>
                      <w:lang w:bidi="ar"/>
                    </w:rPr>
                    <w:t>13.061</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EFD6">
                  <w:pPr>
                    <w:widowControl/>
                    <w:jc w:val="right"/>
                    <w:textAlignment w:val="center"/>
                    <w:rPr>
                      <w:color w:val="auto"/>
                      <w:sz w:val="15"/>
                      <w:szCs w:val="15"/>
                      <w:highlight w:val="none"/>
                    </w:rPr>
                  </w:pPr>
                  <w:r>
                    <w:rPr>
                      <w:color w:val="auto"/>
                      <w:kern w:val="0"/>
                      <w:sz w:val="15"/>
                      <w:szCs w:val="15"/>
                      <w:highlight w:val="none"/>
                      <w:lang w:bidi="ar"/>
                    </w:rPr>
                    <w:t>1476.377</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EC06">
                  <w:pPr>
                    <w:widowControl/>
                    <w:jc w:val="center"/>
                    <w:textAlignment w:val="center"/>
                    <w:rPr>
                      <w:color w:val="auto"/>
                      <w:sz w:val="15"/>
                      <w:szCs w:val="15"/>
                      <w:highlight w:val="none"/>
                    </w:rPr>
                  </w:pPr>
                  <w:r>
                    <w:rPr>
                      <w:color w:val="auto"/>
                      <w:kern w:val="0"/>
                      <w:sz w:val="15"/>
                      <w:szCs w:val="15"/>
                      <w:highlight w:val="none"/>
                      <w:lang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4EAF">
                  <w:pPr>
                    <w:widowControl/>
                    <w:jc w:val="center"/>
                    <w:textAlignment w:val="center"/>
                    <w:rPr>
                      <w:color w:val="auto"/>
                      <w:sz w:val="15"/>
                      <w:szCs w:val="15"/>
                      <w:highlight w:val="none"/>
                    </w:rPr>
                  </w:pPr>
                  <w:r>
                    <w:rPr>
                      <w:color w:val="auto"/>
                      <w:kern w:val="0"/>
                      <w:sz w:val="15"/>
                      <w:szCs w:val="15"/>
                      <w:highlight w:val="none"/>
                      <w:lang w:bidi="ar"/>
                    </w:rPr>
                    <w:t>/</w:t>
                  </w:r>
                </w:p>
              </w:tc>
            </w:tr>
          </w:tbl>
          <w:p w14:paraId="088FB726">
            <w:pPr>
              <w:adjustRightInd w:val="0"/>
              <w:snapToGrid w:val="0"/>
              <w:jc w:val="center"/>
              <w:rPr>
                <w:b/>
                <w:color w:val="auto"/>
                <w:sz w:val="24"/>
                <w:highlight w:val="none"/>
              </w:rPr>
            </w:pPr>
          </w:p>
          <w:p w14:paraId="7934E6D3">
            <w:pPr>
              <w:adjustRightInd w:val="0"/>
              <w:snapToGrid w:val="0"/>
              <w:spacing w:line="460" w:lineRule="exact"/>
              <w:ind w:left="479" w:leftChars="228"/>
              <w:rPr>
                <w:color w:val="auto"/>
                <w:sz w:val="24"/>
                <w:highlight w:val="none"/>
              </w:rPr>
            </w:pPr>
            <w:r>
              <w:rPr>
                <w:color w:val="auto"/>
                <w:sz w:val="24"/>
                <w:highlight w:val="none"/>
              </w:rPr>
              <w:t>本项目全厂水平衡图见图2.9-1。</w:t>
            </w:r>
          </w:p>
          <w:p w14:paraId="4FCC44B9">
            <w:pPr>
              <w:pStyle w:val="3"/>
              <w:rPr>
                <w:color w:val="auto"/>
                <w:sz w:val="24"/>
                <w:highlight w:val="none"/>
              </w:rPr>
            </w:pPr>
          </w:p>
          <w:p w14:paraId="130B0653">
            <w:pPr>
              <w:rPr>
                <w:color w:val="auto"/>
                <w:sz w:val="24"/>
                <w:highlight w:val="none"/>
              </w:rPr>
            </w:pPr>
          </w:p>
          <w:p w14:paraId="13FD4447">
            <w:pPr>
              <w:pStyle w:val="3"/>
              <w:rPr>
                <w:color w:val="auto"/>
                <w:sz w:val="24"/>
                <w:highlight w:val="none"/>
              </w:rPr>
            </w:pPr>
          </w:p>
          <w:p w14:paraId="7B493208">
            <w:pPr>
              <w:rPr>
                <w:color w:val="auto"/>
                <w:sz w:val="24"/>
                <w:highlight w:val="none"/>
              </w:rPr>
            </w:pPr>
          </w:p>
          <w:p w14:paraId="2F4DCD05">
            <w:pPr>
              <w:pStyle w:val="3"/>
              <w:rPr>
                <w:color w:val="auto"/>
                <w:sz w:val="24"/>
                <w:highlight w:val="none"/>
              </w:rPr>
            </w:pPr>
          </w:p>
          <w:p w14:paraId="106FCDBB">
            <w:pPr>
              <w:rPr>
                <w:color w:val="auto"/>
                <w:sz w:val="24"/>
                <w:highlight w:val="none"/>
              </w:rPr>
            </w:pPr>
          </w:p>
          <w:p w14:paraId="7DD7D3C8">
            <w:pPr>
              <w:pStyle w:val="3"/>
              <w:rPr>
                <w:color w:val="auto"/>
                <w:sz w:val="24"/>
                <w:highlight w:val="none"/>
              </w:rPr>
            </w:pPr>
          </w:p>
          <w:p w14:paraId="7D5426A3">
            <w:pPr>
              <w:rPr>
                <w:color w:val="auto"/>
                <w:sz w:val="24"/>
                <w:highlight w:val="none"/>
              </w:rPr>
            </w:pPr>
          </w:p>
          <w:p w14:paraId="3C88869A">
            <w:pPr>
              <w:pStyle w:val="3"/>
              <w:rPr>
                <w:color w:val="auto"/>
                <w:sz w:val="24"/>
                <w:highlight w:val="none"/>
              </w:rPr>
            </w:pPr>
          </w:p>
          <w:p w14:paraId="735EDF15">
            <w:pPr>
              <w:rPr>
                <w:color w:val="auto"/>
                <w:sz w:val="24"/>
                <w:highlight w:val="none"/>
              </w:rPr>
            </w:pPr>
          </w:p>
          <w:p w14:paraId="5AEED0C8">
            <w:pPr>
              <w:pStyle w:val="3"/>
              <w:rPr>
                <w:color w:val="auto"/>
                <w:sz w:val="24"/>
                <w:highlight w:val="none"/>
              </w:rPr>
            </w:pPr>
          </w:p>
          <w:p w14:paraId="458E66F7">
            <w:pPr>
              <w:rPr>
                <w:color w:val="auto"/>
                <w:sz w:val="24"/>
                <w:highlight w:val="none"/>
              </w:rPr>
            </w:pPr>
          </w:p>
          <w:p w14:paraId="34D056F4">
            <w:pPr>
              <w:pStyle w:val="3"/>
              <w:rPr>
                <w:color w:val="auto"/>
                <w:highlight w:val="none"/>
              </w:rPr>
            </w:pPr>
          </w:p>
          <w:p w14:paraId="0B9F9ECA">
            <w:pPr>
              <w:adjustRightInd w:val="0"/>
              <w:snapToGrid w:val="0"/>
              <w:rPr>
                <w:color w:val="auto"/>
                <w:sz w:val="24"/>
                <w:highlight w:val="none"/>
              </w:rPr>
            </w:pPr>
          </w:p>
          <w:p w14:paraId="770A70EE">
            <w:pPr>
              <w:adjustRightInd w:val="0"/>
              <w:snapToGrid w:val="0"/>
              <w:rPr>
                <w:color w:val="auto"/>
                <w:sz w:val="24"/>
                <w:highlight w:val="none"/>
              </w:rPr>
            </w:pPr>
            <w:r>
              <w:rPr>
                <w:color w:val="auto"/>
                <w:sz w:val="24"/>
                <w:highlight w:val="none"/>
              </w:rPr>
              <w:drawing>
                <wp:inline distT="0" distB="0" distL="114300" distR="114300">
                  <wp:extent cx="5547360" cy="7572375"/>
                  <wp:effectExtent l="0" t="0" r="0" b="0"/>
                  <wp:docPr id="31" name="图片 31" descr="水平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水平衡(1)"/>
                          <pic:cNvPicPr>
                            <a:picLocks noChangeAspect="1"/>
                          </pic:cNvPicPr>
                        </pic:nvPicPr>
                        <pic:blipFill>
                          <a:blip r:embed="rId9"/>
                          <a:stretch>
                            <a:fillRect/>
                          </a:stretch>
                        </pic:blipFill>
                        <pic:spPr>
                          <a:xfrm>
                            <a:off x="0" y="0"/>
                            <a:ext cx="5547360" cy="7572375"/>
                          </a:xfrm>
                          <a:prstGeom prst="rect">
                            <a:avLst/>
                          </a:prstGeom>
                        </pic:spPr>
                      </pic:pic>
                    </a:graphicData>
                  </a:graphic>
                </wp:inline>
              </w:drawing>
            </w:r>
          </w:p>
          <w:p w14:paraId="0681D35C">
            <w:pPr>
              <w:adjustRightInd w:val="0"/>
              <w:snapToGrid w:val="0"/>
              <w:spacing w:line="460" w:lineRule="exact"/>
              <w:jc w:val="center"/>
              <w:rPr>
                <w:b/>
                <w:bCs/>
                <w:color w:val="auto"/>
                <w:sz w:val="24"/>
                <w:highlight w:val="none"/>
              </w:rPr>
            </w:pPr>
            <w:r>
              <w:rPr>
                <w:b/>
                <w:bCs/>
                <w:color w:val="auto"/>
                <w:sz w:val="24"/>
                <w:szCs w:val="21"/>
                <w:highlight w:val="none"/>
              </w:rPr>
              <w:t xml:space="preserve">图2.9-1 </w:t>
            </w:r>
            <w:r>
              <w:rPr>
                <w:b/>
                <w:bCs/>
                <w:color w:val="auto"/>
                <w:sz w:val="24"/>
                <w:highlight w:val="none"/>
              </w:rPr>
              <w:t>本项目水平衡图   单位：m</w:t>
            </w:r>
            <w:r>
              <w:rPr>
                <w:b/>
                <w:bCs/>
                <w:color w:val="auto"/>
                <w:sz w:val="24"/>
                <w:highlight w:val="none"/>
                <w:vertAlign w:val="superscript"/>
              </w:rPr>
              <w:t>3</w:t>
            </w:r>
            <w:r>
              <w:rPr>
                <w:b/>
                <w:bCs/>
                <w:color w:val="auto"/>
                <w:sz w:val="24"/>
                <w:highlight w:val="none"/>
              </w:rPr>
              <w:t>/d</w:t>
            </w:r>
          </w:p>
          <w:p w14:paraId="34AB92B0">
            <w:pPr>
              <w:adjustRightInd w:val="0"/>
              <w:snapToGrid w:val="0"/>
              <w:spacing w:line="460" w:lineRule="exact"/>
              <w:rPr>
                <w:b/>
                <w:bCs/>
                <w:color w:val="auto"/>
                <w:sz w:val="24"/>
                <w:szCs w:val="21"/>
                <w:highlight w:val="none"/>
              </w:rPr>
            </w:pPr>
            <w:r>
              <w:rPr>
                <w:b/>
                <w:bCs/>
                <w:color w:val="auto"/>
                <w:sz w:val="24"/>
                <w:szCs w:val="21"/>
                <w:highlight w:val="none"/>
              </w:rPr>
              <w:t>2.10物料平衡</w:t>
            </w:r>
          </w:p>
          <w:p w14:paraId="75D1926E">
            <w:pPr>
              <w:adjustRightInd w:val="0"/>
              <w:snapToGrid w:val="0"/>
              <w:spacing w:line="460" w:lineRule="exact"/>
              <w:ind w:firstLine="480" w:firstLineChars="200"/>
              <w:rPr>
                <w:bCs/>
                <w:color w:val="auto"/>
                <w:sz w:val="24"/>
                <w:highlight w:val="none"/>
              </w:rPr>
            </w:pPr>
            <w:r>
              <w:rPr>
                <w:bCs/>
                <w:color w:val="auto"/>
                <w:sz w:val="24"/>
                <w:highlight w:val="none"/>
              </w:rPr>
              <w:drawing>
                <wp:anchor distT="0" distB="0" distL="114300" distR="114300" simplePos="0" relativeHeight="251682816" behindDoc="0" locked="0" layoutInCell="1" allowOverlap="1">
                  <wp:simplePos x="0" y="0"/>
                  <wp:positionH relativeFrom="column">
                    <wp:posOffset>118745</wp:posOffset>
                  </wp:positionH>
                  <wp:positionV relativeFrom="paragraph">
                    <wp:posOffset>584200</wp:posOffset>
                  </wp:positionV>
                  <wp:extent cx="5165090" cy="7284085"/>
                  <wp:effectExtent l="0" t="0" r="0" b="0"/>
                  <wp:wrapTopAndBottom/>
                  <wp:docPr id="22" name="图片 22" descr="微信图片_2024090413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40904133035"/>
                          <pic:cNvPicPr>
                            <a:picLocks noChangeAspect="1"/>
                          </pic:cNvPicPr>
                        </pic:nvPicPr>
                        <pic:blipFill>
                          <a:blip r:embed="rId10"/>
                          <a:stretch>
                            <a:fillRect/>
                          </a:stretch>
                        </pic:blipFill>
                        <pic:spPr>
                          <a:xfrm>
                            <a:off x="0" y="0"/>
                            <a:ext cx="5165090" cy="7284085"/>
                          </a:xfrm>
                          <a:prstGeom prst="rect">
                            <a:avLst/>
                          </a:prstGeom>
                        </pic:spPr>
                      </pic:pic>
                    </a:graphicData>
                  </a:graphic>
                </wp:anchor>
              </w:drawing>
            </w:r>
            <w:r>
              <w:rPr>
                <w:bCs/>
                <w:color w:val="auto"/>
                <w:sz w:val="24"/>
                <w:highlight w:val="none"/>
              </w:rPr>
              <w:t>本项目采用鲜葛根湿法生产葛根粉，年用新鲜葛根600t/a，产品90t/a，产品得率15%。葛根粉生产物料平衡具体见图2.10-1</w:t>
            </w:r>
            <w:r>
              <w:rPr>
                <w:rFonts w:hint="eastAsia"/>
                <w:bCs/>
                <w:color w:val="auto"/>
                <w:sz w:val="24"/>
                <w:highlight w:val="none"/>
                <w:lang w:eastAsia="zh-CN"/>
              </w:rPr>
              <w:t>、</w:t>
            </w:r>
            <w:r>
              <w:rPr>
                <w:rFonts w:hint="eastAsia"/>
                <w:bCs/>
                <w:color w:val="auto"/>
                <w:sz w:val="24"/>
                <w:highlight w:val="none"/>
                <w:lang w:val="en-US" w:eastAsia="zh-CN"/>
              </w:rPr>
              <w:t>图2.10-2</w:t>
            </w:r>
            <w:r>
              <w:rPr>
                <w:bCs/>
                <w:color w:val="auto"/>
                <w:sz w:val="24"/>
                <w:highlight w:val="none"/>
              </w:rPr>
              <w:t>。</w:t>
            </w:r>
          </w:p>
          <w:p w14:paraId="397BA8CF">
            <w:pPr>
              <w:adjustRightInd w:val="0"/>
              <w:snapToGrid w:val="0"/>
              <w:rPr>
                <w:bCs/>
                <w:color w:val="auto"/>
                <w:sz w:val="24"/>
                <w:highlight w:val="none"/>
              </w:rPr>
            </w:pPr>
          </w:p>
          <w:p w14:paraId="4885DDB8">
            <w:pPr>
              <w:adjustRightInd w:val="0"/>
              <w:snapToGrid w:val="0"/>
              <w:spacing w:line="460" w:lineRule="exact"/>
              <w:jc w:val="center"/>
              <w:rPr>
                <w:color w:val="auto"/>
                <w:highlight w:val="none"/>
              </w:rPr>
            </w:pPr>
            <w:r>
              <w:rPr>
                <w:b/>
                <w:color w:val="auto"/>
                <w:sz w:val="24"/>
                <w:highlight w:val="none"/>
              </w:rPr>
              <w:t>图2.10-1 本项目物料平衡一览表    单位：</w:t>
            </w:r>
            <w:r>
              <w:rPr>
                <w:color w:val="auto"/>
                <w:sz w:val="24"/>
                <w:highlight w:val="none"/>
              </w:rPr>
              <w:t>t/d</w:t>
            </w:r>
          </w:p>
          <w:p w14:paraId="165C389B">
            <w:pPr>
              <w:rPr>
                <w:rFonts w:hint="eastAsia" w:eastAsia="宋体"/>
                <w:b/>
                <w:color w:val="auto"/>
                <w:sz w:val="24"/>
                <w:highlight w:val="none"/>
                <w:lang w:eastAsia="zh-CN"/>
              </w:rPr>
            </w:pPr>
            <w:r>
              <w:rPr>
                <w:b/>
                <w:color w:val="auto"/>
                <w:sz w:val="24"/>
                <w:highlight w:val="none"/>
              </w:rPr>
              <w:drawing>
                <wp:anchor distT="0" distB="0" distL="114300" distR="114300" simplePos="0" relativeHeight="251681792" behindDoc="0" locked="0" layoutInCell="1" allowOverlap="1">
                  <wp:simplePos x="0" y="0"/>
                  <wp:positionH relativeFrom="column">
                    <wp:posOffset>116205</wp:posOffset>
                  </wp:positionH>
                  <wp:positionV relativeFrom="paragraph">
                    <wp:posOffset>-12700</wp:posOffset>
                  </wp:positionV>
                  <wp:extent cx="5227955" cy="7924800"/>
                  <wp:effectExtent l="0" t="0" r="0" b="0"/>
                  <wp:wrapTopAndBottom/>
                  <wp:docPr id="29" name="图片 29" descr="物料平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物料平衡1"/>
                          <pic:cNvPicPr>
                            <a:picLocks noChangeAspect="1"/>
                          </pic:cNvPicPr>
                        </pic:nvPicPr>
                        <pic:blipFill>
                          <a:blip r:embed="rId11"/>
                          <a:stretch>
                            <a:fillRect/>
                          </a:stretch>
                        </pic:blipFill>
                        <pic:spPr>
                          <a:xfrm>
                            <a:off x="0" y="0"/>
                            <a:ext cx="5227955" cy="7924800"/>
                          </a:xfrm>
                          <a:prstGeom prst="rect">
                            <a:avLst/>
                          </a:prstGeom>
                        </pic:spPr>
                      </pic:pic>
                    </a:graphicData>
                  </a:graphic>
                </wp:anchor>
              </w:drawing>
            </w:r>
          </w:p>
          <w:p w14:paraId="590D43D9">
            <w:pPr>
              <w:adjustRightInd w:val="0"/>
              <w:snapToGrid w:val="0"/>
              <w:spacing w:line="240" w:lineRule="auto"/>
              <w:jc w:val="center"/>
              <w:rPr>
                <w:rFonts w:hint="eastAsia" w:eastAsia="宋体"/>
                <w:b/>
                <w:color w:val="auto"/>
                <w:sz w:val="24"/>
                <w:highlight w:val="none"/>
                <w:lang w:eastAsia="zh-CN"/>
              </w:rPr>
            </w:pPr>
            <w:r>
              <w:rPr>
                <w:b/>
                <w:color w:val="auto"/>
                <w:sz w:val="24"/>
                <w:highlight w:val="none"/>
              </w:rPr>
              <w:t>图2.10-</w:t>
            </w:r>
            <w:r>
              <w:rPr>
                <w:rFonts w:hint="eastAsia"/>
                <w:b/>
                <w:color w:val="auto"/>
                <w:sz w:val="24"/>
                <w:highlight w:val="none"/>
                <w:lang w:val="en-US" w:eastAsia="zh-CN"/>
              </w:rPr>
              <w:t>2</w:t>
            </w:r>
            <w:r>
              <w:rPr>
                <w:b/>
                <w:color w:val="auto"/>
                <w:sz w:val="24"/>
                <w:highlight w:val="none"/>
              </w:rPr>
              <w:t xml:space="preserve"> 本项目物料平衡一览表    单位：</w:t>
            </w:r>
            <w:r>
              <w:rPr>
                <w:rFonts w:hint="eastAsia"/>
                <w:b/>
                <w:color w:val="auto"/>
                <w:sz w:val="24"/>
                <w:highlight w:val="none"/>
                <w:lang w:val="en-US" w:eastAsia="zh-CN"/>
              </w:rPr>
              <w:t>t</w:t>
            </w:r>
            <w:r>
              <w:rPr>
                <w:color w:val="auto"/>
                <w:sz w:val="24"/>
                <w:highlight w:val="none"/>
              </w:rPr>
              <w:t>/</w:t>
            </w:r>
            <w:r>
              <w:rPr>
                <w:rFonts w:hint="eastAsia"/>
                <w:color w:val="auto"/>
                <w:sz w:val="24"/>
                <w:highlight w:val="none"/>
                <w:lang w:val="en-US" w:eastAsia="zh-CN"/>
              </w:rPr>
              <w:t>a</w:t>
            </w:r>
          </w:p>
          <w:p w14:paraId="16EA45B2">
            <w:pPr>
              <w:pStyle w:val="3"/>
              <w:rPr>
                <w:color w:val="auto"/>
                <w:highlight w:val="none"/>
              </w:rPr>
            </w:pPr>
          </w:p>
        </w:tc>
      </w:tr>
      <w:tr w14:paraId="07F0CBDF">
        <w:tblPrEx>
          <w:tblBorders>
            <w:top w:val="none" w:color="auto" w:sz="0" w:space="0"/>
            <w:left w:val="single" w:color="auto" w:sz="8" w:space="0"/>
            <w:bottom w:val="single" w:color="auto" w:sz="8" w:space="0"/>
            <w:right w:val="single" w:color="auto" w:sz="8" w:space="0"/>
            <w:insideH w:val="none" w:color="auto" w:sz="0" w:space="0"/>
            <w:insideV w:val="single" w:color="auto" w:sz="4" w:space="0"/>
          </w:tblBorders>
          <w:tblCellMar>
            <w:top w:w="0" w:type="dxa"/>
            <w:left w:w="108" w:type="dxa"/>
            <w:bottom w:w="0" w:type="dxa"/>
            <w:right w:w="108" w:type="dxa"/>
          </w:tblCellMar>
        </w:tblPrEx>
        <w:trPr>
          <w:trHeight w:val="90" w:hRule="atLeast"/>
          <w:jc w:val="center"/>
        </w:trPr>
        <w:tc>
          <w:tcPr>
            <w:tcW w:w="379" w:type="dxa"/>
            <w:tcBorders>
              <w:top w:val="single" w:color="auto" w:sz="8" w:space="0"/>
              <w:bottom w:val="single" w:color="auto" w:sz="6" w:space="0"/>
              <w:tl2br w:val="nil"/>
              <w:tr2bl w:val="nil"/>
            </w:tcBorders>
            <w:vAlign w:val="center"/>
          </w:tcPr>
          <w:p w14:paraId="6C0B94D6">
            <w:pPr>
              <w:pStyle w:val="15"/>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 xml:space="preserve">                                            工艺流程和产排污环节</w:t>
            </w:r>
          </w:p>
        </w:tc>
        <w:tc>
          <w:tcPr>
            <w:tcW w:w="8649" w:type="dxa"/>
            <w:tcBorders>
              <w:top w:val="single" w:color="auto" w:sz="8" w:space="0"/>
              <w:bottom w:val="single" w:color="auto" w:sz="6" w:space="0"/>
              <w:tl2br w:val="nil"/>
              <w:tr2bl w:val="nil"/>
            </w:tcBorders>
          </w:tcPr>
          <w:p w14:paraId="0837CAEA">
            <w:pPr>
              <w:adjustRightInd w:val="0"/>
              <w:snapToGrid w:val="0"/>
              <w:spacing w:line="460" w:lineRule="exact"/>
              <w:rPr>
                <w:b/>
                <w:color w:val="auto"/>
                <w:sz w:val="24"/>
                <w:highlight w:val="none"/>
              </w:rPr>
            </w:pPr>
            <w:r>
              <w:rPr>
                <w:b/>
                <w:color w:val="auto"/>
                <w:sz w:val="24"/>
                <w:highlight w:val="none"/>
              </w:rPr>
              <w:t>2.11施工期工艺流程及产污环节</w:t>
            </w:r>
          </w:p>
          <w:p w14:paraId="7FF155C4">
            <w:pPr>
              <w:pStyle w:val="6"/>
              <w:spacing w:line="460" w:lineRule="exact"/>
              <w:ind w:firstLine="480" w:firstLineChars="200"/>
              <w:rPr>
                <w:bCs/>
                <w:color w:val="auto"/>
                <w:sz w:val="24"/>
                <w:szCs w:val="24"/>
                <w:highlight w:val="none"/>
              </w:rPr>
            </w:pPr>
            <w:r>
              <w:rPr>
                <w:bCs/>
                <w:color w:val="auto"/>
                <w:sz w:val="24"/>
                <w:szCs w:val="24"/>
                <w:highlight w:val="none"/>
              </w:rPr>
              <w:t>本项目租用</w:t>
            </w:r>
            <w:r>
              <w:rPr>
                <w:rFonts w:hint="eastAsia"/>
                <w:bCs/>
                <w:color w:val="auto"/>
                <w:sz w:val="24"/>
                <w:szCs w:val="24"/>
                <w:highlight w:val="none"/>
              </w:rPr>
              <w:t>厨鼎食品公司</w:t>
            </w:r>
            <w:r>
              <w:rPr>
                <w:color w:val="auto"/>
                <w:sz w:val="24"/>
                <w:szCs w:val="24"/>
                <w:highlight w:val="none"/>
              </w:rPr>
              <w:t>厂区</w:t>
            </w:r>
            <w:r>
              <w:rPr>
                <w:bCs/>
                <w:color w:val="auto"/>
                <w:sz w:val="24"/>
                <w:szCs w:val="24"/>
                <w:highlight w:val="none"/>
              </w:rPr>
              <w:t>已建成的厂房进行建设，无新增建筑物，仅进行对设备的安装和室内装修。产污环节为设备安装时产生的少量噪声、施工废水、建筑垃圾及工作人员的生活垃圾和生活污水。其对环境的不利影响是短暂的，将随着施工期的结束而消失。</w:t>
            </w:r>
          </w:p>
          <w:p w14:paraId="6C78214D">
            <w:pPr>
              <w:pStyle w:val="6"/>
              <w:spacing w:line="460" w:lineRule="exact"/>
              <w:ind w:firstLine="480" w:firstLineChars="200"/>
              <w:rPr>
                <w:bCs/>
                <w:color w:val="auto"/>
                <w:sz w:val="24"/>
                <w:szCs w:val="24"/>
                <w:highlight w:val="none"/>
              </w:rPr>
            </w:pPr>
            <w:r>
              <w:rPr>
                <w:bCs/>
                <w:color w:val="auto"/>
                <w:sz w:val="24"/>
                <w:szCs w:val="24"/>
                <w:highlight w:val="none"/>
              </w:rPr>
              <w:t>施工期各阶段产污环节见图2.10-1。</w:t>
            </w:r>
          </w:p>
          <w:p w14:paraId="1685A4AC">
            <w:pPr>
              <w:rPr>
                <w:color w:val="auto"/>
                <w:highlight w:val="none"/>
              </w:rPr>
            </w:pPr>
          </w:p>
          <w:p w14:paraId="78DE4D5E">
            <w:pPr>
              <w:pStyle w:val="6"/>
              <w:spacing w:line="460" w:lineRule="exact"/>
              <w:rPr>
                <w:bCs/>
                <w:color w:val="auto"/>
                <w:sz w:val="24"/>
                <w:szCs w:val="24"/>
                <w:highlight w:val="none"/>
              </w:rPr>
            </w:pPr>
            <w:r>
              <w:rPr>
                <w:color w:val="auto"/>
                <w:sz w:val="24"/>
                <w:highlight w:val="none"/>
              </w:rPr>
              <mc:AlternateContent>
                <mc:Choice Requires="wps">
                  <w:drawing>
                    <wp:anchor distT="0" distB="0" distL="114300" distR="114300" simplePos="0" relativeHeight="251676672" behindDoc="0" locked="0" layoutInCell="1" allowOverlap="1">
                      <wp:simplePos x="0" y="0"/>
                      <wp:positionH relativeFrom="column">
                        <wp:posOffset>4033520</wp:posOffset>
                      </wp:positionH>
                      <wp:positionV relativeFrom="paragraph">
                        <wp:posOffset>300355</wp:posOffset>
                      </wp:positionV>
                      <wp:extent cx="9525" cy="564515"/>
                      <wp:effectExtent l="29845" t="0" r="36830" b="14605"/>
                      <wp:wrapNone/>
                      <wp:docPr id="18" name="直线 20"/>
                      <wp:cNvGraphicFramePr/>
                      <a:graphic xmlns:a="http://schemas.openxmlformats.org/drawingml/2006/main">
                        <a:graphicData uri="http://schemas.microsoft.com/office/word/2010/wordprocessingShape">
                          <wps:wsp>
                            <wps:cNvCnPr/>
                            <wps:spPr>
                              <a:xfrm flipV="1">
                                <a:off x="0" y="0"/>
                                <a:ext cx="9525" cy="564515"/>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直线 20" o:spid="_x0000_s1026" o:spt="20" style="position:absolute;left:0pt;flip:y;margin-left:317.6pt;margin-top:23.65pt;height:44.45pt;width:0.75pt;z-index:251676672;mso-width-relative:page;mso-height-relative:page;" filled="f" stroked="t" coordsize="21600,21600" o:gfxdata="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xYGx&#10;1gAAAAoBAAAPAAAAAAAAAAEAIAAAACIAAABkcnMvZG93bnJldi54bWxQSwECFAAUAAAACACHTuJA&#10;599mluoBAADgAwAADgAAAAAAAAABACAAAAAlAQAAZHJzL2Uyb0RvYy54bWxQSwUGAAAAAAYABgBZ&#10;AQAAgQUAAAAA&#10;">
                      <v:fill on="f" focussize="0,0"/>
                      <v:stroke color="#000000" joinstyle="round" dashstyle="dash" endarrow="block"/>
                      <v:imagedata o:title=""/>
                      <o:lock v:ext="edit" aspectratio="f"/>
                    </v:line>
                  </w:pict>
                </mc:Fallback>
              </mc:AlternateContent>
            </w:r>
            <w:r>
              <w:rPr>
                <w:color w:val="auto"/>
                <w:sz w:val="24"/>
                <w:highlight w:val="none"/>
              </w:rPr>
              <mc:AlternateContent>
                <mc:Choice Requires="wps">
                  <w:drawing>
                    <wp:anchor distT="0" distB="0" distL="114300" distR="114300" simplePos="0" relativeHeight="251677696" behindDoc="0" locked="0" layoutInCell="1" allowOverlap="1">
                      <wp:simplePos x="0" y="0"/>
                      <wp:positionH relativeFrom="column">
                        <wp:posOffset>3794760</wp:posOffset>
                      </wp:positionH>
                      <wp:positionV relativeFrom="paragraph">
                        <wp:posOffset>84455</wp:posOffset>
                      </wp:positionV>
                      <wp:extent cx="491490" cy="237490"/>
                      <wp:effectExtent l="0" t="0" r="0" b="0"/>
                      <wp:wrapNone/>
                      <wp:docPr id="19" name="文本框 21"/>
                      <wp:cNvGraphicFramePr/>
                      <a:graphic xmlns:a="http://schemas.openxmlformats.org/drawingml/2006/main">
                        <a:graphicData uri="http://schemas.microsoft.com/office/word/2010/wordprocessingShape">
                          <wps:wsp>
                            <wps:cNvSpPr txBox="1"/>
                            <wps:spPr>
                              <a:xfrm>
                                <a:off x="0" y="0"/>
                                <a:ext cx="491490" cy="237490"/>
                              </a:xfrm>
                              <a:prstGeom prst="rect">
                                <a:avLst/>
                              </a:prstGeom>
                              <a:noFill/>
                              <a:ln>
                                <a:noFill/>
                              </a:ln>
                            </wps:spPr>
                            <wps:txbx>
                              <w:txbxContent>
                                <w:p w14:paraId="714646E5">
                                  <w:pPr>
                                    <w:jc w:val="center"/>
                                  </w:pPr>
                                  <w:r>
                                    <w:rPr>
                                      <w:rFonts w:hint="eastAsia"/>
                                    </w:rPr>
                                    <w:t>噪声</w:t>
                                  </w:r>
                                </w:p>
                              </w:txbxContent>
                            </wps:txbx>
                            <wps:bodyPr wrap="square" upright="1"/>
                          </wps:wsp>
                        </a:graphicData>
                      </a:graphic>
                    </wp:anchor>
                  </w:drawing>
                </mc:Choice>
                <mc:Fallback>
                  <w:pict>
                    <v:shape id="文本框 21" o:spid="_x0000_s1026" o:spt="202" type="#_x0000_t202" style="position:absolute;left:0pt;margin-left:298.8pt;margin-top:6.65pt;height:18.7pt;width:38.7pt;z-index:251677696;mso-width-relative:page;mso-height-relative:page;" filled="f" stroked="f" coordsize="21600,21600" o:gfxdata="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1NNqjWAAAACQEAAA8AAAAAAAAAAQAgAAAAIgAAAGRycy9kb3ducmV2LnhtbFBLAQIUABQAAAAI&#10;AIdO4kA1tL7itgEAAF0DAAAOAAAAAAAAAAEAIAAAACUBAABkcnMvZTJvRG9jLnhtbFBLBQYAAAAA&#10;BgAGAFkBAABNBQAAAAA=&#10;">
                      <v:fill on="f" focussize="0,0"/>
                      <v:stroke on="f"/>
                      <v:imagedata o:title=""/>
                      <o:lock v:ext="edit" aspectratio="f"/>
                      <v:textbox>
                        <w:txbxContent>
                          <w:p w14:paraId="714646E5">
                            <w:pPr>
                              <w:jc w:val="center"/>
                            </w:pPr>
                            <w:r>
                              <w:rPr>
                                <w:rFonts w:hint="eastAsia"/>
                              </w:rPr>
                              <w:t>噪声</w:t>
                            </w:r>
                          </w:p>
                        </w:txbxContent>
                      </v:textbox>
                    </v:shape>
                  </w:pict>
                </mc:Fallback>
              </mc:AlternateContent>
            </w:r>
            <w:r>
              <w:rPr>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2323465</wp:posOffset>
                      </wp:positionH>
                      <wp:positionV relativeFrom="paragraph">
                        <wp:posOffset>135255</wp:posOffset>
                      </wp:positionV>
                      <wp:extent cx="491490" cy="237490"/>
                      <wp:effectExtent l="0" t="0" r="0" b="0"/>
                      <wp:wrapNone/>
                      <wp:docPr id="15" name="文本框 16"/>
                      <wp:cNvGraphicFramePr/>
                      <a:graphic xmlns:a="http://schemas.openxmlformats.org/drawingml/2006/main">
                        <a:graphicData uri="http://schemas.microsoft.com/office/word/2010/wordprocessingShape">
                          <wps:wsp>
                            <wps:cNvSpPr txBox="1"/>
                            <wps:spPr>
                              <a:xfrm>
                                <a:off x="0" y="0"/>
                                <a:ext cx="491490" cy="237490"/>
                              </a:xfrm>
                              <a:prstGeom prst="rect">
                                <a:avLst/>
                              </a:prstGeom>
                              <a:noFill/>
                              <a:ln>
                                <a:noFill/>
                              </a:ln>
                            </wps:spPr>
                            <wps:txbx>
                              <w:txbxContent>
                                <w:p w14:paraId="3270DCA8">
                                  <w:r>
                                    <w:rPr>
                                      <w:rFonts w:hint="eastAsia"/>
                                    </w:rPr>
                                    <w:t>噪声</w:t>
                                  </w:r>
                                </w:p>
                              </w:txbxContent>
                            </wps:txbx>
                            <wps:bodyPr wrap="square" upright="1"/>
                          </wps:wsp>
                        </a:graphicData>
                      </a:graphic>
                    </wp:anchor>
                  </w:drawing>
                </mc:Choice>
                <mc:Fallback>
                  <w:pict>
                    <v:shape id="文本框 16" o:spid="_x0000_s1026" o:spt="202" type="#_x0000_t202" style="position:absolute;left:0pt;margin-left:182.95pt;margin-top:10.65pt;height:18.7pt;width:38.7pt;z-index:251673600;mso-width-relative:page;mso-height-relative:page;" filled="f" stroked="f" coordsize="21600,21600" o:gfxdata="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LgRJ1wAAAAkBAAAPAAAAAAAAAAEAIAAAACIAAABkcnMvZG93bnJldi54bWxQSwECFAAUAAAA&#10;CACHTuJA5M3kY7YBAABdAwAADgAAAAAAAAABACAAAAAmAQAAZHJzL2Uyb0RvYy54bWxQSwUGAAAA&#10;AAYABgBZAQAATgUAAAAA&#10;">
                      <v:fill on="f" focussize="0,0"/>
                      <v:stroke on="f"/>
                      <v:imagedata o:title=""/>
                      <o:lock v:ext="edit" aspectratio="f"/>
                      <v:textbox>
                        <w:txbxContent>
                          <w:p w14:paraId="3270DCA8">
                            <w:r>
                              <w:rPr>
                                <w:rFonts w:hint="eastAsia"/>
                              </w:rPr>
                              <w:t>噪声</w:t>
                            </w:r>
                          </w:p>
                        </w:txbxContent>
                      </v:textbox>
                    </v:shape>
                  </w:pict>
                </mc:Fallback>
              </mc:AlternateContent>
            </w:r>
            <w:r>
              <w:rPr>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1901825</wp:posOffset>
                      </wp:positionH>
                      <wp:positionV relativeFrom="paragraph">
                        <wp:posOffset>139700</wp:posOffset>
                      </wp:positionV>
                      <wp:extent cx="502285" cy="300355"/>
                      <wp:effectExtent l="0" t="0" r="0" b="0"/>
                      <wp:wrapNone/>
                      <wp:docPr id="14" name="文本框 15"/>
                      <wp:cNvGraphicFramePr/>
                      <a:graphic xmlns:a="http://schemas.openxmlformats.org/drawingml/2006/main">
                        <a:graphicData uri="http://schemas.microsoft.com/office/word/2010/wordprocessingShape">
                          <wps:wsp>
                            <wps:cNvSpPr txBox="1"/>
                            <wps:spPr>
                              <a:xfrm>
                                <a:off x="0" y="0"/>
                                <a:ext cx="502285" cy="300355"/>
                              </a:xfrm>
                              <a:prstGeom prst="rect">
                                <a:avLst/>
                              </a:prstGeom>
                              <a:noFill/>
                              <a:ln>
                                <a:noFill/>
                              </a:ln>
                            </wps:spPr>
                            <wps:txbx>
                              <w:txbxContent>
                                <w:p w14:paraId="6B0FD912">
                                  <w:r>
                                    <w:rPr>
                                      <w:rFonts w:hint="eastAsia"/>
                                    </w:rPr>
                                    <w:t>废气</w:t>
                                  </w:r>
                                </w:p>
                              </w:txbxContent>
                            </wps:txbx>
                            <wps:bodyPr wrap="square" upright="1"/>
                          </wps:wsp>
                        </a:graphicData>
                      </a:graphic>
                    </wp:anchor>
                  </w:drawing>
                </mc:Choice>
                <mc:Fallback>
                  <w:pict>
                    <v:shape id="文本框 15" o:spid="_x0000_s1026" o:spt="202" type="#_x0000_t202" style="position:absolute;left:0pt;margin-left:149.75pt;margin-top:11pt;height:23.65pt;width:39.55pt;z-index:251672576;mso-width-relative:page;mso-height-relative:page;" filled="f" stroked="f" coordsize="21600,21600" o:gfxdata="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UJlyNcAAAAJAQAADwAAAAAAAAABACAAAAAiAAAAZHJzL2Rvd25yZXYueG1sUEsBAhQAFAAA&#10;AAgAh07iQLl+c9S3AQAAXQMAAA4AAAAAAAAAAQAgAAAAJgEAAGRycy9lMm9Eb2MueG1sUEsFBgAA&#10;AAAGAAYAWQEAAE8FAAAAAA==&#10;">
                      <v:fill on="f" focussize="0,0"/>
                      <v:stroke on="f"/>
                      <v:imagedata o:title=""/>
                      <o:lock v:ext="edit" aspectratio="f"/>
                      <v:textbox>
                        <w:txbxContent>
                          <w:p w14:paraId="6B0FD912">
                            <w:r>
                              <w:rPr>
                                <w:rFonts w:hint="eastAsia"/>
                              </w:rPr>
                              <w:t>废气</w:t>
                            </w:r>
                          </w:p>
                        </w:txbxContent>
                      </v:textbox>
                    </v:shape>
                  </w:pict>
                </mc:Fallback>
              </mc:AlternateContent>
            </w:r>
            <w:r>
              <w:rPr>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716915</wp:posOffset>
                      </wp:positionH>
                      <wp:positionV relativeFrom="paragraph">
                        <wp:posOffset>163195</wp:posOffset>
                      </wp:positionV>
                      <wp:extent cx="474345" cy="255905"/>
                      <wp:effectExtent l="0" t="0" r="0" b="0"/>
                      <wp:wrapNone/>
                      <wp:docPr id="9" name="文本框 10"/>
                      <wp:cNvGraphicFramePr/>
                      <a:graphic xmlns:a="http://schemas.openxmlformats.org/drawingml/2006/main">
                        <a:graphicData uri="http://schemas.microsoft.com/office/word/2010/wordprocessingShape">
                          <wps:wsp>
                            <wps:cNvSpPr txBox="1"/>
                            <wps:spPr>
                              <a:xfrm>
                                <a:off x="0" y="0"/>
                                <a:ext cx="474345" cy="255905"/>
                              </a:xfrm>
                              <a:prstGeom prst="rect">
                                <a:avLst/>
                              </a:prstGeom>
                              <a:noFill/>
                              <a:ln>
                                <a:noFill/>
                              </a:ln>
                            </wps:spPr>
                            <wps:txbx>
                              <w:txbxContent>
                                <w:p w14:paraId="47C72C11">
                                  <w:r>
                                    <w:rPr>
                                      <w:rFonts w:hint="eastAsia"/>
                                    </w:rPr>
                                    <w:t>噪声</w:t>
                                  </w:r>
                                </w:p>
                              </w:txbxContent>
                            </wps:txbx>
                            <wps:bodyPr vert="horz" wrap="square" anchor="t" anchorCtr="0" upright="1"/>
                          </wps:wsp>
                        </a:graphicData>
                      </a:graphic>
                    </wp:anchor>
                  </w:drawing>
                </mc:Choice>
                <mc:Fallback>
                  <w:pict>
                    <v:shape id="文本框 10" o:spid="_x0000_s1026" o:spt="202" type="#_x0000_t202" style="position:absolute;left:0pt;margin-left:56.45pt;margin-top:12.85pt;height:20.15pt;width:37.35pt;z-index:251667456;mso-width-relative:page;mso-height-relative:page;" filled="f" stroked="f" coordsize="21600,21600" o:gfxdata="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a6DWAAAACQEAAA8AAAAAAAAAAQAgAAAAIgAAAGRycy9k&#10;b3ducmV2LnhtbFBLAQIUABQAAAAIAIdO4kAzOhnZywEAAIEDAAAOAAAAAAAAAAEAIAAAACUBAABk&#10;cnMvZTJvRG9jLnhtbFBLBQYAAAAABgAGAFkBAABiBQAAAAA=&#10;">
                      <v:fill on="f" focussize="0,0"/>
                      <v:stroke on="f"/>
                      <v:imagedata o:title=""/>
                      <o:lock v:ext="edit" aspectratio="f"/>
                      <v:textbox>
                        <w:txbxContent>
                          <w:p w14:paraId="47C72C11">
                            <w:r>
                              <w:rPr>
                                <w:rFonts w:hint="eastAsia"/>
                              </w:rPr>
                              <w:t>噪声</w:t>
                            </w:r>
                          </w:p>
                        </w:txbxContent>
                      </v:textbox>
                    </v:shape>
                  </w:pict>
                </mc:Fallback>
              </mc:AlternateContent>
            </w:r>
            <w:r>
              <w:rPr>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351790</wp:posOffset>
                      </wp:positionH>
                      <wp:positionV relativeFrom="paragraph">
                        <wp:posOffset>173990</wp:posOffset>
                      </wp:positionV>
                      <wp:extent cx="502285" cy="300355"/>
                      <wp:effectExtent l="0" t="0" r="0" b="0"/>
                      <wp:wrapNone/>
                      <wp:docPr id="7" name="文本框 8"/>
                      <wp:cNvGraphicFramePr/>
                      <a:graphic xmlns:a="http://schemas.openxmlformats.org/drawingml/2006/main">
                        <a:graphicData uri="http://schemas.microsoft.com/office/word/2010/wordprocessingShape">
                          <wps:wsp>
                            <wps:cNvSpPr txBox="1"/>
                            <wps:spPr>
                              <a:xfrm>
                                <a:off x="0" y="0"/>
                                <a:ext cx="502285" cy="300355"/>
                              </a:xfrm>
                              <a:prstGeom prst="rect">
                                <a:avLst/>
                              </a:prstGeom>
                              <a:noFill/>
                              <a:ln>
                                <a:noFill/>
                              </a:ln>
                            </wps:spPr>
                            <wps:txbx>
                              <w:txbxContent>
                                <w:p w14:paraId="0BB5D263">
                                  <w:r>
                                    <w:rPr>
                                      <w:rFonts w:hint="eastAsia"/>
                                    </w:rPr>
                                    <w:t>扬尘</w:t>
                                  </w:r>
                                </w:p>
                              </w:txbxContent>
                            </wps:txbx>
                            <wps:bodyPr vert="horz" wrap="square" anchor="t" anchorCtr="0" upright="1"/>
                          </wps:wsp>
                        </a:graphicData>
                      </a:graphic>
                    </wp:anchor>
                  </w:drawing>
                </mc:Choice>
                <mc:Fallback>
                  <w:pict>
                    <v:shape id="文本框 8" o:spid="_x0000_s1026" o:spt="202" type="#_x0000_t202" style="position:absolute;left:0pt;margin-left:27.7pt;margin-top:13.7pt;height:23.65pt;width:39.55pt;z-index:251665408;mso-width-relative:page;mso-height-relative:page;" filled="f" stroked="f" coordsize="21600,21600" o:gfxdata="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kQRK9YAAAAIAQAADwAAAAAAAAABACAAAAAiAAAAZHJzL2Rv&#10;d25yZXYueG1sUEsBAhQAFAAAAAgAh07iQP4O7YrKAQAAgAMAAA4AAAAAAAAAAQAgAAAAJQEAAGRy&#10;cy9lMm9Eb2MueG1sUEsFBgAAAAAGAAYAWQEAAGEFAAAAAA==&#10;">
                      <v:fill on="f" focussize="0,0"/>
                      <v:stroke on="f"/>
                      <v:imagedata o:title=""/>
                      <o:lock v:ext="edit" aspectratio="f"/>
                      <v:textbox>
                        <w:txbxContent>
                          <w:p w14:paraId="0BB5D263">
                            <w:r>
                              <w:rPr>
                                <w:rFonts w:hint="eastAsia"/>
                              </w:rPr>
                              <w:t>扬尘</w:t>
                            </w:r>
                          </w:p>
                        </w:txbxContent>
                      </v:textbox>
                    </v:shape>
                  </w:pict>
                </mc:Fallback>
              </mc:AlternateContent>
            </w:r>
          </w:p>
          <w:p w14:paraId="35C1F334">
            <w:pPr>
              <w:rPr>
                <w:bCs/>
                <w:color w:val="auto"/>
                <w:sz w:val="24"/>
                <w:highlight w:val="none"/>
              </w:rPr>
            </w:pPr>
            <w:r>
              <w:rPr>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2550160</wp:posOffset>
                      </wp:positionH>
                      <wp:positionV relativeFrom="paragraph">
                        <wp:posOffset>25400</wp:posOffset>
                      </wp:positionV>
                      <wp:extent cx="7620" cy="457835"/>
                      <wp:effectExtent l="36830" t="0" r="31750" b="14605"/>
                      <wp:wrapNone/>
                      <wp:docPr id="13" name="直线 14"/>
                      <wp:cNvGraphicFramePr/>
                      <a:graphic xmlns:a="http://schemas.openxmlformats.org/drawingml/2006/main">
                        <a:graphicData uri="http://schemas.microsoft.com/office/word/2010/wordprocessingShape">
                          <wps:wsp>
                            <wps:cNvCnPr/>
                            <wps:spPr>
                              <a:xfrm flipH="1" flipV="1">
                                <a:off x="0" y="0"/>
                                <a:ext cx="7620" cy="457835"/>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直线 14" o:spid="_x0000_s1026" o:spt="20" style="position:absolute;left:0pt;flip:x y;margin-left:200.8pt;margin-top:2pt;height:36.05pt;width:0.6pt;z-index:251671552;mso-width-relative:page;mso-height-relative:page;" filled="f" stroked="t" coordsize="21600,21600" o:gfxdata="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YPNYAAAAIAQAADwAAAAAAAAABACAAAAAiAAAAZHJzL2Rvd25yZXYueG1sUEsB&#10;AhQAFAAAAAgAh07iQK4ZD/73AQAA6gMAAA4AAAAAAAAAAQAgAAAAJQEAAGRycy9lMm9Eb2MueG1s&#10;UEsFBgAAAAAGAAYAWQEAAI4FAAAAAA==&#10;">
                      <v:fill on="f" focussize="0,0"/>
                      <v:stroke color="#000000" joinstyle="round" dashstyle="dash" endarrow="block"/>
                      <v:imagedata o:title=""/>
                      <o:lock v:ext="edit" aspectratio="f"/>
                    </v:line>
                  </w:pict>
                </mc:Fallback>
              </mc:AlternateContent>
            </w:r>
            <w:r>
              <w:rPr>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2165985</wp:posOffset>
                      </wp:positionH>
                      <wp:positionV relativeFrom="paragraph">
                        <wp:posOffset>22225</wp:posOffset>
                      </wp:positionV>
                      <wp:extent cx="635" cy="478155"/>
                      <wp:effectExtent l="37465" t="0" r="38100" b="9525"/>
                      <wp:wrapNone/>
                      <wp:docPr id="12" name="直线 13"/>
                      <wp:cNvGraphicFramePr/>
                      <a:graphic xmlns:a="http://schemas.openxmlformats.org/drawingml/2006/main">
                        <a:graphicData uri="http://schemas.microsoft.com/office/word/2010/wordprocessingShape">
                          <wps:wsp>
                            <wps:cNvCnPr/>
                            <wps:spPr>
                              <a:xfrm flipV="1">
                                <a:off x="0" y="0"/>
                                <a:ext cx="635" cy="478155"/>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直线 13" o:spid="_x0000_s1026" o:spt="20" style="position:absolute;left:0pt;flip:y;margin-left:170.55pt;margin-top:1.75pt;height:37.65pt;width:0.05pt;z-index:251670528;mso-width-relative:page;mso-height-relative:page;" filled="f" stroked="t" coordsize="21600,21600" o:gfxdata="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SfWhXVAAAACAEAAA8AAAAAAAAAAQAgAAAAIgAAAGRycy9kb3ducmV2LnhtbFBLAQIUABQAAAAI&#10;AIdO4kCCEz/v8AEAAN8DAAAOAAAAAAAAAAEAIAAAACQBAABkcnMvZTJvRG9jLnhtbFBLBQYAAAAA&#10;BgAGAFkBAACGBQAAAAA=&#10;">
                      <v:fill on="f" focussize="0,0"/>
                      <v:stroke color="#000000" joinstyle="round" dashstyle="dash" endarrow="block"/>
                      <v:imagedata o:title=""/>
                      <o:lock v:ext="edit" aspectratio="f"/>
                    </v:line>
                  </w:pict>
                </mc:Fallback>
              </mc:AlternateContent>
            </w:r>
            <w:r>
              <w:rPr>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976630</wp:posOffset>
                      </wp:positionH>
                      <wp:positionV relativeFrom="paragraph">
                        <wp:posOffset>48895</wp:posOffset>
                      </wp:positionV>
                      <wp:extent cx="635" cy="420370"/>
                      <wp:effectExtent l="37465" t="0" r="38100" b="6350"/>
                      <wp:wrapNone/>
                      <wp:docPr id="8" name="直线 9"/>
                      <wp:cNvGraphicFramePr/>
                      <a:graphic xmlns:a="http://schemas.openxmlformats.org/drawingml/2006/main">
                        <a:graphicData uri="http://schemas.microsoft.com/office/word/2010/wordprocessingShape">
                          <wps:wsp>
                            <wps:cNvCnPr/>
                            <wps:spPr>
                              <a:xfrm flipV="1">
                                <a:off x="0" y="0"/>
                                <a:ext cx="635" cy="42037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直线 9" o:spid="_x0000_s1026" o:spt="20" style="position:absolute;left:0pt;flip:y;margin-left:76.9pt;margin-top:3.85pt;height:33.1pt;width:0.05pt;z-index:251666432;mso-width-relative:page;mso-height-relative:page;" filled="f" stroked="t" coordsize="21600,21600" o:gfxdata="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H+BzVAAAACAEAAA8AAAAAAAAAAQAgAAAAIgAAAGRycy9kb3ducmV2LnhtbFBLAQIUABQAAAAI&#10;AIdO4kBwVLZ88AEAAN0DAAAOAAAAAAAAAAEAIAAAACQBAABkcnMvZTJvRG9jLnhtbFBLBQYAAAAA&#10;BgAGAFkBAACGBQAAAAA=&#10;">
                      <v:fill on="f" focussize="0,0"/>
                      <v:stroke color="#000000" joinstyle="round" dashstyle="dash" endarrow="block"/>
                      <v:imagedata o:title=""/>
                      <o:lock v:ext="edit" aspectratio="f"/>
                    </v:line>
                  </w:pict>
                </mc:Fallback>
              </mc:AlternateContent>
            </w:r>
            <w:r>
              <w:rPr>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606425</wp:posOffset>
                      </wp:positionH>
                      <wp:positionV relativeFrom="paragraph">
                        <wp:posOffset>33655</wp:posOffset>
                      </wp:positionV>
                      <wp:extent cx="635" cy="424180"/>
                      <wp:effectExtent l="37465" t="0" r="38100" b="2540"/>
                      <wp:wrapNone/>
                      <wp:docPr id="6" name="直线 7"/>
                      <wp:cNvGraphicFramePr/>
                      <a:graphic xmlns:a="http://schemas.openxmlformats.org/drawingml/2006/main">
                        <a:graphicData uri="http://schemas.microsoft.com/office/word/2010/wordprocessingShape">
                          <wps:wsp>
                            <wps:cNvCnPr/>
                            <wps:spPr>
                              <a:xfrm flipV="1">
                                <a:off x="0" y="0"/>
                                <a:ext cx="635" cy="42418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直线 7" o:spid="_x0000_s1026" o:spt="20" style="position:absolute;left:0pt;flip:y;margin-left:47.75pt;margin-top:2.65pt;height:33.4pt;width:0.05pt;z-index:251664384;mso-width-relative:page;mso-height-relative:page;" filled="f" stroked="t" coordsize="21600,21600" o:gfxdata="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djDYNQAAAAGAQAADwAAAAAAAAABACAAAAAiAAAAZHJzL2Rvd25yZXYueG1sUEsBAhQAFAAAAAgA&#10;h07iQInwUy7wAQAA3QMAAA4AAAAAAAAAAQAgAAAAIwEAAGRycy9lMm9Eb2MueG1sUEsFBgAAAAAG&#10;AAYAWQEAAIUFAAAAAA==&#10;">
                      <v:fill on="f" focussize="0,0"/>
                      <v:stroke color="#000000" joinstyle="round" dashstyle="dash" endarrow="block"/>
                      <v:imagedata o:title=""/>
                      <o:lock v:ext="edit" aspectratio="f"/>
                    </v:line>
                  </w:pict>
                </mc:Fallback>
              </mc:AlternateContent>
            </w:r>
          </w:p>
          <w:p w14:paraId="35C7AC31">
            <w:pPr>
              <w:rPr>
                <w:bCs/>
                <w:color w:val="auto"/>
                <w:sz w:val="24"/>
                <w:highlight w:val="none"/>
              </w:rPr>
            </w:pPr>
          </w:p>
          <w:p w14:paraId="3877DEE1">
            <w:pPr>
              <w:rPr>
                <w:bCs/>
                <w:color w:val="auto"/>
                <w:sz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1933575</wp:posOffset>
                      </wp:positionH>
                      <wp:positionV relativeFrom="paragraph">
                        <wp:posOffset>134620</wp:posOffset>
                      </wp:positionV>
                      <wp:extent cx="862965" cy="309245"/>
                      <wp:effectExtent l="4445" t="5080" r="16510" b="5715"/>
                      <wp:wrapNone/>
                      <wp:docPr id="2" name="自选图形 3"/>
                      <wp:cNvGraphicFramePr/>
                      <a:graphic xmlns:a="http://schemas.openxmlformats.org/drawingml/2006/main">
                        <a:graphicData uri="http://schemas.microsoft.com/office/word/2010/wordprocessingShape">
                          <wps:wsp>
                            <wps:cNvSpPr/>
                            <wps:spPr>
                              <a:xfrm>
                                <a:off x="0" y="0"/>
                                <a:ext cx="862965" cy="3092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561733A">
                                  <w:pPr>
                                    <w:jc w:val="center"/>
                                    <w:rPr>
                                      <w:szCs w:val="21"/>
                                    </w:rPr>
                                  </w:pPr>
                                  <w:r>
                                    <w:rPr>
                                      <w:rFonts w:hint="eastAsia"/>
                                      <w:szCs w:val="21"/>
                                    </w:rPr>
                                    <w:t>室内装修</w:t>
                                  </w:r>
                                </w:p>
                              </w:txbxContent>
                            </wps:txbx>
                            <wps:bodyPr vert="horz" wrap="square" anchor="t" anchorCtr="0" upright="1"/>
                          </wps:wsp>
                        </a:graphicData>
                      </a:graphic>
                    </wp:anchor>
                  </w:drawing>
                </mc:Choice>
                <mc:Fallback>
                  <w:pict>
                    <v:shape id="自选图形 3" o:spid="_x0000_s1026" o:spt="109" type="#_x0000_t109" style="position:absolute;left:0pt;margin-left:152.25pt;margin-top:10.6pt;height:24.35pt;width:67.95pt;z-index:251660288;mso-width-relative:page;mso-height-relative:page;" fillcolor="#FFFFFF" filled="t" stroked="t" coordsize="21600,21600" o:gfxdata="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O1ta9gAAAAJAQAADwAAAAAAAAABACAAAAAiAAAAZHJzL2Rvd25yZXYueG1s&#10;UEsBAhQAFAAAAAgAh07iQEmc8Q0xAgAAbQQAAA4AAAAAAAAAAQAgAAAAJwEAAGRycy9lMm9Eb2Mu&#10;eG1sUEsFBgAAAAAGAAYAWQEAAMoFAAAAAA==&#10;">
                      <v:fill on="t" focussize="0,0"/>
                      <v:stroke color="#000000" joinstyle="miter"/>
                      <v:imagedata o:title=""/>
                      <o:lock v:ext="edit" aspectratio="f"/>
                      <v:textbox>
                        <w:txbxContent>
                          <w:p w14:paraId="2561733A">
                            <w:pPr>
                              <w:jc w:val="center"/>
                              <w:rPr>
                                <w:szCs w:val="21"/>
                              </w:rPr>
                            </w:pPr>
                            <w:r>
                              <w:rPr>
                                <w:rFonts w:hint="eastAsia"/>
                                <w:szCs w:val="21"/>
                              </w:rPr>
                              <w:t>室内装修</w:t>
                            </w:r>
                          </w:p>
                        </w:txbxContent>
                      </v:textbox>
                    </v:shape>
                  </w:pict>
                </mc:Fallback>
              </mc:AlternateContent>
            </w: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3399155</wp:posOffset>
                      </wp:positionH>
                      <wp:positionV relativeFrom="paragraph">
                        <wp:posOffset>107315</wp:posOffset>
                      </wp:positionV>
                      <wp:extent cx="1182370" cy="300355"/>
                      <wp:effectExtent l="5080" t="5080" r="16510" b="14605"/>
                      <wp:wrapNone/>
                      <wp:docPr id="3" name="自选图形 4"/>
                      <wp:cNvGraphicFramePr/>
                      <a:graphic xmlns:a="http://schemas.openxmlformats.org/drawingml/2006/main">
                        <a:graphicData uri="http://schemas.microsoft.com/office/word/2010/wordprocessingShape">
                          <wps:wsp>
                            <wps:cNvSpPr/>
                            <wps:spPr>
                              <a:xfrm>
                                <a:off x="0" y="0"/>
                                <a:ext cx="1182370" cy="3003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76227D8">
                                  <w:pPr>
                                    <w:jc w:val="center"/>
                                    <w:rPr>
                                      <w:szCs w:val="21"/>
                                    </w:rPr>
                                  </w:pPr>
                                  <w:r>
                                    <w:rPr>
                                      <w:rFonts w:hint="eastAsia"/>
                                      <w:szCs w:val="21"/>
                                    </w:rPr>
                                    <w:t>安装设备调试</w:t>
                                  </w:r>
                                </w:p>
                              </w:txbxContent>
                            </wps:txbx>
                            <wps:bodyPr vert="horz" wrap="square" anchor="t" anchorCtr="0" upright="1"/>
                          </wps:wsp>
                        </a:graphicData>
                      </a:graphic>
                    </wp:anchor>
                  </w:drawing>
                </mc:Choice>
                <mc:Fallback>
                  <w:pict>
                    <v:shape id="自选图形 4" o:spid="_x0000_s1026" o:spt="109" type="#_x0000_t109" style="position:absolute;left:0pt;margin-left:267.65pt;margin-top:8.45pt;height:23.65pt;width:93.1pt;z-index:251661312;mso-width-relative:page;mso-height-relative:page;" fillcolor="#FFFFFF" filled="t" stroked="t" coordsize="21600,21600" o:gfxdata="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26PPT2QAAAAkBAAAPAAAAAAAAAAEAIAAAACIAAABkcnMvZG93bnJldi54&#10;bWxQSwECFAAUAAAACACHTuJAs3M6fDICAABuBAAADgAAAAAAAAABACAAAAAoAQAAZHJzL2Uyb0Rv&#10;Yy54bWxQSwUGAAAAAAYABgBZAQAAzAUAAAAA&#10;">
                      <v:fill on="t" focussize="0,0"/>
                      <v:stroke color="#000000" joinstyle="miter"/>
                      <v:imagedata o:title=""/>
                      <o:lock v:ext="edit" aspectratio="f"/>
                      <v:textbox>
                        <w:txbxContent>
                          <w:p w14:paraId="776227D8">
                            <w:pPr>
                              <w:jc w:val="center"/>
                              <w:rPr>
                                <w:szCs w:val="21"/>
                              </w:rPr>
                            </w:pPr>
                            <w:r>
                              <w:rPr>
                                <w:rFonts w:hint="eastAsia"/>
                                <w:szCs w:val="21"/>
                              </w:rPr>
                              <w:t>安装设备调试</w:t>
                            </w:r>
                          </w:p>
                        </w:txbxContent>
                      </v:textbox>
                    </v:shape>
                  </w:pict>
                </mc:Fallback>
              </mc:AlternateContent>
            </w:r>
            <w:r>
              <w:rPr>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383540</wp:posOffset>
                      </wp:positionH>
                      <wp:positionV relativeFrom="paragraph">
                        <wp:posOffset>107950</wp:posOffset>
                      </wp:positionV>
                      <wp:extent cx="847090" cy="340995"/>
                      <wp:effectExtent l="4445" t="5080" r="17145" b="4445"/>
                      <wp:wrapNone/>
                      <wp:docPr id="1" name="自选图形 2"/>
                      <wp:cNvGraphicFramePr/>
                      <a:graphic xmlns:a="http://schemas.openxmlformats.org/drawingml/2006/main">
                        <a:graphicData uri="http://schemas.microsoft.com/office/word/2010/wordprocessingShape">
                          <wps:wsp>
                            <wps:cNvSpPr/>
                            <wps:spPr>
                              <a:xfrm>
                                <a:off x="0" y="0"/>
                                <a:ext cx="847090" cy="340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EDD6076">
                                  <w:pPr>
                                    <w:jc w:val="center"/>
                                    <w:rPr>
                                      <w:szCs w:val="21"/>
                                    </w:rPr>
                                  </w:pPr>
                                  <w:r>
                                    <w:rPr>
                                      <w:rFonts w:hint="eastAsia"/>
                                      <w:szCs w:val="21"/>
                                    </w:rPr>
                                    <w:t>场地清理</w:t>
                                  </w:r>
                                </w:p>
                              </w:txbxContent>
                            </wps:txbx>
                            <wps:bodyPr vert="horz" wrap="square" anchor="t" anchorCtr="0" upright="1"/>
                          </wps:wsp>
                        </a:graphicData>
                      </a:graphic>
                    </wp:anchor>
                  </w:drawing>
                </mc:Choice>
                <mc:Fallback>
                  <w:pict>
                    <v:shape id="自选图形 2" o:spid="_x0000_s1026" o:spt="109" type="#_x0000_t109" style="position:absolute;left:0pt;margin-left:30.2pt;margin-top:8.5pt;height:26.85pt;width:66.7pt;z-index:251659264;mso-width-relative:page;mso-height-relative:page;" fillcolor="#FFFFFF" filled="t" stroked="t" coordsize="21600,21600" o:gfxdata="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I0gGNgAAAAIAQAADwAAAAAAAAABACAAAAAiAAAAZHJzL2Rvd25yZXYueG1s&#10;UEsBAhQAFAAAAAgAh07iQB7xpJsxAgAAbQQAAA4AAAAAAAAAAQAgAAAAJwEAAGRycy9lMm9Eb2Mu&#10;eG1sUEsFBgAAAAAGAAYAWQEAAMoFAAAAAA==&#10;">
                      <v:fill on="t" focussize="0,0"/>
                      <v:stroke color="#000000" joinstyle="miter"/>
                      <v:imagedata o:title=""/>
                      <o:lock v:ext="edit" aspectratio="f"/>
                      <v:textbox>
                        <w:txbxContent>
                          <w:p w14:paraId="4EDD6076">
                            <w:pPr>
                              <w:jc w:val="center"/>
                              <w:rPr>
                                <w:szCs w:val="21"/>
                              </w:rPr>
                            </w:pPr>
                            <w:r>
                              <w:rPr>
                                <w:rFonts w:hint="eastAsia"/>
                                <w:szCs w:val="21"/>
                              </w:rPr>
                              <w:t>场地清理</w:t>
                            </w:r>
                          </w:p>
                        </w:txbxContent>
                      </v:textbox>
                    </v:shape>
                  </w:pict>
                </mc:Fallback>
              </mc:AlternateContent>
            </w:r>
          </w:p>
          <w:p w14:paraId="0A883B40">
            <w:pPr>
              <w:rPr>
                <w:bCs/>
                <w:color w:val="auto"/>
                <w:sz w:val="24"/>
                <w:highlight w:val="none"/>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2797810</wp:posOffset>
                      </wp:positionH>
                      <wp:positionV relativeFrom="paragraph">
                        <wp:posOffset>107950</wp:posOffset>
                      </wp:positionV>
                      <wp:extent cx="612775" cy="635"/>
                      <wp:effectExtent l="0" t="37465" r="12065" b="38100"/>
                      <wp:wrapNone/>
                      <wp:docPr id="5" name="直线 6"/>
                      <wp:cNvGraphicFramePr/>
                      <a:graphic xmlns:a="http://schemas.openxmlformats.org/drawingml/2006/main">
                        <a:graphicData uri="http://schemas.microsoft.com/office/word/2010/wordprocessingShape">
                          <wps:wsp>
                            <wps:cNvCnPr/>
                            <wps:spPr>
                              <a:xfrm>
                                <a:off x="0" y="0"/>
                                <a:ext cx="6127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 o:spid="_x0000_s1026" o:spt="20" style="position:absolute;left:0pt;margin-left:220.3pt;margin-top:8.5pt;height:0.05pt;width:48.25pt;z-index:251663360;mso-width-relative:page;mso-height-relative:page;" filled="f" stroked="t" coordsize="21600,21600" o:gfxdata="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iAS4fZ&#10;AAAACQEAAA8AAAAAAAAAAQAgAAAAIgAAAGRycy9kb3ducmV2LnhtbFBLAQIUABQAAAAIAIdO4kAI&#10;e2fv5gEAANQDAAAOAAAAAAAAAAEAIAAAACgBAABkcnMvZTJvRG9jLnhtbFBLBQYAAAAABgAGAFkB&#10;AACABQAAAAA=&#10;">
                      <v:fill on="f" focussize="0,0"/>
                      <v:stroke color="#000000" joinstyle="round" endarrow="block"/>
                      <v:imagedata o:title=""/>
                      <o:lock v:ext="edit" aspectratio="f"/>
                    </v:line>
                  </w:pict>
                </mc:Fallback>
              </mc:AlternateContent>
            </w: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1241425</wp:posOffset>
                      </wp:positionH>
                      <wp:positionV relativeFrom="paragraph">
                        <wp:posOffset>97155</wp:posOffset>
                      </wp:positionV>
                      <wp:extent cx="688340" cy="635"/>
                      <wp:effectExtent l="0" t="37465" r="12700" b="38100"/>
                      <wp:wrapNone/>
                      <wp:docPr id="4" name="直线 5"/>
                      <wp:cNvGraphicFramePr/>
                      <a:graphic xmlns:a="http://schemas.openxmlformats.org/drawingml/2006/main">
                        <a:graphicData uri="http://schemas.microsoft.com/office/word/2010/wordprocessingShape">
                          <wps:wsp>
                            <wps:cNvCnPr/>
                            <wps:spPr>
                              <a:xfrm>
                                <a:off x="0" y="0"/>
                                <a:ext cx="68834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 o:spid="_x0000_s1026" o:spt="20" style="position:absolute;left:0pt;margin-left:97.75pt;margin-top:7.65pt;height:0.05pt;width:54.2pt;z-index:251662336;mso-width-relative:page;mso-height-relative:page;" filled="f" stroked="t" coordsize="21600,21600" o:gfxdata="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Dj&#10;mB/ZAAAACQEAAA8AAAAAAAAAAQAgAAAAIgAAAGRycy9kb3ducmV2LnhtbFBLAQIUABQAAAAIAIdO&#10;4kDGfvNy6QEAANQDAAAOAAAAAAAAAAEAIAAAACgBAABkcnMvZTJvRG9jLnhtbFBLBQYAAAAABgAG&#10;AFkBAACDBQAAAAA=&#10;">
                      <v:fill on="f" focussize="0,0"/>
                      <v:stroke color="#000000" joinstyle="round" endarrow="block"/>
                      <v:imagedata o:title=""/>
                      <o:lock v:ext="edit" aspectratio="f"/>
                    </v:line>
                  </w:pict>
                </mc:Fallback>
              </mc:AlternateContent>
            </w:r>
          </w:p>
          <w:p w14:paraId="08151418">
            <w:pPr>
              <w:rPr>
                <w:color w:val="auto"/>
                <w:sz w:val="24"/>
                <w:highlight w:val="none"/>
              </w:rPr>
            </w:pPr>
            <w:r>
              <w:rPr>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2328545</wp:posOffset>
                      </wp:positionH>
                      <wp:positionV relativeFrom="paragraph">
                        <wp:posOffset>104140</wp:posOffset>
                      </wp:positionV>
                      <wp:extent cx="10160" cy="368300"/>
                      <wp:effectExtent l="29845" t="0" r="36195" b="12700"/>
                      <wp:wrapNone/>
                      <wp:docPr id="16" name="直线 18"/>
                      <wp:cNvGraphicFramePr/>
                      <a:graphic xmlns:a="http://schemas.openxmlformats.org/drawingml/2006/main">
                        <a:graphicData uri="http://schemas.microsoft.com/office/word/2010/wordprocessingShape">
                          <wps:wsp>
                            <wps:cNvCnPr/>
                            <wps:spPr>
                              <a:xfrm>
                                <a:off x="0" y="0"/>
                                <a:ext cx="10160" cy="36830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直线 18" o:spid="_x0000_s1026" o:spt="20" style="position:absolute;left:0pt;margin-left:183.35pt;margin-top:8.2pt;height:29pt;width:0.8pt;z-index:251674624;mso-width-relative:page;mso-height-relative:page;" filled="f" stroked="t" coordsize="21600,21600" o:gfxdata="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d4qQ2gAAAAkBAAAPAAAAAAAAAAEAIAAAACIAAABkcnMvZG93bnJldi54bWxQSwECFAAUAAAA&#10;CACHTuJAPfmBbuwBAADXAwAADgAAAAAAAAABACAAAAApAQAAZHJzL2Uyb0RvYy54bWxQSwUGAAAA&#10;AAYABgBZAQAAhwUAAAAA&#10;">
                      <v:fill on="f" focussize="0,0"/>
                      <v:stroke color="#000000" joinstyle="round" dashstyle="dash" endarrow="block"/>
                      <v:imagedata o:title=""/>
                      <o:lock v:ext="edit" aspectratio="f"/>
                    </v:line>
                  </w:pict>
                </mc:Fallback>
              </mc:AlternateContent>
            </w:r>
            <w:r>
              <w:rPr>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742315</wp:posOffset>
                      </wp:positionH>
                      <wp:positionV relativeFrom="paragraph">
                        <wp:posOffset>113030</wp:posOffset>
                      </wp:positionV>
                      <wp:extent cx="1905" cy="356235"/>
                      <wp:effectExtent l="36830" t="0" r="37465" b="9525"/>
                      <wp:wrapNone/>
                      <wp:docPr id="10" name="直线 11"/>
                      <wp:cNvGraphicFramePr/>
                      <a:graphic xmlns:a="http://schemas.openxmlformats.org/drawingml/2006/main">
                        <a:graphicData uri="http://schemas.microsoft.com/office/word/2010/wordprocessingShape">
                          <wps:wsp>
                            <wps:cNvCnPr/>
                            <wps:spPr>
                              <a:xfrm>
                                <a:off x="0" y="0"/>
                                <a:ext cx="1905" cy="356235"/>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直线 11" o:spid="_x0000_s1026" o:spt="20" style="position:absolute;left:0pt;margin-left:58.45pt;margin-top:8.9pt;height:28.05pt;width:0.15pt;z-index:251668480;mso-width-relative:page;mso-height-relative:page;" filled="f" stroked="t" coordsize="21600,21600" o:gfxdata="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fZX&#10;Y9kAAAAJAQAADwAAAAAAAAABACAAAAAiAAAAZHJzL2Rvd25yZXYueG1sUEsBAhQAFAAAAAgAh07i&#10;QFwmxwPoAQAA1gMAAA4AAAAAAAAAAQAgAAAAKAEAAGRycy9lMm9Eb2MueG1sUEsFBgAAAAAGAAYA&#10;WQEAAIIFAAAAAA==&#10;">
                      <v:fill on="f" focussize="0,0"/>
                      <v:stroke color="#000000" joinstyle="round" dashstyle="dash" endarrow="block"/>
                      <v:imagedata o:title=""/>
                      <o:lock v:ext="edit" aspectratio="f"/>
                    </v:line>
                  </w:pict>
                </mc:Fallback>
              </mc:AlternateContent>
            </w:r>
            <w:r>
              <w:rPr>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4030980</wp:posOffset>
                      </wp:positionH>
                      <wp:positionV relativeFrom="paragraph">
                        <wp:posOffset>85090</wp:posOffset>
                      </wp:positionV>
                      <wp:extent cx="1905" cy="386715"/>
                      <wp:effectExtent l="36830" t="0" r="37465" b="9525"/>
                      <wp:wrapNone/>
                      <wp:docPr id="20" name="直线 22"/>
                      <wp:cNvGraphicFramePr/>
                      <a:graphic xmlns:a="http://schemas.openxmlformats.org/drawingml/2006/main">
                        <a:graphicData uri="http://schemas.microsoft.com/office/word/2010/wordprocessingShape">
                          <wps:wsp>
                            <wps:cNvCnPr/>
                            <wps:spPr>
                              <a:xfrm>
                                <a:off x="0" y="0"/>
                                <a:ext cx="1905" cy="386715"/>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直线 22" o:spid="_x0000_s1026" o:spt="20" style="position:absolute;left:0pt;margin-left:317.4pt;margin-top:6.7pt;height:30.45pt;width:0.15pt;z-index:251678720;mso-width-relative:page;mso-height-relative:page;" filled="f" stroked="t" coordsize="21600,21600" o:gfxdata="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JX&#10;j5baAAAACQEAAA8AAAAAAAAAAQAgAAAAIgAAAGRycy9kb3ducmV2LnhtbFBLAQIUABQAAAAIAIdO&#10;4kDnWeVl6AEAANYDAAAOAAAAAAAAAAEAIAAAACkBAABkcnMvZTJvRG9jLnhtbFBLBQYAAAAABgAG&#10;AFkBAACDBQAAAAA=&#10;">
                      <v:fill on="f" focussize="0,0"/>
                      <v:stroke color="#000000" joinstyle="round" dashstyle="dash" endarrow="block"/>
                      <v:imagedata o:title=""/>
                      <o:lock v:ext="edit" aspectratio="f"/>
                    </v:line>
                  </w:pict>
                </mc:Fallback>
              </mc:AlternateContent>
            </w:r>
          </w:p>
          <w:p w14:paraId="577397C8">
            <w:pPr>
              <w:rPr>
                <w:color w:val="auto"/>
                <w:sz w:val="24"/>
                <w:highlight w:val="none"/>
              </w:rPr>
            </w:pPr>
          </w:p>
          <w:p w14:paraId="6B61A549">
            <w:pPr>
              <w:rPr>
                <w:bCs/>
                <w:color w:val="auto"/>
                <w:sz w:val="24"/>
                <w:highlight w:val="none"/>
              </w:rPr>
            </w:pPr>
            <w:r>
              <w:rPr>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3671570</wp:posOffset>
                      </wp:positionH>
                      <wp:positionV relativeFrom="paragraph">
                        <wp:posOffset>66675</wp:posOffset>
                      </wp:positionV>
                      <wp:extent cx="734695" cy="259080"/>
                      <wp:effectExtent l="0" t="0" r="0" b="0"/>
                      <wp:wrapNone/>
                      <wp:docPr id="21" name="文本框 23"/>
                      <wp:cNvGraphicFramePr/>
                      <a:graphic xmlns:a="http://schemas.openxmlformats.org/drawingml/2006/main">
                        <a:graphicData uri="http://schemas.microsoft.com/office/word/2010/wordprocessingShape">
                          <wps:wsp>
                            <wps:cNvSpPr txBox="1"/>
                            <wps:spPr>
                              <a:xfrm>
                                <a:off x="0" y="0"/>
                                <a:ext cx="734695" cy="259080"/>
                              </a:xfrm>
                              <a:prstGeom prst="rect">
                                <a:avLst/>
                              </a:prstGeom>
                              <a:noFill/>
                              <a:ln>
                                <a:noFill/>
                              </a:ln>
                            </wps:spPr>
                            <wps:txbx>
                              <w:txbxContent>
                                <w:p w14:paraId="5EDE992B">
                                  <w:pPr>
                                    <w:jc w:val="center"/>
                                  </w:pPr>
                                  <w:r>
                                    <w:rPr>
                                      <w:rFonts w:hint="eastAsia"/>
                                    </w:rPr>
                                    <w:t>固体废物</w:t>
                                  </w:r>
                                </w:p>
                              </w:txbxContent>
                            </wps:txbx>
                            <wps:bodyPr wrap="square" upright="1"/>
                          </wps:wsp>
                        </a:graphicData>
                      </a:graphic>
                    </wp:anchor>
                  </w:drawing>
                </mc:Choice>
                <mc:Fallback>
                  <w:pict>
                    <v:shape id="文本框 23" o:spid="_x0000_s1026" o:spt="202" type="#_x0000_t202" style="position:absolute;left:0pt;margin-left:289.1pt;margin-top:5.25pt;height:20.4pt;width:57.85pt;z-index:251679744;mso-width-relative:page;mso-height-relative:page;" filled="f" stroked="f" coordsize="21600,21600" o:gfxdata="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jj7va1gAAAAkBAAAPAAAAAAAAAAEAIAAAACIAAABkcnMvZG93bnJldi54bWxQSwECFAAU&#10;AAAACACHTuJAkmYG8LoBAABdAwAADgAAAAAAAAABACAAAAAlAQAAZHJzL2Uyb0RvYy54bWxQSwUG&#10;AAAAAAYABgBZAQAAUQUAAAAA&#10;">
                      <v:fill on="f" focussize="0,0"/>
                      <v:stroke on="f"/>
                      <v:imagedata o:title=""/>
                      <o:lock v:ext="edit" aspectratio="f"/>
                      <v:textbox>
                        <w:txbxContent>
                          <w:p w14:paraId="5EDE992B">
                            <w:pPr>
                              <w:jc w:val="center"/>
                            </w:pPr>
                            <w:r>
                              <w:rPr>
                                <w:rFonts w:hint="eastAsia"/>
                              </w:rPr>
                              <w:t>固体废物</w:t>
                            </w:r>
                          </w:p>
                        </w:txbxContent>
                      </v:textbox>
                    </v:shape>
                  </w:pict>
                </mc:Fallback>
              </mc:AlternateContent>
            </w:r>
            <w:r>
              <w:rPr>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1966595</wp:posOffset>
                      </wp:positionH>
                      <wp:positionV relativeFrom="paragraph">
                        <wp:posOffset>80010</wp:posOffset>
                      </wp:positionV>
                      <wp:extent cx="734695" cy="259080"/>
                      <wp:effectExtent l="0" t="0" r="0" b="0"/>
                      <wp:wrapNone/>
                      <wp:docPr id="17" name="文本框 19"/>
                      <wp:cNvGraphicFramePr/>
                      <a:graphic xmlns:a="http://schemas.openxmlformats.org/drawingml/2006/main">
                        <a:graphicData uri="http://schemas.microsoft.com/office/word/2010/wordprocessingShape">
                          <wps:wsp>
                            <wps:cNvSpPr txBox="1"/>
                            <wps:spPr>
                              <a:xfrm>
                                <a:off x="0" y="0"/>
                                <a:ext cx="734695" cy="259080"/>
                              </a:xfrm>
                              <a:prstGeom prst="rect">
                                <a:avLst/>
                              </a:prstGeom>
                              <a:noFill/>
                              <a:ln>
                                <a:noFill/>
                              </a:ln>
                            </wps:spPr>
                            <wps:txbx>
                              <w:txbxContent>
                                <w:p w14:paraId="4EBFDCDB">
                                  <w:pPr>
                                    <w:jc w:val="center"/>
                                  </w:pPr>
                                  <w:r>
                                    <w:rPr>
                                      <w:rFonts w:hint="eastAsia"/>
                                    </w:rPr>
                                    <w:t>固体废物</w:t>
                                  </w:r>
                                </w:p>
                              </w:txbxContent>
                            </wps:txbx>
                            <wps:bodyPr wrap="square" upright="1"/>
                          </wps:wsp>
                        </a:graphicData>
                      </a:graphic>
                    </wp:anchor>
                  </w:drawing>
                </mc:Choice>
                <mc:Fallback>
                  <w:pict>
                    <v:shape id="文本框 19" o:spid="_x0000_s1026" o:spt="202" type="#_x0000_t202" style="position:absolute;left:0pt;margin-left:154.85pt;margin-top:6.3pt;height:20.4pt;width:57.85pt;z-index:251675648;mso-width-relative:page;mso-height-relative:page;" filled="f" stroked="f" coordsize="21600,21600" o:gfxdata="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rpqHbXAAAACQEAAA8AAAAAAAAAAQAgAAAAIgAAAGRycy9kb3ducmV2LnhtbFBLAQIUABQA&#10;AAAIAIdO4kBwrCsXuAEAAF0DAAAOAAAAAAAAAAEAIAAAACYBAABkcnMvZTJvRG9jLnhtbFBLBQYA&#10;AAAABgAGAFkBAABQBQAAAAA=&#10;">
                      <v:fill on="f" focussize="0,0"/>
                      <v:stroke on="f"/>
                      <v:imagedata o:title=""/>
                      <o:lock v:ext="edit" aspectratio="f"/>
                      <v:textbox>
                        <w:txbxContent>
                          <w:p w14:paraId="4EBFDCDB">
                            <w:pPr>
                              <w:jc w:val="center"/>
                            </w:pPr>
                            <w:r>
                              <w:rPr>
                                <w:rFonts w:hint="eastAsia"/>
                              </w:rPr>
                              <w:t>固体废物</w:t>
                            </w:r>
                          </w:p>
                        </w:txbxContent>
                      </v:textbox>
                    </v:shape>
                  </w:pict>
                </mc:Fallback>
              </mc:AlternateContent>
            </w:r>
            <w:r>
              <w:rPr>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378460</wp:posOffset>
                      </wp:positionH>
                      <wp:positionV relativeFrom="paragraph">
                        <wp:posOffset>89535</wp:posOffset>
                      </wp:positionV>
                      <wp:extent cx="734695" cy="259080"/>
                      <wp:effectExtent l="0" t="0" r="0" b="0"/>
                      <wp:wrapNone/>
                      <wp:docPr id="11" name="文本框 12"/>
                      <wp:cNvGraphicFramePr/>
                      <a:graphic xmlns:a="http://schemas.openxmlformats.org/drawingml/2006/main">
                        <a:graphicData uri="http://schemas.microsoft.com/office/word/2010/wordprocessingShape">
                          <wps:wsp>
                            <wps:cNvSpPr txBox="1"/>
                            <wps:spPr>
                              <a:xfrm>
                                <a:off x="0" y="0"/>
                                <a:ext cx="734695" cy="259080"/>
                              </a:xfrm>
                              <a:prstGeom prst="rect">
                                <a:avLst/>
                              </a:prstGeom>
                              <a:noFill/>
                              <a:ln>
                                <a:noFill/>
                              </a:ln>
                            </wps:spPr>
                            <wps:txbx>
                              <w:txbxContent>
                                <w:p w14:paraId="17C0F056">
                                  <w:pPr>
                                    <w:jc w:val="center"/>
                                  </w:pPr>
                                  <w:r>
                                    <w:rPr>
                                      <w:rFonts w:hint="eastAsia"/>
                                    </w:rPr>
                                    <w:t>固体废物</w:t>
                                  </w:r>
                                </w:p>
                              </w:txbxContent>
                            </wps:txbx>
                            <wps:bodyPr vert="horz" wrap="square" anchor="t" anchorCtr="0" upright="1"/>
                          </wps:wsp>
                        </a:graphicData>
                      </a:graphic>
                    </wp:anchor>
                  </w:drawing>
                </mc:Choice>
                <mc:Fallback>
                  <w:pict>
                    <v:shape id="文本框 12" o:spid="_x0000_s1026" o:spt="202" type="#_x0000_t202" style="position:absolute;left:0pt;margin-left:29.8pt;margin-top:7.05pt;height:20.4pt;width:57.85pt;z-index:251669504;mso-width-relative:page;mso-height-relative:page;" filled="f" stroked="f" coordsize="21600,21600" o:gfxdata="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XqP6g1QAAAAgBAAAPAAAAAAAAAAEAIAAAACIAAABkcnMv&#10;ZG93bnJldi54bWxQSwECFAAUAAAACACHTuJAKQa1I80BAACCAwAADgAAAAAAAAABACAAAAAkAQAA&#10;ZHJzL2Uyb0RvYy54bWxQSwUGAAAAAAYABgBZAQAAYwUAAAAA&#10;">
                      <v:fill on="f" focussize="0,0"/>
                      <v:stroke on="f"/>
                      <v:imagedata o:title=""/>
                      <o:lock v:ext="edit" aspectratio="f"/>
                      <v:textbox>
                        <w:txbxContent>
                          <w:p w14:paraId="17C0F056">
                            <w:pPr>
                              <w:jc w:val="center"/>
                            </w:pPr>
                            <w:r>
                              <w:rPr>
                                <w:rFonts w:hint="eastAsia"/>
                              </w:rPr>
                              <w:t>固体废物</w:t>
                            </w:r>
                          </w:p>
                        </w:txbxContent>
                      </v:textbox>
                    </v:shape>
                  </w:pict>
                </mc:Fallback>
              </mc:AlternateContent>
            </w:r>
          </w:p>
          <w:p w14:paraId="6AE8CCBE">
            <w:pPr>
              <w:adjustRightInd w:val="0"/>
              <w:snapToGrid w:val="0"/>
              <w:spacing w:line="360" w:lineRule="auto"/>
              <w:rPr>
                <w:b/>
                <w:color w:val="auto"/>
                <w:sz w:val="24"/>
                <w:highlight w:val="none"/>
              </w:rPr>
            </w:pPr>
          </w:p>
          <w:p w14:paraId="06743A5D">
            <w:pPr>
              <w:adjustRightInd w:val="0"/>
              <w:snapToGrid w:val="0"/>
              <w:spacing w:line="360" w:lineRule="auto"/>
              <w:jc w:val="center"/>
              <w:rPr>
                <w:b/>
                <w:color w:val="auto"/>
                <w:sz w:val="24"/>
                <w:highlight w:val="none"/>
              </w:rPr>
            </w:pPr>
          </w:p>
          <w:p w14:paraId="00E4B627">
            <w:pPr>
              <w:adjustRightInd w:val="0"/>
              <w:snapToGrid w:val="0"/>
              <w:spacing w:line="360" w:lineRule="auto"/>
              <w:jc w:val="center"/>
              <w:rPr>
                <w:b/>
                <w:color w:val="auto"/>
                <w:sz w:val="24"/>
                <w:highlight w:val="none"/>
              </w:rPr>
            </w:pPr>
          </w:p>
          <w:p w14:paraId="566D1E5C">
            <w:pPr>
              <w:adjustRightInd w:val="0"/>
              <w:snapToGrid w:val="0"/>
              <w:spacing w:line="360" w:lineRule="auto"/>
              <w:jc w:val="center"/>
              <w:rPr>
                <w:b/>
                <w:color w:val="auto"/>
                <w:sz w:val="24"/>
                <w:highlight w:val="none"/>
              </w:rPr>
            </w:pPr>
            <w:r>
              <w:rPr>
                <w:b/>
                <w:color w:val="auto"/>
                <w:sz w:val="24"/>
                <w:highlight w:val="none"/>
              </w:rPr>
              <w:t>图2.10-1  施工期工艺流程及产污环境示意图</w:t>
            </w:r>
          </w:p>
          <w:p w14:paraId="302CEDD1">
            <w:pPr>
              <w:adjustRightInd w:val="0"/>
              <w:snapToGrid w:val="0"/>
              <w:spacing w:line="460" w:lineRule="exact"/>
              <w:rPr>
                <w:b/>
                <w:color w:val="auto"/>
                <w:sz w:val="24"/>
                <w:highlight w:val="none"/>
              </w:rPr>
            </w:pPr>
            <w:r>
              <w:rPr>
                <w:b/>
                <w:color w:val="auto"/>
                <w:sz w:val="24"/>
                <w:highlight w:val="none"/>
              </w:rPr>
              <w:t>2.12运营期工艺流程和产污环节</w:t>
            </w:r>
          </w:p>
          <w:p w14:paraId="57D038E7">
            <w:pPr>
              <w:adjustRightInd w:val="0"/>
              <w:snapToGrid w:val="0"/>
              <w:spacing w:line="460" w:lineRule="exact"/>
              <w:rPr>
                <w:bCs/>
                <w:color w:val="auto"/>
                <w:sz w:val="24"/>
                <w:highlight w:val="none"/>
              </w:rPr>
            </w:pPr>
            <w:r>
              <w:rPr>
                <w:b/>
                <w:color w:val="auto"/>
                <w:sz w:val="24"/>
                <w:highlight w:val="none"/>
              </w:rPr>
              <w:t>2.12.1工艺流程</w:t>
            </w:r>
          </w:p>
          <w:p w14:paraId="3752C376">
            <w:pPr>
              <w:adjustRightInd w:val="0"/>
              <w:snapToGrid w:val="0"/>
              <w:spacing w:line="460" w:lineRule="exact"/>
              <w:ind w:firstLine="480" w:firstLineChars="200"/>
              <w:rPr>
                <w:bCs/>
                <w:color w:val="auto"/>
                <w:sz w:val="24"/>
                <w:highlight w:val="none"/>
              </w:rPr>
            </w:pPr>
            <w:r>
              <w:rPr>
                <w:bCs/>
                <w:color w:val="auto"/>
                <w:sz w:val="24"/>
                <w:highlight w:val="none"/>
              </w:rPr>
              <w:t>本项目工艺流程图见图2.11-1。</w:t>
            </w:r>
          </w:p>
          <w:p w14:paraId="683D4D37">
            <w:pPr>
              <w:adjustRightInd w:val="0"/>
              <w:snapToGrid w:val="0"/>
              <w:spacing w:line="460" w:lineRule="exact"/>
              <w:ind w:firstLine="480" w:firstLineChars="200"/>
              <w:rPr>
                <w:bCs/>
                <w:color w:val="auto"/>
                <w:sz w:val="24"/>
                <w:highlight w:val="none"/>
              </w:rPr>
            </w:pPr>
          </w:p>
          <w:p w14:paraId="639395F0">
            <w:pPr>
              <w:adjustRightInd w:val="0"/>
              <w:snapToGrid w:val="0"/>
              <w:spacing w:line="460" w:lineRule="exact"/>
              <w:ind w:firstLine="480" w:firstLineChars="200"/>
              <w:rPr>
                <w:bCs/>
                <w:color w:val="auto"/>
                <w:sz w:val="24"/>
                <w:highlight w:val="none"/>
              </w:rPr>
            </w:pPr>
          </w:p>
          <w:p w14:paraId="28FAAD14">
            <w:pPr>
              <w:adjustRightInd w:val="0"/>
              <w:snapToGrid w:val="0"/>
              <w:spacing w:line="460" w:lineRule="exact"/>
              <w:rPr>
                <w:bCs/>
                <w:color w:val="auto"/>
                <w:sz w:val="24"/>
                <w:highlight w:val="none"/>
              </w:rPr>
            </w:pPr>
          </w:p>
          <w:p w14:paraId="0D1D1D5E">
            <w:pPr>
              <w:pStyle w:val="3"/>
              <w:rPr>
                <w:bCs/>
                <w:color w:val="auto"/>
                <w:sz w:val="24"/>
                <w:highlight w:val="none"/>
              </w:rPr>
            </w:pPr>
          </w:p>
          <w:p w14:paraId="12C855B1">
            <w:pPr>
              <w:rPr>
                <w:bCs/>
                <w:color w:val="auto"/>
                <w:sz w:val="24"/>
                <w:highlight w:val="none"/>
              </w:rPr>
            </w:pPr>
          </w:p>
          <w:p w14:paraId="30F352AF">
            <w:pPr>
              <w:pStyle w:val="3"/>
              <w:rPr>
                <w:bCs/>
                <w:color w:val="auto"/>
                <w:sz w:val="24"/>
                <w:highlight w:val="none"/>
              </w:rPr>
            </w:pPr>
          </w:p>
          <w:p w14:paraId="75ADB14B">
            <w:pPr>
              <w:rPr>
                <w:bCs/>
                <w:color w:val="auto"/>
                <w:sz w:val="24"/>
                <w:highlight w:val="none"/>
              </w:rPr>
            </w:pPr>
          </w:p>
          <w:p w14:paraId="4C3129C8">
            <w:pPr>
              <w:pStyle w:val="3"/>
              <w:rPr>
                <w:bCs/>
                <w:color w:val="auto"/>
                <w:sz w:val="24"/>
                <w:highlight w:val="none"/>
              </w:rPr>
            </w:pPr>
          </w:p>
          <w:p w14:paraId="476470D6">
            <w:pPr>
              <w:rPr>
                <w:bCs/>
                <w:color w:val="auto"/>
                <w:sz w:val="24"/>
                <w:highlight w:val="none"/>
              </w:rPr>
            </w:pPr>
          </w:p>
          <w:p w14:paraId="0B7355F7">
            <w:pPr>
              <w:pStyle w:val="3"/>
              <w:rPr>
                <w:bCs/>
                <w:color w:val="auto"/>
                <w:sz w:val="24"/>
                <w:highlight w:val="none"/>
              </w:rPr>
            </w:pPr>
          </w:p>
          <w:p w14:paraId="774D2D97">
            <w:pPr>
              <w:rPr>
                <w:color w:val="auto"/>
                <w:highlight w:val="none"/>
              </w:rPr>
            </w:pPr>
          </w:p>
          <w:p w14:paraId="754814F1">
            <w:pPr>
              <w:pStyle w:val="3"/>
              <w:rPr>
                <w:color w:val="auto"/>
                <w:highlight w:val="none"/>
              </w:rPr>
            </w:pPr>
          </w:p>
          <w:p w14:paraId="2186180D">
            <w:pPr>
              <w:adjustRightInd w:val="0"/>
              <w:snapToGrid w:val="0"/>
              <w:spacing w:line="460" w:lineRule="exact"/>
              <w:rPr>
                <w:bCs/>
                <w:color w:val="auto"/>
                <w:sz w:val="24"/>
                <w:highlight w:val="none"/>
              </w:rPr>
            </w:pPr>
            <w:r>
              <w:rPr>
                <w:bCs/>
                <w:color w:val="auto"/>
                <w:sz w:val="24"/>
                <w:highlight w:val="none"/>
              </w:rPr>
              <w:drawing>
                <wp:anchor distT="0" distB="0" distL="114300" distR="114300" simplePos="0" relativeHeight="251683840" behindDoc="0" locked="0" layoutInCell="1" allowOverlap="1">
                  <wp:simplePos x="0" y="0"/>
                  <wp:positionH relativeFrom="column">
                    <wp:posOffset>285115</wp:posOffset>
                  </wp:positionH>
                  <wp:positionV relativeFrom="paragraph">
                    <wp:posOffset>292100</wp:posOffset>
                  </wp:positionV>
                  <wp:extent cx="4772025" cy="5152390"/>
                  <wp:effectExtent l="0" t="0" r="0" b="0"/>
                  <wp:wrapTopAndBottom/>
                  <wp:docPr id="28" name="图片 28" descr="工艺流程及产污环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艺流程及产污环节图"/>
                          <pic:cNvPicPr>
                            <a:picLocks noChangeAspect="1"/>
                          </pic:cNvPicPr>
                        </pic:nvPicPr>
                        <pic:blipFill>
                          <a:blip r:embed="rId12"/>
                          <a:stretch>
                            <a:fillRect/>
                          </a:stretch>
                        </pic:blipFill>
                        <pic:spPr>
                          <a:xfrm>
                            <a:off x="0" y="0"/>
                            <a:ext cx="4772025" cy="5152390"/>
                          </a:xfrm>
                          <a:prstGeom prst="rect">
                            <a:avLst/>
                          </a:prstGeom>
                        </pic:spPr>
                      </pic:pic>
                    </a:graphicData>
                  </a:graphic>
                </wp:anchor>
              </w:drawing>
            </w:r>
          </w:p>
          <w:p w14:paraId="7E6BCABE">
            <w:pPr>
              <w:adjustRightInd w:val="0"/>
              <w:snapToGrid w:val="0"/>
              <w:rPr>
                <w:bCs/>
                <w:color w:val="auto"/>
                <w:sz w:val="24"/>
                <w:highlight w:val="none"/>
              </w:rPr>
            </w:pPr>
          </w:p>
          <w:p w14:paraId="165DAEFF">
            <w:pPr>
              <w:adjustRightInd w:val="0"/>
              <w:snapToGrid w:val="0"/>
              <w:spacing w:line="460" w:lineRule="exact"/>
              <w:jc w:val="center"/>
              <w:rPr>
                <w:b/>
                <w:color w:val="auto"/>
                <w:sz w:val="24"/>
                <w:highlight w:val="none"/>
              </w:rPr>
            </w:pPr>
            <w:r>
              <w:rPr>
                <w:b/>
                <w:color w:val="auto"/>
                <w:sz w:val="24"/>
                <w:highlight w:val="none"/>
              </w:rPr>
              <w:t>图2.12-1 项目工艺流程</w:t>
            </w:r>
            <w:r>
              <w:rPr>
                <w:b/>
                <w:bCs/>
                <w:color w:val="auto"/>
                <w:kern w:val="0"/>
                <w:sz w:val="24"/>
                <w:szCs w:val="28"/>
                <w:highlight w:val="none"/>
              </w:rPr>
              <w:t>及产污环节</w:t>
            </w:r>
            <w:r>
              <w:rPr>
                <w:b/>
                <w:color w:val="auto"/>
                <w:sz w:val="24"/>
                <w:highlight w:val="none"/>
              </w:rPr>
              <w:t>图</w:t>
            </w:r>
          </w:p>
          <w:p w14:paraId="6279810E">
            <w:pPr>
              <w:adjustRightInd w:val="0"/>
              <w:snapToGrid w:val="0"/>
              <w:spacing w:line="360" w:lineRule="auto"/>
              <w:ind w:firstLine="482" w:firstLineChars="200"/>
              <w:rPr>
                <w:b/>
                <w:color w:val="auto"/>
                <w:sz w:val="24"/>
                <w:highlight w:val="none"/>
              </w:rPr>
            </w:pPr>
            <w:r>
              <w:rPr>
                <w:b/>
                <w:color w:val="auto"/>
                <w:sz w:val="24"/>
                <w:highlight w:val="none"/>
              </w:rPr>
              <w:t>（1）一级清洗</w:t>
            </w:r>
          </w:p>
          <w:p w14:paraId="438746BC">
            <w:pPr>
              <w:pStyle w:val="6"/>
              <w:spacing w:before="0" w:after="0" w:line="360" w:lineRule="auto"/>
              <w:ind w:right="0" w:firstLine="480" w:firstLineChars="200"/>
              <w:rPr>
                <w:b/>
                <w:color w:val="auto"/>
                <w:sz w:val="24"/>
                <w:szCs w:val="24"/>
                <w:highlight w:val="none"/>
              </w:rPr>
            </w:pPr>
            <w:r>
              <w:rPr>
                <w:color w:val="auto"/>
                <w:sz w:val="24"/>
                <w:szCs w:val="28"/>
                <w:highlight w:val="none"/>
              </w:rPr>
              <w:t>主要是对葛根表皮粘带泥沙、砂石的清洗。将适量原料鲜葛根从鲜葛保鲜库中取出，放入毛刷清洗机中洗净葛根表皮的泥沙和砂石，便于后续环节对葛根淀粉的提取，</w:t>
            </w:r>
            <w:r>
              <w:rPr>
                <w:color w:val="auto"/>
                <w:sz w:val="24"/>
                <w:szCs w:val="21"/>
                <w:highlight w:val="none"/>
              </w:rPr>
              <w:t>一级清洗对泥沙的去除率约80%</w:t>
            </w:r>
            <w:r>
              <w:rPr>
                <w:color w:val="auto"/>
                <w:sz w:val="24"/>
                <w:szCs w:val="28"/>
                <w:highlight w:val="none"/>
              </w:rPr>
              <w:t>。次工序为批次清洗，每次清洗鲜葛根0.15t，每批次清洗时长约5分钟，每天工作时长约3h。本环节产生废水W1和设施运行噪声。</w:t>
            </w:r>
          </w:p>
          <w:p w14:paraId="5E59FE31">
            <w:pPr>
              <w:spacing w:line="360" w:lineRule="auto"/>
              <w:ind w:firstLine="482" w:firstLineChars="200"/>
              <w:rPr>
                <w:b/>
                <w:color w:val="auto"/>
                <w:sz w:val="24"/>
                <w:highlight w:val="none"/>
              </w:rPr>
            </w:pPr>
            <w:r>
              <w:rPr>
                <w:b/>
                <w:color w:val="auto"/>
                <w:sz w:val="24"/>
                <w:highlight w:val="none"/>
              </w:rPr>
              <w:t>（2）二级清洗</w:t>
            </w:r>
          </w:p>
          <w:p w14:paraId="0401D3F0">
            <w:pPr>
              <w:spacing w:line="360" w:lineRule="auto"/>
              <w:ind w:firstLine="480" w:firstLineChars="200"/>
              <w:rPr>
                <w:bCs/>
                <w:color w:val="auto"/>
                <w:sz w:val="24"/>
                <w:highlight w:val="none"/>
              </w:rPr>
            </w:pPr>
            <w:r>
              <w:rPr>
                <w:bCs/>
                <w:color w:val="auto"/>
                <w:sz w:val="24"/>
                <w:highlight w:val="none"/>
              </w:rPr>
              <w:t>主要是人工对初步去泥砂的葛根进一步清洗，去除葛根表皮凹陷及缝隙里的泥沙，并对葛根进行分拣，产生不合格鲜葛根S1。本环节产生废水约80%回用于一级清洗用水，剩余废水W2进入污水处理设施。</w:t>
            </w:r>
          </w:p>
          <w:p w14:paraId="355A809D">
            <w:pPr>
              <w:spacing w:line="460" w:lineRule="exact"/>
              <w:ind w:left="63" w:firstLine="567"/>
              <w:rPr>
                <w:b/>
                <w:color w:val="auto"/>
                <w:sz w:val="24"/>
                <w:highlight w:val="none"/>
              </w:rPr>
            </w:pPr>
            <w:r>
              <w:rPr>
                <w:b/>
                <w:color w:val="auto"/>
                <w:sz w:val="24"/>
                <w:highlight w:val="none"/>
              </w:rPr>
              <w:t>（3）粉碎磨浆</w:t>
            </w:r>
          </w:p>
          <w:p w14:paraId="4521290F">
            <w:pPr>
              <w:spacing w:line="460" w:lineRule="exact"/>
              <w:ind w:firstLine="480" w:firstLineChars="200"/>
              <w:rPr>
                <w:b/>
                <w:color w:val="auto"/>
                <w:sz w:val="24"/>
                <w:highlight w:val="none"/>
              </w:rPr>
            </w:pPr>
            <w:r>
              <w:rPr>
                <w:bCs/>
                <w:color w:val="auto"/>
                <w:sz w:val="24"/>
                <w:highlight w:val="none"/>
              </w:rPr>
              <w:t>将清洗干净的葛根经皮带运输机输送至粉碎磨浆间，进入葛根粉碎机，粉碎</w:t>
            </w:r>
            <w:r>
              <w:rPr>
                <w:color w:val="auto"/>
                <w:sz w:val="24"/>
                <w:highlight w:val="none"/>
                <w:shd w:val="clear" w:color="auto" w:fill="FFFFFF"/>
              </w:rPr>
              <w:t>鲜葛根</w:t>
            </w:r>
            <w:r>
              <w:rPr>
                <w:bCs/>
                <w:color w:val="auto"/>
                <w:sz w:val="24"/>
                <w:highlight w:val="none"/>
              </w:rPr>
              <w:t>过程中需加入一定量的新鲜水（每吨清洗后的鲜葛根约加入0.4m</w:t>
            </w:r>
            <w:r>
              <w:rPr>
                <w:bCs/>
                <w:color w:val="auto"/>
                <w:sz w:val="24"/>
                <w:highlight w:val="none"/>
                <w:vertAlign w:val="superscript"/>
              </w:rPr>
              <w:t>3</w:t>
            </w:r>
            <w:r>
              <w:rPr>
                <w:bCs/>
                <w:color w:val="auto"/>
                <w:sz w:val="24"/>
                <w:highlight w:val="none"/>
              </w:rPr>
              <w:t>新鲜水），</w:t>
            </w:r>
            <w:r>
              <w:rPr>
                <w:color w:val="auto"/>
                <w:sz w:val="24"/>
                <w:highlight w:val="none"/>
                <w:shd w:val="clear" w:color="auto" w:fill="FFFFFF"/>
              </w:rPr>
              <w:t>将鲜葛根通过高速旋转的辊子刨碎成浆状。</w:t>
            </w:r>
            <w:r>
              <w:rPr>
                <w:color w:val="auto"/>
                <w:sz w:val="24"/>
                <w:szCs w:val="28"/>
                <w:highlight w:val="none"/>
              </w:rPr>
              <w:t>本环节</w:t>
            </w:r>
            <w:r>
              <w:rPr>
                <w:bCs/>
                <w:color w:val="auto"/>
                <w:sz w:val="24"/>
                <w:highlight w:val="none"/>
              </w:rPr>
              <w:t>产生噪声。</w:t>
            </w:r>
          </w:p>
          <w:p w14:paraId="33CB6A1B">
            <w:pPr>
              <w:spacing w:line="460" w:lineRule="exact"/>
              <w:ind w:left="63" w:firstLine="567"/>
              <w:rPr>
                <w:b/>
                <w:color w:val="auto"/>
                <w:sz w:val="24"/>
                <w:highlight w:val="none"/>
              </w:rPr>
            </w:pPr>
            <w:r>
              <w:rPr>
                <w:b/>
                <w:color w:val="auto"/>
                <w:sz w:val="24"/>
                <w:highlight w:val="none"/>
              </w:rPr>
              <w:t>（4）浆渣分离</w:t>
            </w:r>
          </w:p>
          <w:p w14:paraId="4AB8F113">
            <w:pPr>
              <w:spacing w:line="460" w:lineRule="exact"/>
              <w:ind w:firstLine="480" w:firstLineChars="200"/>
              <w:rPr>
                <w:b/>
                <w:color w:val="auto"/>
                <w:sz w:val="24"/>
                <w:highlight w:val="none"/>
              </w:rPr>
            </w:pPr>
            <w:r>
              <w:rPr>
                <w:bCs/>
                <w:color w:val="auto"/>
                <w:sz w:val="24"/>
                <w:highlight w:val="none"/>
              </w:rPr>
              <w:t>将粉碎得到的浆液通过螺杆输送泵进入浆渣分离机，加入一定量的新鲜水进行浆渣分离，利用80目的筛网去除浆液中较粗的固体和杂质。</w:t>
            </w:r>
            <w:r>
              <w:rPr>
                <w:color w:val="auto"/>
                <w:sz w:val="24"/>
                <w:szCs w:val="28"/>
                <w:highlight w:val="none"/>
              </w:rPr>
              <w:t>本环节</w:t>
            </w:r>
            <w:r>
              <w:rPr>
                <w:bCs/>
                <w:color w:val="auto"/>
                <w:sz w:val="24"/>
                <w:highlight w:val="none"/>
              </w:rPr>
              <w:t>产生固体废物S2、噪声。</w:t>
            </w:r>
          </w:p>
          <w:p w14:paraId="48837A46">
            <w:pPr>
              <w:spacing w:line="460" w:lineRule="exact"/>
              <w:ind w:left="63" w:firstLine="567"/>
              <w:rPr>
                <w:b/>
                <w:color w:val="auto"/>
                <w:sz w:val="24"/>
                <w:highlight w:val="none"/>
              </w:rPr>
            </w:pPr>
            <w:r>
              <w:rPr>
                <w:b/>
                <w:color w:val="auto"/>
                <w:sz w:val="24"/>
                <w:highlight w:val="none"/>
              </w:rPr>
              <w:t>（5）细筛</w:t>
            </w:r>
          </w:p>
          <w:p w14:paraId="4951A348">
            <w:pPr>
              <w:spacing w:line="460" w:lineRule="exact"/>
              <w:ind w:firstLine="480" w:firstLineChars="200"/>
              <w:rPr>
                <w:b/>
                <w:color w:val="auto"/>
                <w:sz w:val="24"/>
                <w:highlight w:val="none"/>
              </w:rPr>
            </w:pPr>
            <w:r>
              <w:rPr>
                <w:bCs/>
                <w:color w:val="auto"/>
                <w:sz w:val="24"/>
                <w:highlight w:val="none"/>
              </w:rPr>
              <w:t>将上一环节过滤所得的浆液通入二罗机，利用120目筛网进一步过滤较细的泥沙和细渣，</w:t>
            </w:r>
            <w:r>
              <w:rPr>
                <w:color w:val="auto"/>
                <w:sz w:val="24"/>
                <w:szCs w:val="28"/>
                <w:highlight w:val="none"/>
              </w:rPr>
              <w:t>本环节</w:t>
            </w:r>
            <w:r>
              <w:rPr>
                <w:bCs/>
                <w:color w:val="auto"/>
                <w:sz w:val="24"/>
                <w:highlight w:val="none"/>
              </w:rPr>
              <w:t>产生固体废物S3、噪声。</w:t>
            </w:r>
          </w:p>
          <w:p w14:paraId="5EA4EA00">
            <w:pPr>
              <w:spacing w:line="460" w:lineRule="exact"/>
              <w:ind w:left="63" w:firstLine="567"/>
              <w:rPr>
                <w:b/>
                <w:color w:val="auto"/>
                <w:sz w:val="24"/>
                <w:highlight w:val="none"/>
              </w:rPr>
            </w:pPr>
            <w:r>
              <w:rPr>
                <w:b/>
                <w:color w:val="auto"/>
                <w:sz w:val="24"/>
                <w:highlight w:val="none"/>
              </w:rPr>
              <w:t>（6）淀粉除砂</w:t>
            </w:r>
          </w:p>
          <w:p w14:paraId="0DC28DA7">
            <w:pPr>
              <w:spacing w:line="460" w:lineRule="exact"/>
              <w:ind w:firstLine="480" w:firstLineChars="200"/>
              <w:rPr>
                <w:b/>
                <w:color w:val="auto"/>
                <w:sz w:val="24"/>
                <w:highlight w:val="none"/>
              </w:rPr>
            </w:pPr>
            <w:r>
              <w:rPr>
                <w:bCs/>
                <w:color w:val="auto"/>
                <w:sz w:val="24"/>
                <w:highlight w:val="none"/>
              </w:rPr>
              <w:t>将上一环节得到的浆液通过淀粉除砂器进一步分离杂质，利用旋转离心的方式彻底去除浆液中的细微泥沙和杂质，提升所得淀粉的品质。</w:t>
            </w:r>
            <w:r>
              <w:rPr>
                <w:color w:val="auto"/>
                <w:sz w:val="24"/>
                <w:szCs w:val="28"/>
                <w:highlight w:val="none"/>
              </w:rPr>
              <w:t>本环节</w:t>
            </w:r>
            <w:r>
              <w:rPr>
                <w:bCs/>
                <w:color w:val="auto"/>
                <w:sz w:val="24"/>
                <w:highlight w:val="none"/>
              </w:rPr>
              <w:t>产生固体废物S4、噪声。</w:t>
            </w:r>
          </w:p>
          <w:p w14:paraId="5E362F78">
            <w:pPr>
              <w:spacing w:line="460" w:lineRule="exact"/>
              <w:ind w:left="63" w:firstLine="567"/>
              <w:rPr>
                <w:b/>
                <w:color w:val="auto"/>
                <w:sz w:val="24"/>
                <w:highlight w:val="none"/>
              </w:rPr>
            </w:pPr>
            <w:r>
              <w:rPr>
                <w:b/>
                <w:color w:val="auto"/>
                <w:sz w:val="24"/>
                <w:highlight w:val="none"/>
              </w:rPr>
              <w:t>（7）一级沉淀</w:t>
            </w:r>
          </w:p>
          <w:p w14:paraId="2A954948">
            <w:pPr>
              <w:spacing w:line="460" w:lineRule="exact"/>
              <w:ind w:firstLine="480" w:firstLineChars="200"/>
              <w:rPr>
                <w:bCs/>
                <w:color w:val="auto"/>
                <w:sz w:val="24"/>
                <w:highlight w:val="none"/>
              </w:rPr>
            </w:pPr>
            <w:r>
              <w:rPr>
                <w:bCs/>
                <w:color w:val="auto"/>
                <w:sz w:val="24"/>
                <w:highlight w:val="none"/>
              </w:rPr>
              <w:t>将上一环节得到的浆液放置于一级沉淀桶内静置沉淀，400L/桶，需20桶/d，沉淀约12～14h后舀出上层清水，得到底层物料。本环节产生废水W3。</w:t>
            </w:r>
          </w:p>
          <w:p w14:paraId="5C73DC6E">
            <w:pPr>
              <w:spacing w:line="460" w:lineRule="exact"/>
              <w:ind w:left="63" w:firstLine="567"/>
              <w:rPr>
                <w:b/>
                <w:color w:val="auto"/>
                <w:sz w:val="24"/>
                <w:highlight w:val="none"/>
              </w:rPr>
            </w:pPr>
            <w:r>
              <w:rPr>
                <w:b/>
                <w:color w:val="auto"/>
                <w:sz w:val="24"/>
                <w:highlight w:val="none"/>
              </w:rPr>
              <w:t>（8）二级沉淀</w:t>
            </w:r>
          </w:p>
          <w:p w14:paraId="5CA5FC6F">
            <w:pPr>
              <w:spacing w:line="460" w:lineRule="exact"/>
              <w:ind w:firstLine="480" w:firstLineChars="200"/>
              <w:rPr>
                <w:bCs/>
                <w:color w:val="auto"/>
                <w:sz w:val="24"/>
                <w:highlight w:val="none"/>
              </w:rPr>
            </w:pPr>
            <w:r>
              <w:rPr>
                <w:bCs/>
                <w:color w:val="auto"/>
                <w:sz w:val="24"/>
                <w:highlight w:val="none"/>
              </w:rPr>
              <w:t>将一级沉淀后得到的底层物料人工转入二级沉淀桶（100 L/桶），每桶接纳80 L左右的底层物料，再加入20L新鲜水，进行第二次静置沉淀，时长约3天，每天需二级沉淀桶20个，该工序共设置80个二级沉淀桶轮换使用。沉淀结束后舀出上层清水得到底层淀粉，本环节产生废水W4。</w:t>
            </w:r>
          </w:p>
          <w:p w14:paraId="3D50DF29">
            <w:pPr>
              <w:spacing w:line="460" w:lineRule="exact"/>
              <w:ind w:left="63" w:firstLine="567"/>
              <w:rPr>
                <w:b/>
                <w:color w:val="auto"/>
                <w:sz w:val="24"/>
                <w:highlight w:val="none"/>
              </w:rPr>
            </w:pPr>
            <w:r>
              <w:rPr>
                <w:b/>
                <w:color w:val="auto"/>
                <w:sz w:val="24"/>
                <w:highlight w:val="none"/>
              </w:rPr>
              <w:t>（9）烘干</w:t>
            </w:r>
          </w:p>
          <w:p w14:paraId="624CF4D3">
            <w:pPr>
              <w:spacing w:line="460" w:lineRule="exact"/>
              <w:ind w:firstLine="480" w:firstLineChars="200"/>
              <w:rPr>
                <w:bCs/>
                <w:color w:val="auto"/>
                <w:sz w:val="24"/>
                <w:highlight w:val="none"/>
              </w:rPr>
            </w:pPr>
            <w:r>
              <w:rPr>
                <w:bCs/>
                <w:color w:val="auto"/>
                <w:sz w:val="24"/>
                <w:highlight w:val="none"/>
              </w:rPr>
              <w:t>将上一环节沉淀得到的底层湿淀粉人工转移至不锈钢托盘中，放置在货架上，自然通风干燥24h。然后将不锈钢托盘送至烘干机对产品进行烘干，烘干机采用电加热，烘干温度5</w:t>
            </w:r>
            <w:r>
              <w:rPr>
                <w:rFonts w:hint="eastAsia"/>
                <w:bCs/>
                <w:color w:val="auto"/>
                <w:sz w:val="24"/>
                <w:highlight w:val="none"/>
                <w:lang w:val="en-US" w:eastAsia="zh-CN"/>
              </w:rPr>
              <w:t>0</w:t>
            </w:r>
            <w:r>
              <w:rPr>
                <w:bCs/>
                <w:color w:val="auto"/>
                <w:sz w:val="24"/>
                <w:highlight w:val="none"/>
              </w:rPr>
              <w:t>℃~6</w:t>
            </w:r>
            <w:r>
              <w:rPr>
                <w:rFonts w:hint="eastAsia"/>
                <w:bCs/>
                <w:color w:val="auto"/>
                <w:sz w:val="24"/>
                <w:highlight w:val="none"/>
                <w:lang w:val="en-US" w:eastAsia="zh-CN"/>
              </w:rPr>
              <w:t>0</w:t>
            </w:r>
            <w:r>
              <w:rPr>
                <w:bCs/>
                <w:color w:val="auto"/>
                <w:sz w:val="24"/>
                <w:highlight w:val="none"/>
              </w:rPr>
              <w:t>℃，</w:t>
            </w:r>
            <w:r>
              <w:rPr>
                <w:rFonts w:hint="eastAsia"/>
                <w:bCs/>
                <w:color w:val="auto"/>
                <w:sz w:val="24"/>
                <w:highlight w:val="none"/>
                <w:lang w:val="en-US" w:eastAsia="zh-CN"/>
              </w:rPr>
              <w:t>每次</w:t>
            </w:r>
            <w:r>
              <w:rPr>
                <w:bCs/>
                <w:color w:val="auto"/>
                <w:sz w:val="24"/>
                <w:highlight w:val="none"/>
              </w:rPr>
              <w:t>烘干</w:t>
            </w:r>
            <w:r>
              <w:rPr>
                <w:rFonts w:hint="eastAsia"/>
                <w:bCs/>
                <w:color w:val="auto"/>
                <w:sz w:val="24"/>
                <w:highlight w:val="none"/>
                <w:lang w:val="en-US" w:eastAsia="zh-CN"/>
              </w:rPr>
              <w:t>时长</w:t>
            </w:r>
            <w:r>
              <w:rPr>
                <w:bCs/>
                <w:color w:val="auto"/>
                <w:sz w:val="24"/>
                <w:highlight w:val="none"/>
              </w:rPr>
              <w:t>4h，最终得到块状产品葛根粉。烘干过程中无颗粒物等废气，主要为水蒸气，由烘干机侧面通风口排出。</w:t>
            </w:r>
          </w:p>
          <w:p w14:paraId="2E556AEC">
            <w:pPr>
              <w:spacing w:line="460" w:lineRule="exact"/>
              <w:ind w:firstLine="480" w:firstLineChars="200"/>
              <w:rPr>
                <w:bCs/>
                <w:color w:val="auto"/>
                <w:sz w:val="24"/>
                <w:highlight w:val="none"/>
              </w:rPr>
            </w:pPr>
            <w:r>
              <w:rPr>
                <w:color w:val="auto"/>
                <w:sz w:val="24"/>
                <w:szCs w:val="28"/>
                <w:highlight w:val="none"/>
              </w:rPr>
              <w:t>本环节</w:t>
            </w:r>
            <w:r>
              <w:rPr>
                <w:bCs/>
                <w:color w:val="auto"/>
                <w:sz w:val="24"/>
                <w:highlight w:val="none"/>
              </w:rPr>
              <w:t>产生噪声。</w:t>
            </w:r>
          </w:p>
          <w:p w14:paraId="365FEA40">
            <w:pPr>
              <w:tabs>
                <w:tab w:val="left" w:pos="557"/>
              </w:tabs>
              <w:spacing w:line="460" w:lineRule="exact"/>
              <w:ind w:left="63" w:firstLine="567"/>
              <w:rPr>
                <w:b/>
                <w:color w:val="auto"/>
                <w:sz w:val="24"/>
                <w:highlight w:val="none"/>
              </w:rPr>
            </w:pPr>
            <w:r>
              <w:rPr>
                <w:b/>
                <w:color w:val="auto"/>
                <w:sz w:val="24"/>
                <w:highlight w:val="none"/>
              </w:rPr>
              <w:t>（10）检测</w:t>
            </w:r>
          </w:p>
          <w:p w14:paraId="5D214F62">
            <w:pPr>
              <w:spacing w:line="460" w:lineRule="exact"/>
              <w:ind w:firstLine="480" w:firstLineChars="200"/>
              <w:rPr>
                <w:bCs/>
                <w:color w:val="auto"/>
                <w:sz w:val="24"/>
                <w:highlight w:val="none"/>
              </w:rPr>
            </w:pPr>
            <w:r>
              <w:rPr>
                <w:bCs/>
                <w:color w:val="auto"/>
                <w:sz w:val="24"/>
                <w:highlight w:val="none"/>
              </w:rPr>
              <w:t>根据《食用葛根粉》（GB/30637-2014）的产品质量要求，企业对每批次产品在厂内进行感官检测要求，理化指标检测委托第三方检测机构进行，合格的产品进入包装工序。</w:t>
            </w:r>
          </w:p>
          <w:p w14:paraId="29E0ED4D">
            <w:pPr>
              <w:spacing w:line="460" w:lineRule="exact"/>
              <w:ind w:left="63" w:firstLine="567"/>
              <w:rPr>
                <w:b/>
                <w:color w:val="auto"/>
                <w:sz w:val="24"/>
                <w:highlight w:val="none"/>
              </w:rPr>
            </w:pPr>
            <w:r>
              <w:rPr>
                <w:b/>
                <w:color w:val="auto"/>
                <w:sz w:val="24"/>
                <w:highlight w:val="none"/>
              </w:rPr>
              <w:t>（11）包装</w:t>
            </w:r>
          </w:p>
          <w:p w14:paraId="17BE553B">
            <w:pPr>
              <w:spacing w:line="460" w:lineRule="exact"/>
              <w:ind w:firstLine="480" w:firstLineChars="200"/>
              <w:rPr>
                <w:bCs/>
                <w:color w:val="auto"/>
                <w:sz w:val="24"/>
                <w:highlight w:val="none"/>
              </w:rPr>
            </w:pPr>
            <w:r>
              <w:rPr>
                <w:bCs/>
                <w:color w:val="auto"/>
                <w:sz w:val="24"/>
                <w:highlight w:val="none"/>
              </w:rPr>
              <w:t>内包装环节进行消毒处理，使用紫外线消毒柜在包装之前对包装袋进行消毒处理，消毒柜位于内包装间和外包装间中间物流口，</w:t>
            </w:r>
            <w:r>
              <w:rPr>
                <w:rFonts w:hint="eastAsia"/>
                <w:bCs/>
                <w:color w:val="auto"/>
                <w:sz w:val="24"/>
                <w:highlight w:val="none"/>
                <w:lang w:val="en-US" w:eastAsia="zh-CN"/>
              </w:rPr>
              <w:t>一次可对300个内包装袋进行消毒，</w:t>
            </w:r>
            <w:r>
              <w:rPr>
                <w:bCs/>
                <w:color w:val="auto"/>
                <w:sz w:val="24"/>
                <w:highlight w:val="none"/>
              </w:rPr>
              <w:t>消毒时间为5 min。将烘干得到的块状葛根粉放入包装机中按规格称重后进行内包装，外包装为人工打包。包装后的产品进行销售。</w:t>
            </w:r>
          </w:p>
          <w:p w14:paraId="2DE1CEB4">
            <w:pPr>
              <w:spacing w:line="460" w:lineRule="exact"/>
              <w:ind w:firstLine="480" w:firstLineChars="200"/>
              <w:rPr>
                <w:bCs/>
                <w:color w:val="auto"/>
                <w:sz w:val="24"/>
                <w:highlight w:val="none"/>
              </w:rPr>
            </w:pPr>
            <w:r>
              <w:rPr>
                <w:bCs/>
                <w:color w:val="auto"/>
                <w:sz w:val="24"/>
                <w:highlight w:val="none"/>
              </w:rPr>
              <w:t>对葛根粉进行称重内包装过程中产生少量含颗粒物废气G1，产生废包装物S5，包装设备产生噪声。</w:t>
            </w:r>
          </w:p>
          <w:p w14:paraId="381F3630">
            <w:pPr>
              <w:adjustRightInd w:val="0"/>
              <w:snapToGrid w:val="0"/>
              <w:spacing w:line="460" w:lineRule="exact"/>
              <w:rPr>
                <w:b/>
                <w:color w:val="auto"/>
                <w:sz w:val="24"/>
                <w:highlight w:val="none"/>
              </w:rPr>
            </w:pPr>
            <w:r>
              <w:rPr>
                <w:b/>
                <w:color w:val="auto"/>
                <w:sz w:val="24"/>
                <w:highlight w:val="none"/>
              </w:rPr>
              <w:t>2.12.2产污环节</w:t>
            </w:r>
          </w:p>
          <w:p w14:paraId="5EB765D1">
            <w:pPr>
              <w:spacing w:line="460" w:lineRule="exact"/>
              <w:ind w:firstLine="480" w:firstLineChars="200"/>
              <w:rPr>
                <w:bCs/>
                <w:color w:val="auto"/>
                <w:sz w:val="24"/>
                <w:highlight w:val="none"/>
              </w:rPr>
            </w:pPr>
            <w:r>
              <w:rPr>
                <w:bCs/>
                <w:color w:val="auto"/>
                <w:sz w:val="24"/>
                <w:highlight w:val="none"/>
              </w:rPr>
              <w:t>本项目产污情况见表2.12-1。</w:t>
            </w:r>
          </w:p>
          <w:p w14:paraId="4DEA2AEC">
            <w:pPr>
              <w:spacing w:line="460" w:lineRule="exact"/>
              <w:jc w:val="center"/>
              <w:rPr>
                <w:b/>
                <w:color w:val="auto"/>
                <w:sz w:val="24"/>
                <w:highlight w:val="none"/>
              </w:rPr>
            </w:pPr>
            <w:r>
              <w:rPr>
                <w:b/>
                <w:color w:val="auto"/>
                <w:sz w:val="24"/>
                <w:highlight w:val="none"/>
              </w:rPr>
              <w:t>2.12-1本项目产污情况一览表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613"/>
              <w:gridCol w:w="1559"/>
              <w:gridCol w:w="1065"/>
              <w:gridCol w:w="1485"/>
              <w:gridCol w:w="3150"/>
            </w:tblGrid>
            <w:tr w14:paraId="2482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 w:type="pct"/>
                  <w:vAlign w:val="center"/>
                </w:tcPr>
                <w:p w14:paraId="787D8914">
                  <w:pPr>
                    <w:spacing w:line="300" w:lineRule="exact"/>
                    <w:jc w:val="center"/>
                    <w:rPr>
                      <w:rFonts w:eastAsiaTheme="minorEastAsia"/>
                      <w:bCs/>
                      <w:color w:val="auto"/>
                      <w:szCs w:val="21"/>
                      <w:highlight w:val="none"/>
                    </w:rPr>
                  </w:pPr>
                  <w:r>
                    <w:rPr>
                      <w:rFonts w:eastAsiaTheme="minorEastAsia"/>
                      <w:bCs/>
                      <w:color w:val="auto"/>
                      <w:szCs w:val="21"/>
                      <w:highlight w:val="none"/>
                    </w:rPr>
                    <w:t>类别</w:t>
                  </w:r>
                </w:p>
              </w:tc>
              <w:tc>
                <w:tcPr>
                  <w:tcW w:w="1289" w:type="pct"/>
                  <w:gridSpan w:val="2"/>
                  <w:vAlign w:val="center"/>
                </w:tcPr>
                <w:p w14:paraId="347D452B">
                  <w:pPr>
                    <w:spacing w:line="300" w:lineRule="exact"/>
                    <w:jc w:val="center"/>
                    <w:rPr>
                      <w:rFonts w:eastAsiaTheme="minorEastAsia"/>
                      <w:bCs/>
                      <w:color w:val="auto"/>
                      <w:szCs w:val="21"/>
                      <w:highlight w:val="none"/>
                    </w:rPr>
                  </w:pPr>
                  <w:r>
                    <w:rPr>
                      <w:rFonts w:eastAsiaTheme="minorEastAsia"/>
                      <w:bCs/>
                      <w:color w:val="auto"/>
                      <w:szCs w:val="21"/>
                      <w:highlight w:val="none"/>
                    </w:rPr>
                    <w:t>污染源名称</w:t>
                  </w:r>
                </w:p>
              </w:tc>
              <w:tc>
                <w:tcPr>
                  <w:tcW w:w="632" w:type="pct"/>
                  <w:vAlign w:val="center"/>
                </w:tcPr>
                <w:p w14:paraId="00357426">
                  <w:pPr>
                    <w:spacing w:line="300" w:lineRule="exact"/>
                    <w:jc w:val="center"/>
                    <w:rPr>
                      <w:rFonts w:eastAsiaTheme="minorEastAsia"/>
                      <w:bCs/>
                      <w:color w:val="auto"/>
                      <w:szCs w:val="21"/>
                      <w:highlight w:val="none"/>
                    </w:rPr>
                  </w:pPr>
                  <w:r>
                    <w:rPr>
                      <w:rFonts w:eastAsiaTheme="minorEastAsia"/>
                      <w:bCs/>
                      <w:color w:val="auto"/>
                      <w:szCs w:val="21"/>
                      <w:highlight w:val="none"/>
                    </w:rPr>
                    <w:t>产污工序</w:t>
                  </w:r>
                </w:p>
              </w:tc>
              <w:tc>
                <w:tcPr>
                  <w:tcW w:w="881" w:type="pct"/>
                  <w:vAlign w:val="center"/>
                </w:tcPr>
                <w:p w14:paraId="3F43D2F0">
                  <w:pPr>
                    <w:spacing w:line="300" w:lineRule="exact"/>
                    <w:jc w:val="center"/>
                    <w:rPr>
                      <w:rFonts w:eastAsiaTheme="minorEastAsia"/>
                      <w:bCs/>
                      <w:color w:val="auto"/>
                      <w:szCs w:val="21"/>
                      <w:highlight w:val="none"/>
                    </w:rPr>
                  </w:pPr>
                  <w:r>
                    <w:rPr>
                      <w:rFonts w:eastAsiaTheme="minorEastAsia"/>
                      <w:bCs/>
                      <w:color w:val="auto"/>
                      <w:szCs w:val="21"/>
                      <w:highlight w:val="none"/>
                    </w:rPr>
                    <w:t>主要污染因子</w:t>
                  </w:r>
                </w:p>
              </w:tc>
              <w:tc>
                <w:tcPr>
                  <w:tcW w:w="1869" w:type="pct"/>
                  <w:vAlign w:val="center"/>
                </w:tcPr>
                <w:p w14:paraId="518C0674">
                  <w:pPr>
                    <w:spacing w:line="300" w:lineRule="exact"/>
                    <w:jc w:val="center"/>
                    <w:rPr>
                      <w:rFonts w:eastAsiaTheme="minorEastAsia"/>
                      <w:bCs/>
                      <w:color w:val="auto"/>
                      <w:szCs w:val="21"/>
                      <w:highlight w:val="none"/>
                    </w:rPr>
                  </w:pPr>
                  <w:r>
                    <w:rPr>
                      <w:rFonts w:eastAsiaTheme="minorEastAsia"/>
                      <w:bCs/>
                      <w:color w:val="auto"/>
                      <w:szCs w:val="21"/>
                      <w:highlight w:val="none"/>
                    </w:rPr>
                    <w:t>处理措施</w:t>
                  </w:r>
                </w:p>
              </w:tc>
            </w:tr>
            <w:tr w14:paraId="31C2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27" w:type="pct"/>
                  <w:vAlign w:val="center"/>
                </w:tcPr>
                <w:p w14:paraId="150A7CE8">
                  <w:pPr>
                    <w:spacing w:line="300" w:lineRule="exact"/>
                    <w:jc w:val="center"/>
                    <w:rPr>
                      <w:rFonts w:eastAsiaTheme="minorEastAsia"/>
                      <w:bCs/>
                      <w:color w:val="auto"/>
                      <w:szCs w:val="21"/>
                      <w:highlight w:val="none"/>
                    </w:rPr>
                  </w:pPr>
                  <w:r>
                    <w:rPr>
                      <w:rFonts w:eastAsiaTheme="minorEastAsia"/>
                      <w:bCs/>
                      <w:color w:val="auto"/>
                      <w:szCs w:val="21"/>
                      <w:highlight w:val="none"/>
                    </w:rPr>
                    <w:t>废气</w:t>
                  </w:r>
                </w:p>
              </w:tc>
              <w:tc>
                <w:tcPr>
                  <w:tcW w:w="364" w:type="pct"/>
                  <w:shd w:val="clear" w:color="auto" w:fill="auto"/>
                  <w:vAlign w:val="center"/>
                </w:tcPr>
                <w:p w14:paraId="5486CAB5">
                  <w:pPr>
                    <w:spacing w:line="300" w:lineRule="exact"/>
                    <w:jc w:val="center"/>
                    <w:rPr>
                      <w:rFonts w:eastAsiaTheme="minorEastAsia"/>
                      <w:bCs/>
                      <w:color w:val="auto"/>
                      <w:szCs w:val="21"/>
                      <w:highlight w:val="none"/>
                    </w:rPr>
                  </w:pPr>
                  <w:r>
                    <w:rPr>
                      <w:rFonts w:eastAsiaTheme="minorEastAsia"/>
                      <w:bCs/>
                      <w:color w:val="auto"/>
                      <w:szCs w:val="21"/>
                      <w:highlight w:val="none"/>
                    </w:rPr>
                    <w:t>G1</w:t>
                  </w:r>
                </w:p>
              </w:tc>
              <w:tc>
                <w:tcPr>
                  <w:tcW w:w="924" w:type="pct"/>
                  <w:shd w:val="clear" w:color="auto" w:fill="auto"/>
                  <w:vAlign w:val="center"/>
                </w:tcPr>
                <w:p w14:paraId="0484AC18">
                  <w:pPr>
                    <w:spacing w:line="300" w:lineRule="exact"/>
                    <w:jc w:val="center"/>
                    <w:rPr>
                      <w:rFonts w:eastAsiaTheme="minorEastAsia"/>
                      <w:bCs/>
                      <w:color w:val="auto"/>
                      <w:szCs w:val="21"/>
                      <w:highlight w:val="none"/>
                    </w:rPr>
                  </w:pPr>
                  <w:r>
                    <w:rPr>
                      <w:rFonts w:eastAsiaTheme="minorEastAsia"/>
                      <w:bCs/>
                      <w:color w:val="auto"/>
                      <w:szCs w:val="21"/>
                      <w:highlight w:val="none"/>
                    </w:rPr>
                    <w:t>包装间粉尘</w:t>
                  </w:r>
                </w:p>
              </w:tc>
              <w:tc>
                <w:tcPr>
                  <w:tcW w:w="632" w:type="pct"/>
                  <w:shd w:val="clear" w:color="auto" w:fill="auto"/>
                  <w:vAlign w:val="center"/>
                </w:tcPr>
                <w:p w14:paraId="214BE576">
                  <w:pPr>
                    <w:spacing w:line="300" w:lineRule="exact"/>
                    <w:jc w:val="center"/>
                    <w:rPr>
                      <w:rFonts w:eastAsiaTheme="minorEastAsia"/>
                      <w:bCs/>
                      <w:color w:val="auto"/>
                      <w:szCs w:val="21"/>
                      <w:highlight w:val="none"/>
                    </w:rPr>
                  </w:pPr>
                  <w:r>
                    <w:rPr>
                      <w:rFonts w:eastAsiaTheme="minorEastAsia"/>
                      <w:bCs/>
                      <w:color w:val="auto"/>
                      <w:szCs w:val="21"/>
                      <w:highlight w:val="none"/>
                    </w:rPr>
                    <w:t>包装</w:t>
                  </w:r>
                </w:p>
              </w:tc>
              <w:tc>
                <w:tcPr>
                  <w:tcW w:w="881" w:type="pct"/>
                  <w:shd w:val="clear" w:color="auto" w:fill="auto"/>
                  <w:vAlign w:val="center"/>
                </w:tcPr>
                <w:p w14:paraId="7AC428E3">
                  <w:pPr>
                    <w:spacing w:line="300" w:lineRule="exact"/>
                    <w:jc w:val="center"/>
                    <w:rPr>
                      <w:rFonts w:eastAsiaTheme="minorEastAsia"/>
                      <w:bCs/>
                      <w:color w:val="auto"/>
                      <w:szCs w:val="21"/>
                      <w:highlight w:val="none"/>
                    </w:rPr>
                  </w:pPr>
                  <w:r>
                    <w:rPr>
                      <w:rFonts w:eastAsiaTheme="minorEastAsia"/>
                      <w:bCs/>
                      <w:color w:val="auto"/>
                      <w:szCs w:val="21"/>
                      <w:highlight w:val="none"/>
                    </w:rPr>
                    <w:t>颗粒物</w:t>
                  </w:r>
                </w:p>
              </w:tc>
              <w:tc>
                <w:tcPr>
                  <w:tcW w:w="1869" w:type="pct"/>
                  <w:shd w:val="clear" w:color="auto" w:fill="auto"/>
                  <w:vAlign w:val="center"/>
                </w:tcPr>
                <w:p w14:paraId="7C7727F3">
                  <w:pPr>
                    <w:spacing w:line="300" w:lineRule="exact"/>
                    <w:jc w:val="center"/>
                    <w:rPr>
                      <w:rFonts w:eastAsiaTheme="minorEastAsia"/>
                      <w:bCs/>
                      <w:color w:val="auto"/>
                      <w:szCs w:val="21"/>
                      <w:highlight w:val="none"/>
                    </w:rPr>
                  </w:pPr>
                  <w:r>
                    <w:rPr>
                      <w:rFonts w:eastAsiaTheme="minorEastAsia"/>
                      <w:bCs/>
                      <w:color w:val="auto"/>
                      <w:szCs w:val="21"/>
                      <w:highlight w:val="none"/>
                    </w:rPr>
                    <w:t>包装环节产生微量的粉尘</w:t>
                  </w:r>
                  <w:r>
                    <w:rPr>
                      <w:rFonts w:eastAsiaTheme="minorEastAsia"/>
                      <w:color w:val="auto"/>
                      <w:kern w:val="0"/>
                      <w:szCs w:val="21"/>
                      <w:highlight w:val="none"/>
                      <w:lang w:bidi="ar"/>
                    </w:rPr>
                    <w:t>在</w:t>
                  </w:r>
                  <w:r>
                    <w:rPr>
                      <w:rFonts w:eastAsiaTheme="minorEastAsia"/>
                      <w:bCs/>
                      <w:color w:val="auto"/>
                      <w:szCs w:val="21"/>
                      <w:highlight w:val="none"/>
                    </w:rPr>
                    <w:t>封闭</w:t>
                  </w:r>
                  <w:r>
                    <w:rPr>
                      <w:rFonts w:eastAsiaTheme="minorEastAsia"/>
                      <w:color w:val="auto"/>
                      <w:kern w:val="0"/>
                      <w:szCs w:val="21"/>
                      <w:highlight w:val="none"/>
                      <w:lang w:bidi="ar"/>
                    </w:rPr>
                    <w:t>包装间自然沉降后，对地面进行定期清扫。</w:t>
                  </w:r>
                </w:p>
              </w:tc>
            </w:tr>
            <w:tr w14:paraId="084C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27" w:type="pct"/>
                  <w:vMerge w:val="restart"/>
                  <w:vAlign w:val="center"/>
                </w:tcPr>
                <w:p w14:paraId="0B3930B8">
                  <w:pPr>
                    <w:spacing w:line="300" w:lineRule="exact"/>
                    <w:jc w:val="center"/>
                    <w:rPr>
                      <w:rFonts w:eastAsiaTheme="minorEastAsia"/>
                      <w:color w:val="auto"/>
                      <w:highlight w:val="none"/>
                    </w:rPr>
                  </w:pPr>
                  <w:r>
                    <w:rPr>
                      <w:rFonts w:eastAsiaTheme="minorEastAsia"/>
                      <w:color w:val="auto"/>
                      <w:highlight w:val="none"/>
                    </w:rPr>
                    <w:t>废水</w:t>
                  </w:r>
                </w:p>
              </w:tc>
              <w:tc>
                <w:tcPr>
                  <w:tcW w:w="364" w:type="pct"/>
                  <w:vAlign w:val="center"/>
                </w:tcPr>
                <w:p w14:paraId="32FA3D4B">
                  <w:pPr>
                    <w:spacing w:line="300" w:lineRule="exact"/>
                    <w:jc w:val="center"/>
                    <w:rPr>
                      <w:rFonts w:eastAsiaTheme="minorEastAsia"/>
                      <w:bCs/>
                      <w:color w:val="auto"/>
                      <w:szCs w:val="21"/>
                      <w:highlight w:val="none"/>
                    </w:rPr>
                  </w:pPr>
                  <w:r>
                    <w:rPr>
                      <w:rFonts w:eastAsiaTheme="minorEastAsia"/>
                      <w:bCs/>
                      <w:color w:val="auto"/>
                      <w:szCs w:val="21"/>
                      <w:highlight w:val="none"/>
                    </w:rPr>
                    <w:t>W1</w:t>
                  </w:r>
                </w:p>
              </w:tc>
              <w:tc>
                <w:tcPr>
                  <w:tcW w:w="924" w:type="pct"/>
                  <w:vAlign w:val="center"/>
                </w:tcPr>
                <w:p w14:paraId="71E46B78">
                  <w:pPr>
                    <w:spacing w:line="300" w:lineRule="exact"/>
                    <w:jc w:val="center"/>
                    <w:rPr>
                      <w:rFonts w:eastAsiaTheme="minorEastAsia"/>
                      <w:bCs/>
                      <w:color w:val="auto"/>
                      <w:szCs w:val="21"/>
                      <w:highlight w:val="none"/>
                    </w:rPr>
                  </w:pPr>
                  <w:r>
                    <w:rPr>
                      <w:rFonts w:eastAsiaTheme="minorEastAsia"/>
                      <w:bCs/>
                      <w:color w:val="auto"/>
                      <w:szCs w:val="21"/>
                      <w:highlight w:val="none"/>
                    </w:rPr>
                    <w:t>清洗废水</w:t>
                  </w:r>
                </w:p>
              </w:tc>
              <w:tc>
                <w:tcPr>
                  <w:tcW w:w="632" w:type="pct"/>
                  <w:vAlign w:val="center"/>
                </w:tcPr>
                <w:p w14:paraId="3AC88EEE">
                  <w:pPr>
                    <w:spacing w:line="300" w:lineRule="exact"/>
                    <w:jc w:val="center"/>
                    <w:rPr>
                      <w:rFonts w:eastAsiaTheme="minorEastAsia"/>
                      <w:bCs/>
                      <w:color w:val="auto"/>
                      <w:szCs w:val="21"/>
                      <w:highlight w:val="none"/>
                    </w:rPr>
                  </w:pPr>
                  <w:r>
                    <w:rPr>
                      <w:rFonts w:eastAsiaTheme="minorEastAsia"/>
                      <w:bCs/>
                      <w:color w:val="auto"/>
                      <w:szCs w:val="21"/>
                      <w:highlight w:val="none"/>
                    </w:rPr>
                    <w:t>一级清洗</w:t>
                  </w:r>
                </w:p>
              </w:tc>
              <w:tc>
                <w:tcPr>
                  <w:tcW w:w="881" w:type="pct"/>
                  <w:vMerge w:val="restart"/>
                  <w:vAlign w:val="center"/>
                </w:tcPr>
                <w:p w14:paraId="77508F13">
                  <w:pPr>
                    <w:spacing w:line="300" w:lineRule="exact"/>
                    <w:jc w:val="center"/>
                    <w:rPr>
                      <w:rFonts w:eastAsiaTheme="minorEastAsia"/>
                      <w:bCs/>
                      <w:color w:val="auto"/>
                      <w:szCs w:val="21"/>
                      <w:highlight w:val="none"/>
                    </w:rPr>
                  </w:pPr>
                  <w:r>
                    <w:rPr>
                      <w:rFonts w:eastAsiaTheme="minorEastAsia"/>
                      <w:bCs/>
                      <w:color w:val="auto"/>
                      <w:szCs w:val="21"/>
                      <w:highlight w:val="none"/>
                    </w:rPr>
                    <w:t>pH、COD、</w:t>
                  </w:r>
                  <w:r>
                    <w:rPr>
                      <w:rFonts w:eastAsiaTheme="minorEastAsia"/>
                      <w:color w:val="auto"/>
                      <w:kern w:val="0"/>
                      <w:szCs w:val="21"/>
                      <w:highlight w:val="none"/>
                    </w:rPr>
                    <w:t>BOD</w:t>
                  </w:r>
                  <w:r>
                    <w:rPr>
                      <w:rFonts w:eastAsiaTheme="minorEastAsia"/>
                      <w:color w:val="auto"/>
                      <w:kern w:val="0"/>
                      <w:szCs w:val="21"/>
                      <w:highlight w:val="none"/>
                      <w:vertAlign w:val="subscript"/>
                    </w:rPr>
                    <w:t>5</w:t>
                  </w:r>
                  <w:r>
                    <w:rPr>
                      <w:rFonts w:eastAsiaTheme="minorEastAsia"/>
                      <w:bCs/>
                      <w:color w:val="auto"/>
                      <w:szCs w:val="21"/>
                      <w:highlight w:val="none"/>
                    </w:rPr>
                    <w:t>、总氮、氨氮、</w:t>
                  </w:r>
                  <w:r>
                    <w:rPr>
                      <w:rFonts w:hint="eastAsia" w:eastAsiaTheme="minorEastAsia"/>
                      <w:bCs/>
                      <w:color w:val="auto"/>
                      <w:szCs w:val="21"/>
                      <w:highlight w:val="none"/>
                    </w:rPr>
                    <w:t>总磷、</w:t>
                  </w:r>
                  <w:r>
                    <w:rPr>
                      <w:rFonts w:eastAsiaTheme="minorEastAsia"/>
                      <w:bCs/>
                      <w:color w:val="auto"/>
                      <w:szCs w:val="21"/>
                      <w:highlight w:val="none"/>
                    </w:rPr>
                    <w:t>SS</w:t>
                  </w:r>
                </w:p>
              </w:tc>
              <w:tc>
                <w:tcPr>
                  <w:tcW w:w="1869" w:type="pct"/>
                  <w:vMerge w:val="restart"/>
                  <w:vAlign w:val="center"/>
                </w:tcPr>
                <w:p w14:paraId="172C4491">
                  <w:pPr>
                    <w:spacing w:line="300" w:lineRule="exact"/>
                    <w:jc w:val="center"/>
                    <w:rPr>
                      <w:rFonts w:eastAsiaTheme="minorEastAsia"/>
                      <w:bCs/>
                      <w:color w:val="auto"/>
                      <w:szCs w:val="21"/>
                      <w:highlight w:val="none"/>
                    </w:rPr>
                  </w:pPr>
                  <w:r>
                    <w:rPr>
                      <w:rFonts w:eastAsiaTheme="minorEastAsia"/>
                      <w:bCs/>
                      <w:color w:val="auto"/>
                      <w:szCs w:val="21"/>
                      <w:highlight w:val="none"/>
                    </w:rPr>
                    <w:t>经自建污水处理设施处理达到《淀粉工业水污染物排放限值》（GB25461-2010）表2中的间接排放标准后排入低浓度污水管网，进入龙市镇工业污水处理厂处理达到《城镇污水处理厂污染物排放标准》（GB18918－2002）一级A标准后排入地表水体</w:t>
                  </w:r>
                </w:p>
              </w:tc>
            </w:tr>
            <w:tr w14:paraId="2C50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7" w:type="pct"/>
                  <w:vMerge w:val="continue"/>
                  <w:vAlign w:val="center"/>
                </w:tcPr>
                <w:p w14:paraId="69BA1288">
                  <w:pPr>
                    <w:spacing w:line="300" w:lineRule="exact"/>
                    <w:jc w:val="center"/>
                    <w:rPr>
                      <w:rFonts w:eastAsiaTheme="minorEastAsia"/>
                      <w:color w:val="auto"/>
                      <w:highlight w:val="none"/>
                    </w:rPr>
                  </w:pPr>
                </w:p>
              </w:tc>
              <w:tc>
                <w:tcPr>
                  <w:tcW w:w="364" w:type="pct"/>
                  <w:vAlign w:val="center"/>
                </w:tcPr>
                <w:p w14:paraId="526FFEDF">
                  <w:pPr>
                    <w:spacing w:line="300" w:lineRule="exact"/>
                    <w:jc w:val="center"/>
                    <w:rPr>
                      <w:rFonts w:eastAsiaTheme="minorEastAsia"/>
                      <w:color w:val="auto"/>
                      <w:highlight w:val="none"/>
                    </w:rPr>
                  </w:pPr>
                  <w:r>
                    <w:rPr>
                      <w:rFonts w:eastAsiaTheme="minorEastAsia"/>
                      <w:color w:val="auto"/>
                      <w:highlight w:val="none"/>
                    </w:rPr>
                    <w:t>W2</w:t>
                  </w:r>
                </w:p>
              </w:tc>
              <w:tc>
                <w:tcPr>
                  <w:tcW w:w="924" w:type="pct"/>
                  <w:vAlign w:val="center"/>
                </w:tcPr>
                <w:p w14:paraId="52C4BE22">
                  <w:pPr>
                    <w:spacing w:line="300" w:lineRule="exact"/>
                    <w:jc w:val="center"/>
                    <w:rPr>
                      <w:rFonts w:eastAsiaTheme="minorEastAsia"/>
                      <w:color w:val="auto"/>
                      <w:highlight w:val="none"/>
                    </w:rPr>
                  </w:pPr>
                  <w:r>
                    <w:rPr>
                      <w:rFonts w:eastAsiaTheme="minorEastAsia"/>
                      <w:bCs/>
                      <w:color w:val="auto"/>
                      <w:szCs w:val="21"/>
                      <w:highlight w:val="none"/>
                    </w:rPr>
                    <w:t>清洗废水</w:t>
                  </w:r>
                </w:p>
              </w:tc>
              <w:tc>
                <w:tcPr>
                  <w:tcW w:w="632" w:type="pct"/>
                  <w:vAlign w:val="center"/>
                </w:tcPr>
                <w:p w14:paraId="573875FC">
                  <w:pPr>
                    <w:spacing w:line="300" w:lineRule="exact"/>
                    <w:jc w:val="center"/>
                    <w:rPr>
                      <w:rFonts w:eastAsiaTheme="minorEastAsia"/>
                      <w:bCs/>
                      <w:color w:val="auto"/>
                      <w:szCs w:val="21"/>
                      <w:highlight w:val="none"/>
                    </w:rPr>
                  </w:pPr>
                  <w:r>
                    <w:rPr>
                      <w:rFonts w:eastAsiaTheme="minorEastAsia"/>
                      <w:bCs/>
                      <w:color w:val="auto"/>
                      <w:szCs w:val="21"/>
                      <w:highlight w:val="none"/>
                    </w:rPr>
                    <w:t>二级清洗</w:t>
                  </w:r>
                </w:p>
              </w:tc>
              <w:tc>
                <w:tcPr>
                  <w:tcW w:w="881" w:type="pct"/>
                  <w:vMerge w:val="continue"/>
                  <w:vAlign w:val="center"/>
                </w:tcPr>
                <w:p w14:paraId="21C54642">
                  <w:pPr>
                    <w:spacing w:line="300" w:lineRule="exact"/>
                    <w:jc w:val="center"/>
                    <w:rPr>
                      <w:rFonts w:eastAsiaTheme="minorEastAsia"/>
                      <w:bCs/>
                      <w:color w:val="auto"/>
                      <w:szCs w:val="21"/>
                      <w:highlight w:val="none"/>
                    </w:rPr>
                  </w:pPr>
                </w:p>
              </w:tc>
              <w:tc>
                <w:tcPr>
                  <w:tcW w:w="1869" w:type="pct"/>
                  <w:vMerge w:val="continue"/>
                  <w:vAlign w:val="center"/>
                </w:tcPr>
                <w:p w14:paraId="64165223">
                  <w:pPr>
                    <w:spacing w:line="300" w:lineRule="exact"/>
                    <w:jc w:val="center"/>
                    <w:rPr>
                      <w:rFonts w:eastAsiaTheme="minorEastAsia"/>
                      <w:bCs/>
                      <w:color w:val="auto"/>
                      <w:szCs w:val="21"/>
                      <w:highlight w:val="none"/>
                    </w:rPr>
                  </w:pPr>
                </w:p>
              </w:tc>
            </w:tr>
            <w:tr w14:paraId="4919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27" w:type="pct"/>
                  <w:vMerge w:val="continue"/>
                  <w:vAlign w:val="center"/>
                </w:tcPr>
                <w:p w14:paraId="061F072B">
                  <w:pPr>
                    <w:spacing w:line="300" w:lineRule="exact"/>
                    <w:jc w:val="center"/>
                    <w:rPr>
                      <w:rFonts w:eastAsiaTheme="minorEastAsia"/>
                      <w:bCs/>
                      <w:color w:val="auto"/>
                      <w:szCs w:val="21"/>
                      <w:highlight w:val="none"/>
                    </w:rPr>
                  </w:pPr>
                </w:p>
              </w:tc>
              <w:tc>
                <w:tcPr>
                  <w:tcW w:w="364" w:type="pct"/>
                  <w:vAlign w:val="center"/>
                </w:tcPr>
                <w:p w14:paraId="061A099E">
                  <w:pPr>
                    <w:spacing w:line="300" w:lineRule="exact"/>
                    <w:jc w:val="center"/>
                    <w:rPr>
                      <w:rFonts w:eastAsiaTheme="minorEastAsia"/>
                      <w:bCs/>
                      <w:color w:val="auto"/>
                      <w:szCs w:val="21"/>
                      <w:highlight w:val="none"/>
                    </w:rPr>
                  </w:pPr>
                  <w:r>
                    <w:rPr>
                      <w:rFonts w:eastAsiaTheme="minorEastAsia"/>
                      <w:bCs/>
                      <w:color w:val="auto"/>
                      <w:szCs w:val="21"/>
                      <w:highlight w:val="none"/>
                    </w:rPr>
                    <w:t>W3</w:t>
                  </w:r>
                </w:p>
              </w:tc>
              <w:tc>
                <w:tcPr>
                  <w:tcW w:w="924" w:type="pct"/>
                  <w:vAlign w:val="center"/>
                </w:tcPr>
                <w:p w14:paraId="78F445EE">
                  <w:pPr>
                    <w:spacing w:line="300" w:lineRule="exact"/>
                    <w:jc w:val="center"/>
                    <w:rPr>
                      <w:rFonts w:eastAsiaTheme="minorEastAsia"/>
                      <w:bCs/>
                      <w:color w:val="auto"/>
                      <w:szCs w:val="21"/>
                      <w:highlight w:val="none"/>
                    </w:rPr>
                  </w:pPr>
                  <w:r>
                    <w:rPr>
                      <w:rFonts w:eastAsiaTheme="minorEastAsia"/>
                      <w:bCs/>
                      <w:color w:val="auto"/>
                      <w:szCs w:val="21"/>
                      <w:highlight w:val="none"/>
                    </w:rPr>
                    <w:t>一级沉淀废水</w:t>
                  </w:r>
                </w:p>
              </w:tc>
              <w:tc>
                <w:tcPr>
                  <w:tcW w:w="632" w:type="pct"/>
                  <w:vAlign w:val="center"/>
                </w:tcPr>
                <w:p w14:paraId="363481EC">
                  <w:pPr>
                    <w:spacing w:line="300" w:lineRule="exact"/>
                    <w:jc w:val="center"/>
                    <w:rPr>
                      <w:rFonts w:eastAsiaTheme="minorEastAsia"/>
                      <w:bCs/>
                      <w:color w:val="auto"/>
                      <w:szCs w:val="21"/>
                      <w:highlight w:val="none"/>
                    </w:rPr>
                  </w:pPr>
                  <w:r>
                    <w:rPr>
                      <w:rFonts w:eastAsiaTheme="minorEastAsia"/>
                      <w:bCs/>
                      <w:color w:val="auto"/>
                      <w:szCs w:val="21"/>
                      <w:highlight w:val="none"/>
                    </w:rPr>
                    <w:t>一级沉淀</w:t>
                  </w:r>
                </w:p>
              </w:tc>
              <w:tc>
                <w:tcPr>
                  <w:tcW w:w="881" w:type="pct"/>
                  <w:vMerge w:val="continue"/>
                  <w:vAlign w:val="center"/>
                </w:tcPr>
                <w:p w14:paraId="35DEC761">
                  <w:pPr>
                    <w:spacing w:line="300" w:lineRule="exact"/>
                    <w:jc w:val="center"/>
                    <w:rPr>
                      <w:rFonts w:eastAsiaTheme="minorEastAsia"/>
                      <w:bCs/>
                      <w:color w:val="auto"/>
                      <w:szCs w:val="21"/>
                      <w:highlight w:val="none"/>
                    </w:rPr>
                  </w:pPr>
                </w:p>
              </w:tc>
              <w:tc>
                <w:tcPr>
                  <w:tcW w:w="1869" w:type="pct"/>
                  <w:vMerge w:val="continue"/>
                  <w:vAlign w:val="center"/>
                </w:tcPr>
                <w:p w14:paraId="19050EED">
                  <w:pPr>
                    <w:spacing w:line="300" w:lineRule="exact"/>
                    <w:jc w:val="center"/>
                    <w:rPr>
                      <w:rFonts w:eastAsiaTheme="minorEastAsia"/>
                      <w:bCs/>
                      <w:color w:val="auto"/>
                      <w:szCs w:val="21"/>
                      <w:highlight w:val="none"/>
                    </w:rPr>
                  </w:pPr>
                </w:p>
              </w:tc>
            </w:tr>
            <w:tr w14:paraId="4B9B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27" w:type="pct"/>
                  <w:vMerge w:val="continue"/>
                  <w:vAlign w:val="center"/>
                </w:tcPr>
                <w:p w14:paraId="58DB0A1E">
                  <w:pPr>
                    <w:spacing w:line="300" w:lineRule="exact"/>
                    <w:jc w:val="center"/>
                    <w:rPr>
                      <w:rFonts w:eastAsiaTheme="minorEastAsia"/>
                      <w:bCs/>
                      <w:color w:val="auto"/>
                      <w:szCs w:val="21"/>
                      <w:highlight w:val="none"/>
                    </w:rPr>
                  </w:pPr>
                </w:p>
              </w:tc>
              <w:tc>
                <w:tcPr>
                  <w:tcW w:w="364" w:type="pct"/>
                  <w:vAlign w:val="center"/>
                </w:tcPr>
                <w:p w14:paraId="66E6BA2E">
                  <w:pPr>
                    <w:spacing w:line="300" w:lineRule="exact"/>
                    <w:jc w:val="center"/>
                    <w:rPr>
                      <w:rFonts w:eastAsiaTheme="minorEastAsia"/>
                      <w:bCs/>
                      <w:color w:val="auto"/>
                      <w:szCs w:val="21"/>
                      <w:highlight w:val="none"/>
                    </w:rPr>
                  </w:pPr>
                  <w:r>
                    <w:rPr>
                      <w:rFonts w:eastAsiaTheme="minorEastAsia"/>
                      <w:bCs/>
                      <w:color w:val="auto"/>
                      <w:szCs w:val="21"/>
                      <w:highlight w:val="none"/>
                    </w:rPr>
                    <w:t>W4</w:t>
                  </w:r>
                </w:p>
              </w:tc>
              <w:tc>
                <w:tcPr>
                  <w:tcW w:w="924" w:type="pct"/>
                  <w:vAlign w:val="center"/>
                </w:tcPr>
                <w:p w14:paraId="463B126F">
                  <w:pPr>
                    <w:spacing w:line="300" w:lineRule="exact"/>
                    <w:jc w:val="center"/>
                    <w:rPr>
                      <w:rFonts w:eastAsiaTheme="minorEastAsia"/>
                      <w:bCs/>
                      <w:color w:val="auto"/>
                      <w:szCs w:val="21"/>
                      <w:highlight w:val="none"/>
                    </w:rPr>
                  </w:pPr>
                  <w:r>
                    <w:rPr>
                      <w:rFonts w:eastAsiaTheme="minorEastAsia"/>
                      <w:bCs/>
                      <w:color w:val="auto"/>
                      <w:szCs w:val="21"/>
                      <w:highlight w:val="none"/>
                    </w:rPr>
                    <w:t>二级沉淀废水</w:t>
                  </w:r>
                </w:p>
              </w:tc>
              <w:tc>
                <w:tcPr>
                  <w:tcW w:w="632" w:type="pct"/>
                  <w:vAlign w:val="center"/>
                </w:tcPr>
                <w:p w14:paraId="7DD71517">
                  <w:pPr>
                    <w:spacing w:line="300" w:lineRule="exact"/>
                    <w:jc w:val="center"/>
                    <w:rPr>
                      <w:rFonts w:eastAsiaTheme="minorEastAsia"/>
                      <w:bCs/>
                      <w:color w:val="auto"/>
                      <w:szCs w:val="21"/>
                      <w:highlight w:val="none"/>
                    </w:rPr>
                  </w:pPr>
                  <w:r>
                    <w:rPr>
                      <w:rFonts w:eastAsiaTheme="minorEastAsia"/>
                      <w:bCs/>
                      <w:color w:val="auto"/>
                      <w:szCs w:val="21"/>
                      <w:highlight w:val="none"/>
                    </w:rPr>
                    <w:t>二级沉淀</w:t>
                  </w:r>
                </w:p>
              </w:tc>
              <w:tc>
                <w:tcPr>
                  <w:tcW w:w="881" w:type="pct"/>
                  <w:vMerge w:val="continue"/>
                  <w:vAlign w:val="center"/>
                </w:tcPr>
                <w:p w14:paraId="543F0233">
                  <w:pPr>
                    <w:spacing w:line="300" w:lineRule="exact"/>
                    <w:jc w:val="center"/>
                    <w:rPr>
                      <w:rFonts w:eastAsiaTheme="minorEastAsia"/>
                      <w:bCs/>
                      <w:color w:val="auto"/>
                      <w:szCs w:val="21"/>
                      <w:highlight w:val="none"/>
                    </w:rPr>
                  </w:pPr>
                </w:p>
              </w:tc>
              <w:tc>
                <w:tcPr>
                  <w:tcW w:w="1869" w:type="pct"/>
                  <w:vMerge w:val="continue"/>
                  <w:vAlign w:val="center"/>
                </w:tcPr>
                <w:p w14:paraId="6D41E9E2">
                  <w:pPr>
                    <w:spacing w:line="300" w:lineRule="exact"/>
                    <w:jc w:val="center"/>
                    <w:rPr>
                      <w:rFonts w:eastAsiaTheme="minorEastAsia"/>
                      <w:bCs/>
                      <w:color w:val="auto"/>
                      <w:szCs w:val="21"/>
                      <w:highlight w:val="none"/>
                    </w:rPr>
                  </w:pPr>
                </w:p>
              </w:tc>
            </w:tr>
            <w:tr w14:paraId="2FF0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7" w:type="pct"/>
                  <w:vMerge w:val="restart"/>
                  <w:vAlign w:val="center"/>
                </w:tcPr>
                <w:p w14:paraId="0A9DE3AD">
                  <w:pPr>
                    <w:spacing w:line="300" w:lineRule="exact"/>
                    <w:jc w:val="center"/>
                    <w:rPr>
                      <w:rFonts w:eastAsiaTheme="minorEastAsia"/>
                      <w:bCs/>
                      <w:color w:val="auto"/>
                      <w:szCs w:val="21"/>
                      <w:highlight w:val="none"/>
                    </w:rPr>
                  </w:pPr>
                  <w:r>
                    <w:rPr>
                      <w:rFonts w:eastAsiaTheme="minorEastAsia"/>
                      <w:bCs/>
                      <w:color w:val="auto"/>
                      <w:szCs w:val="21"/>
                      <w:highlight w:val="none"/>
                    </w:rPr>
                    <w:t>固体废物</w:t>
                  </w:r>
                </w:p>
              </w:tc>
              <w:tc>
                <w:tcPr>
                  <w:tcW w:w="364" w:type="pct"/>
                  <w:vAlign w:val="center"/>
                </w:tcPr>
                <w:p w14:paraId="677B24F2">
                  <w:pPr>
                    <w:spacing w:line="300" w:lineRule="exact"/>
                    <w:jc w:val="center"/>
                    <w:rPr>
                      <w:rFonts w:eastAsiaTheme="minorEastAsia"/>
                      <w:bCs/>
                      <w:color w:val="auto"/>
                      <w:szCs w:val="21"/>
                      <w:highlight w:val="none"/>
                    </w:rPr>
                  </w:pPr>
                  <w:r>
                    <w:rPr>
                      <w:rFonts w:eastAsiaTheme="minorEastAsia"/>
                      <w:bCs/>
                      <w:color w:val="auto"/>
                      <w:szCs w:val="21"/>
                      <w:highlight w:val="none"/>
                    </w:rPr>
                    <w:t>S1</w:t>
                  </w:r>
                </w:p>
              </w:tc>
              <w:tc>
                <w:tcPr>
                  <w:tcW w:w="924" w:type="pct"/>
                  <w:vAlign w:val="center"/>
                </w:tcPr>
                <w:p w14:paraId="15098236">
                  <w:pPr>
                    <w:adjustRightInd w:val="0"/>
                    <w:snapToGrid w:val="0"/>
                    <w:spacing w:line="300" w:lineRule="exact"/>
                    <w:jc w:val="center"/>
                    <w:rPr>
                      <w:rFonts w:eastAsiaTheme="minorEastAsia"/>
                      <w:bCs/>
                      <w:color w:val="auto"/>
                      <w:szCs w:val="21"/>
                      <w:highlight w:val="none"/>
                    </w:rPr>
                  </w:pPr>
                  <w:r>
                    <w:rPr>
                      <w:rFonts w:eastAsiaTheme="minorEastAsia"/>
                      <w:color w:val="auto"/>
                      <w:kern w:val="0"/>
                      <w:szCs w:val="21"/>
                      <w:highlight w:val="none"/>
                    </w:rPr>
                    <w:t>不合格鲜葛根</w:t>
                  </w:r>
                </w:p>
              </w:tc>
              <w:tc>
                <w:tcPr>
                  <w:tcW w:w="632" w:type="pct"/>
                  <w:vAlign w:val="center"/>
                </w:tcPr>
                <w:p w14:paraId="242755AD">
                  <w:pPr>
                    <w:pStyle w:val="36"/>
                    <w:adjustRightInd/>
                    <w:snapToGrid/>
                    <w:spacing w:beforeLines="0" w:afterLines="0" w:line="300" w:lineRule="exact"/>
                    <w:rPr>
                      <w:rFonts w:ascii="Times New Roman" w:eastAsiaTheme="minorEastAsia"/>
                      <w:bCs/>
                      <w:color w:val="auto"/>
                      <w:kern w:val="2"/>
                      <w:szCs w:val="21"/>
                      <w:highlight w:val="none"/>
                    </w:rPr>
                  </w:pPr>
                  <w:r>
                    <w:rPr>
                      <w:rFonts w:ascii="Times New Roman" w:eastAsiaTheme="minorEastAsia"/>
                      <w:bCs/>
                      <w:color w:val="auto"/>
                      <w:kern w:val="2"/>
                      <w:szCs w:val="21"/>
                      <w:highlight w:val="none"/>
                    </w:rPr>
                    <w:t>二级清洗人工分拣</w:t>
                  </w:r>
                </w:p>
              </w:tc>
              <w:tc>
                <w:tcPr>
                  <w:tcW w:w="881" w:type="pct"/>
                  <w:vMerge w:val="restart"/>
                  <w:vAlign w:val="center"/>
                </w:tcPr>
                <w:p w14:paraId="1ACEC816">
                  <w:pPr>
                    <w:spacing w:line="300" w:lineRule="exact"/>
                    <w:jc w:val="center"/>
                    <w:rPr>
                      <w:rFonts w:eastAsiaTheme="minorEastAsia"/>
                      <w:bCs/>
                      <w:color w:val="auto"/>
                      <w:szCs w:val="21"/>
                      <w:highlight w:val="none"/>
                    </w:rPr>
                  </w:pPr>
                  <w:r>
                    <w:rPr>
                      <w:rFonts w:eastAsiaTheme="minorEastAsia"/>
                      <w:bCs/>
                      <w:color w:val="auto"/>
                      <w:szCs w:val="21"/>
                      <w:highlight w:val="none"/>
                    </w:rPr>
                    <w:t>一般工业固体废物</w:t>
                  </w:r>
                </w:p>
              </w:tc>
              <w:tc>
                <w:tcPr>
                  <w:tcW w:w="1869" w:type="pct"/>
                  <w:vMerge w:val="restart"/>
                  <w:vAlign w:val="center"/>
                </w:tcPr>
                <w:p w14:paraId="4AFE84FD">
                  <w:pPr>
                    <w:spacing w:line="300" w:lineRule="exact"/>
                    <w:jc w:val="center"/>
                    <w:rPr>
                      <w:rFonts w:eastAsiaTheme="minorEastAsia"/>
                      <w:bCs/>
                      <w:color w:val="auto"/>
                      <w:szCs w:val="21"/>
                      <w:highlight w:val="none"/>
                    </w:rPr>
                  </w:pPr>
                  <w:r>
                    <w:rPr>
                      <w:rFonts w:eastAsiaTheme="minorEastAsia"/>
                      <w:bCs/>
                      <w:color w:val="auto"/>
                      <w:szCs w:val="21"/>
                      <w:highlight w:val="none"/>
                    </w:rPr>
                    <w:t>在一般工业固体废物暂存区单独设置垃圾箱收集，葛根渣交由</w:t>
                  </w:r>
                  <w:r>
                    <w:rPr>
                      <w:rFonts w:eastAsiaTheme="minorEastAsia"/>
                      <w:color w:val="auto"/>
                      <w:szCs w:val="21"/>
                      <w:highlight w:val="none"/>
                    </w:rPr>
                    <w:t>重庆市合川区钵耳山高粱种植农民专业合作社用于农业生产、土壤改良、农作物种植等方式进行回收利用处理；废包装经收集后出售给废品回收单位。</w:t>
                  </w:r>
                </w:p>
              </w:tc>
            </w:tr>
            <w:tr w14:paraId="65C4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7" w:type="pct"/>
                  <w:vMerge w:val="continue"/>
                  <w:vAlign w:val="center"/>
                </w:tcPr>
                <w:p w14:paraId="68D0F089">
                  <w:pPr>
                    <w:spacing w:line="300" w:lineRule="exact"/>
                    <w:jc w:val="center"/>
                    <w:rPr>
                      <w:rFonts w:eastAsiaTheme="minorEastAsia"/>
                      <w:color w:val="auto"/>
                      <w:highlight w:val="none"/>
                    </w:rPr>
                  </w:pPr>
                </w:p>
              </w:tc>
              <w:tc>
                <w:tcPr>
                  <w:tcW w:w="364" w:type="pct"/>
                  <w:shd w:val="clear" w:color="auto" w:fill="auto"/>
                  <w:vAlign w:val="center"/>
                </w:tcPr>
                <w:p w14:paraId="5DB47790">
                  <w:pPr>
                    <w:spacing w:line="300" w:lineRule="exact"/>
                    <w:jc w:val="center"/>
                    <w:rPr>
                      <w:rFonts w:eastAsiaTheme="minorEastAsia"/>
                      <w:color w:val="auto"/>
                      <w:highlight w:val="none"/>
                    </w:rPr>
                  </w:pPr>
                  <w:r>
                    <w:rPr>
                      <w:rFonts w:eastAsiaTheme="minorEastAsia"/>
                      <w:color w:val="auto"/>
                      <w:highlight w:val="none"/>
                    </w:rPr>
                    <w:t>S2</w:t>
                  </w:r>
                </w:p>
              </w:tc>
              <w:tc>
                <w:tcPr>
                  <w:tcW w:w="924" w:type="pct"/>
                  <w:vAlign w:val="center"/>
                </w:tcPr>
                <w:p w14:paraId="741AA4E4">
                  <w:pPr>
                    <w:adjustRightInd w:val="0"/>
                    <w:snapToGrid w:val="0"/>
                    <w:spacing w:line="300" w:lineRule="exact"/>
                    <w:jc w:val="center"/>
                    <w:rPr>
                      <w:rFonts w:eastAsiaTheme="minorEastAsia"/>
                      <w:color w:val="auto"/>
                      <w:highlight w:val="none"/>
                    </w:rPr>
                  </w:pPr>
                  <w:r>
                    <w:rPr>
                      <w:rFonts w:eastAsiaTheme="minorEastAsia"/>
                      <w:color w:val="auto"/>
                      <w:kern w:val="0"/>
                      <w:szCs w:val="21"/>
                      <w:highlight w:val="none"/>
                    </w:rPr>
                    <w:t>浆渣分离废渣</w:t>
                  </w:r>
                </w:p>
              </w:tc>
              <w:tc>
                <w:tcPr>
                  <w:tcW w:w="632" w:type="pct"/>
                  <w:vAlign w:val="center"/>
                </w:tcPr>
                <w:p w14:paraId="32238A05">
                  <w:pPr>
                    <w:pStyle w:val="36"/>
                    <w:adjustRightInd/>
                    <w:snapToGrid/>
                    <w:spacing w:beforeLines="0" w:afterLines="0" w:line="300" w:lineRule="exact"/>
                    <w:rPr>
                      <w:rFonts w:ascii="Times New Roman" w:eastAsiaTheme="minorEastAsia"/>
                      <w:bCs/>
                      <w:color w:val="auto"/>
                      <w:szCs w:val="21"/>
                      <w:highlight w:val="none"/>
                    </w:rPr>
                  </w:pPr>
                  <w:r>
                    <w:rPr>
                      <w:rFonts w:ascii="Times New Roman" w:eastAsiaTheme="minorEastAsia"/>
                      <w:bCs/>
                      <w:color w:val="auto"/>
                      <w:spacing w:val="-10"/>
                      <w:szCs w:val="21"/>
                      <w:highlight w:val="none"/>
                    </w:rPr>
                    <w:t>浆渣分离</w:t>
                  </w:r>
                </w:p>
              </w:tc>
              <w:tc>
                <w:tcPr>
                  <w:tcW w:w="881" w:type="pct"/>
                  <w:vMerge w:val="continue"/>
                  <w:vAlign w:val="center"/>
                </w:tcPr>
                <w:p w14:paraId="4977625E">
                  <w:pPr>
                    <w:spacing w:line="300" w:lineRule="exact"/>
                    <w:jc w:val="center"/>
                    <w:rPr>
                      <w:rFonts w:eastAsiaTheme="minorEastAsia"/>
                      <w:bCs/>
                      <w:color w:val="auto"/>
                      <w:szCs w:val="21"/>
                      <w:highlight w:val="none"/>
                    </w:rPr>
                  </w:pPr>
                </w:p>
              </w:tc>
              <w:tc>
                <w:tcPr>
                  <w:tcW w:w="1869" w:type="pct"/>
                  <w:vMerge w:val="continue"/>
                  <w:vAlign w:val="center"/>
                </w:tcPr>
                <w:p w14:paraId="0A9F6DEF">
                  <w:pPr>
                    <w:spacing w:line="300" w:lineRule="exact"/>
                    <w:jc w:val="center"/>
                    <w:rPr>
                      <w:rFonts w:eastAsiaTheme="minorEastAsia"/>
                      <w:bCs/>
                      <w:color w:val="auto"/>
                      <w:szCs w:val="21"/>
                      <w:highlight w:val="none"/>
                    </w:rPr>
                  </w:pPr>
                </w:p>
              </w:tc>
            </w:tr>
            <w:tr w14:paraId="34E8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7" w:type="pct"/>
                  <w:vMerge w:val="continue"/>
                  <w:vAlign w:val="center"/>
                </w:tcPr>
                <w:p w14:paraId="6EE5648C">
                  <w:pPr>
                    <w:spacing w:line="300" w:lineRule="exact"/>
                    <w:jc w:val="center"/>
                    <w:rPr>
                      <w:rFonts w:eastAsiaTheme="minorEastAsia"/>
                      <w:color w:val="auto"/>
                      <w:highlight w:val="none"/>
                    </w:rPr>
                  </w:pPr>
                </w:p>
              </w:tc>
              <w:tc>
                <w:tcPr>
                  <w:tcW w:w="364" w:type="pct"/>
                  <w:shd w:val="clear" w:color="auto" w:fill="auto"/>
                  <w:vAlign w:val="center"/>
                </w:tcPr>
                <w:p w14:paraId="3B878390">
                  <w:pPr>
                    <w:spacing w:line="300" w:lineRule="exact"/>
                    <w:jc w:val="center"/>
                    <w:rPr>
                      <w:rFonts w:eastAsiaTheme="minorEastAsia"/>
                      <w:bCs/>
                      <w:color w:val="auto"/>
                      <w:szCs w:val="21"/>
                      <w:highlight w:val="none"/>
                    </w:rPr>
                  </w:pPr>
                  <w:r>
                    <w:rPr>
                      <w:rFonts w:eastAsiaTheme="minorEastAsia"/>
                      <w:bCs/>
                      <w:color w:val="auto"/>
                      <w:szCs w:val="21"/>
                      <w:highlight w:val="none"/>
                    </w:rPr>
                    <w:t>S3</w:t>
                  </w:r>
                </w:p>
              </w:tc>
              <w:tc>
                <w:tcPr>
                  <w:tcW w:w="924" w:type="pct"/>
                  <w:vAlign w:val="center"/>
                </w:tcPr>
                <w:p w14:paraId="7457A9A9">
                  <w:pPr>
                    <w:adjustRightInd w:val="0"/>
                    <w:snapToGrid w:val="0"/>
                    <w:spacing w:line="300" w:lineRule="exact"/>
                    <w:jc w:val="center"/>
                    <w:rPr>
                      <w:rFonts w:eastAsiaTheme="minorEastAsia"/>
                      <w:color w:val="auto"/>
                      <w:highlight w:val="none"/>
                    </w:rPr>
                  </w:pPr>
                  <w:r>
                    <w:rPr>
                      <w:rFonts w:eastAsiaTheme="minorEastAsia"/>
                      <w:color w:val="auto"/>
                      <w:kern w:val="0"/>
                      <w:szCs w:val="21"/>
                      <w:highlight w:val="none"/>
                    </w:rPr>
                    <w:t>细筛废渣</w:t>
                  </w:r>
                </w:p>
              </w:tc>
              <w:tc>
                <w:tcPr>
                  <w:tcW w:w="632" w:type="pct"/>
                  <w:vAlign w:val="center"/>
                </w:tcPr>
                <w:p w14:paraId="49395594">
                  <w:pPr>
                    <w:pStyle w:val="36"/>
                    <w:adjustRightInd/>
                    <w:snapToGrid/>
                    <w:spacing w:beforeLines="0" w:afterLines="0" w:line="300" w:lineRule="exact"/>
                    <w:rPr>
                      <w:rFonts w:ascii="Times New Roman" w:eastAsiaTheme="minorEastAsia"/>
                      <w:bCs/>
                      <w:color w:val="auto"/>
                      <w:szCs w:val="21"/>
                      <w:highlight w:val="none"/>
                    </w:rPr>
                  </w:pPr>
                  <w:r>
                    <w:rPr>
                      <w:rFonts w:ascii="Times New Roman" w:eastAsiaTheme="minorEastAsia"/>
                      <w:bCs/>
                      <w:color w:val="auto"/>
                      <w:szCs w:val="21"/>
                      <w:highlight w:val="none"/>
                    </w:rPr>
                    <w:t>细筛</w:t>
                  </w:r>
                </w:p>
              </w:tc>
              <w:tc>
                <w:tcPr>
                  <w:tcW w:w="881" w:type="pct"/>
                  <w:vMerge w:val="continue"/>
                  <w:vAlign w:val="center"/>
                </w:tcPr>
                <w:p w14:paraId="23986ADF">
                  <w:pPr>
                    <w:spacing w:line="300" w:lineRule="exact"/>
                    <w:jc w:val="center"/>
                    <w:rPr>
                      <w:rFonts w:eastAsiaTheme="minorEastAsia"/>
                      <w:bCs/>
                      <w:color w:val="auto"/>
                      <w:szCs w:val="21"/>
                      <w:highlight w:val="none"/>
                    </w:rPr>
                  </w:pPr>
                </w:p>
              </w:tc>
              <w:tc>
                <w:tcPr>
                  <w:tcW w:w="1869" w:type="pct"/>
                  <w:vMerge w:val="continue"/>
                  <w:vAlign w:val="center"/>
                </w:tcPr>
                <w:p w14:paraId="4B969EDA">
                  <w:pPr>
                    <w:spacing w:line="300" w:lineRule="exact"/>
                    <w:jc w:val="center"/>
                    <w:rPr>
                      <w:rFonts w:eastAsiaTheme="minorEastAsia"/>
                      <w:bCs/>
                      <w:color w:val="auto"/>
                      <w:szCs w:val="21"/>
                      <w:highlight w:val="none"/>
                    </w:rPr>
                  </w:pPr>
                </w:p>
              </w:tc>
            </w:tr>
            <w:tr w14:paraId="6409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27" w:type="pct"/>
                  <w:vMerge w:val="continue"/>
                  <w:vAlign w:val="center"/>
                </w:tcPr>
                <w:p w14:paraId="3DE45CC8">
                  <w:pPr>
                    <w:spacing w:line="300" w:lineRule="exact"/>
                    <w:jc w:val="center"/>
                    <w:rPr>
                      <w:rFonts w:eastAsiaTheme="minorEastAsia"/>
                      <w:bCs/>
                      <w:color w:val="auto"/>
                      <w:szCs w:val="21"/>
                      <w:highlight w:val="none"/>
                    </w:rPr>
                  </w:pPr>
                </w:p>
              </w:tc>
              <w:tc>
                <w:tcPr>
                  <w:tcW w:w="364" w:type="pct"/>
                  <w:shd w:val="clear" w:color="auto" w:fill="auto"/>
                  <w:vAlign w:val="center"/>
                </w:tcPr>
                <w:p w14:paraId="5AFD80F9">
                  <w:pPr>
                    <w:spacing w:line="300" w:lineRule="exact"/>
                    <w:jc w:val="center"/>
                    <w:rPr>
                      <w:rFonts w:eastAsiaTheme="minorEastAsia"/>
                      <w:bCs/>
                      <w:color w:val="auto"/>
                      <w:szCs w:val="21"/>
                      <w:highlight w:val="none"/>
                    </w:rPr>
                  </w:pPr>
                  <w:r>
                    <w:rPr>
                      <w:rFonts w:eastAsiaTheme="minorEastAsia"/>
                      <w:bCs/>
                      <w:color w:val="auto"/>
                      <w:szCs w:val="21"/>
                      <w:highlight w:val="none"/>
                    </w:rPr>
                    <w:t>S4</w:t>
                  </w:r>
                </w:p>
              </w:tc>
              <w:tc>
                <w:tcPr>
                  <w:tcW w:w="924" w:type="pct"/>
                  <w:vAlign w:val="center"/>
                </w:tcPr>
                <w:p w14:paraId="4AA70885">
                  <w:pPr>
                    <w:adjustRightInd w:val="0"/>
                    <w:snapToGrid w:val="0"/>
                    <w:spacing w:line="300" w:lineRule="exact"/>
                    <w:jc w:val="center"/>
                    <w:rPr>
                      <w:rFonts w:eastAsiaTheme="minorEastAsia"/>
                      <w:bCs/>
                      <w:color w:val="auto"/>
                      <w:szCs w:val="21"/>
                      <w:highlight w:val="none"/>
                    </w:rPr>
                  </w:pPr>
                  <w:r>
                    <w:rPr>
                      <w:rFonts w:eastAsiaTheme="minorEastAsia"/>
                      <w:color w:val="auto"/>
                      <w:kern w:val="0"/>
                      <w:szCs w:val="21"/>
                      <w:highlight w:val="none"/>
                    </w:rPr>
                    <w:t>淀粉除砂滤渣</w:t>
                  </w:r>
                </w:p>
              </w:tc>
              <w:tc>
                <w:tcPr>
                  <w:tcW w:w="632" w:type="pct"/>
                  <w:vAlign w:val="center"/>
                </w:tcPr>
                <w:p w14:paraId="4D2DF4F4">
                  <w:pPr>
                    <w:pStyle w:val="36"/>
                    <w:adjustRightInd/>
                    <w:snapToGrid/>
                    <w:spacing w:beforeLines="0" w:afterLines="0" w:line="300" w:lineRule="exact"/>
                    <w:rPr>
                      <w:rFonts w:ascii="Times New Roman" w:eastAsiaTheme="minorEastAsia"/>
                      <w:bCs/>
                      <w:color w:val="auto"/>
                      <w:szCs w:val="21"/>
                      <w:highlight w:val="none"/>
                    </w:rPr>
                  </w:pPr>
                  <w:r>
                    <w:rPr>
                      <w:rFonts w:ascii="Times New Roman" w:eastAsiaTheme="minorEastAsia"/>
                      <w:bCs/>
                      <w:color w:val="auto"/>
                      <w:spacing w:val="-10"/>
                      <w:szCs w:val="21"/>
                      <w:highlight w:val="none"/>
                    </w:rPr>
                    <w:t>淀粉除砂</w:t>
                  </w:r>
                </w:p>
              </w:tc>
              <w:tc>
                <w:tcPr>
                  <w:tcW w:w="881" w:type="pct"/>
                  <w:vMerge w:val="continue"/>
                  <w:vAlign w:val="center"/>
                </w:tcPr>
                <w:p w14:paraId="7424AD0C">
                  <w:pPr>
                    <w:spacing w:line="300" w:lineRule="exact"/>
                    <w:jc w:val="center"/>
                    <w:rPr>
                      <w:rFonts w:eastAsiaTheme="minorEastAsia"/>
                      <w:bCs/>
                      <w:color w:val="auto"/>
                      <w:szCs w:val="21"/>
                      <w:highlight w:val="none"/>
                    </w:rPr>
                  </w:pPr>
                </w:p>
              </w:tc>
              <w:tc>
                <w:tcPr>
                  <w:tcW w:w="1869" w:type="pct"/>
                  <w:vMerge w:val="continue"/>
                  <w:vAlign w:val="center"/>
                </w:tcPr>
                <w:p w14:paraId="25165B62">
                  <w:pPr>
                    <w:spacing w:line="300" w:lineRule="exact"/>
                    <w:jc w:val="center"/>
                    <w:rPr>
                      <w:rFonts w:eastAsiaTheme="minorEastAsia"/>
                      <w:bCs/>
                      <w:color w:val="auto"/>
                      <w:szCs w:val="21"/>
                      <w:highlight w:val="none"/>
                    </w:rPr>
                  </w:pPr>
                </w:p>
              </w:tc>
            </w:tr>
            <w:tr w14:paraId="1F15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trPr>
              <w:tc>
                <w:tcPr>
                  <w:tcW w:w="327" w:type="pct"/>
                  <w:vMerge w:val="continue"/>
                  <w:vAlign w:val="center"/>
                </w:tcPr>
                <w:p w14:paraId="4AAD8BD9">
                  <w:pPr>
                    <w:spacing w:line="300" w:lineRule="exact"/>
                    <w:jc w:val="center"/>
                    <w:rPr>
                      <w:rFonts w:eastAsiaTheme="minorEastAsia"/>
                      <w:bCs/>
                      <w:color w:val="auto"/>
                      <w:szCs w:val="21"/>
                      <w:highlight w:val="none"/>
                    </w:rPr>
                  </w:pPr>
                </w:p>
              </w:tc>
              <w:tc>
                <w:tcPr>
                  <w:tcW w:w="364" w:type="pct"/>
                  <w:vAlign w:val="center"/>
                </w:tcPr>
                <w:p w14:paraId="3077B181">
                  <w:pPr>
                    <w:spacing w:line="300" w:lineRule="exact"/>
                    <w:jc w:val="center"/>
                    <w:rPr>
                      <w:rFonts w:eastAsiaTheme="minorEastAsia"/>
                      <w:bCs/>
                      <w:color w:val="auto"/>
                      <w:szCs w:val="21"/>
                      <w:highlight w:val="none"/>
                    </w:rPr>
                  </w:pPr>
                  <w:r>
                    <w:rPr>
                      <w:rFonts w:eastAsiaTheme="minorEastAsia"/>
                      <w:bCs/>
                      <w:color w:val="auto"/>
                      <w:szCs w:val="21"/>
                      <w:highlight w:val="none"/>
                    </w:rPr>
                    <w:t>S5</w:t>
                  </w:r>
                </w:p>
              </w:tc>
              <w:tc>
                <w:tcPr>
                  <w:tcW w:w="924" w:type="pct"/>
                  <w:vAlign w:val="center"/>
                </w:tcPr>
                <w:p w14:paraId="2B6D2C63">
                  <w:pPr>
                    <w:spacing w:line="300" w:lineRule="exact"/>
                    <w:jc w:val="center"/>
                    <w:rPr>
                      <w:rFonts w:eastAsiaTheme="minorEastAsia"/>
                      <w:bCs/>
                      <w:color w:val="auto"/>
                      <w:szCs w:val="21"/>
                      <w:highlight w:val="none"/>
                    </w:rPr>
                  </w:pPr>
                  <w:r>
                    <w:rPr>
                      <w:rFonts w:eastAsiaTheme="minorEastAsia"/>
                      <w:bCs/>
                      <w:color w:val="auto"/>
                      <w:szCs w:val="21"/>
                      <w:highlight w:val="none"/>
                    </w:rPr>
                    <w:t>废包装</w:t>
                  </w:r>
                </w:p>
              </w:tc>
              <w:tc>
                <w:tcPr>
                  <w:tcW w:w="632" w:type="pct"/>
                  <w:vAlign w:val="center"/>
                </w:tcPr>
                <w:p w14:paraId="230CF8DA">
                  <w:pPr>
                    <w:spacing w:line="300" w:lineRule="exact"/>
                    <w:jc w:val="center"/>
                    <w:rPr>
                      <w:rFonts w:eastAsiaTheme="minorEastAsia"/>
                      <w:bCs/>
                      <w:color w:val="auto"/>
                      <w:szCs w:val="21"/>
                      <w:highlight w:val="none"/>
                    </w:rPr>
                  </w:pPr>
                  <w:r>
                    <w:rPr>
                      <w:rFonts w:eastAsiaTheme="minorEastAsia"/>
                      <w:bCs/>
                      <w:color w:val="auto"/>
                      <w:szCs w:val="21"/>
                      <w:highlight w:val="none"/>
                    </w:rPr>
                    <w:t>包装</w:t>
                  </w:r>
                </w:p>
              </w:tc>
              <w:tc>
                <w:tcPr>
                  <w:tcW w:w="881" w:type="pct"/>
                  <w:vMerge w:val="continue"/>
                  <w:vAlign w:val="center"/>
                </w:tcPr>
                <w:p w14:paraId="4692E3A3">
                  <w:pPr>
                    <w:spacing w:line="300" w:lineRule="exact"/>
                    <w:jc w:val="center"/>
                    <w:rPr>
                      <w:rFonts w:eastAsiaTheme="minorEastAsia"/>
                      <w:bCs/>
                      <w:color w:val="auto"/>
                      <w:szCs w:val="21"/>
                      <w:highlight w:val="none"/>
                    </w:rPr>
                  </w:pPr>
                </w:p>
              </w:tc>
              <w:tc>
                <w:tcPr>
                  <w:tcW w:w="1869" w:type="pct"/>
                  <w:vMerge w:val="continue"/>
                  <w:vAlign w:val="center"/>
                </w:tcPr>
                <w:p w14:paraId="4F273C5E">
                  <w:pPr>
                    <w:spacing w:line="300" w:lineRule="exact"/>
                    <w:jc w:val="center"/>
                    <w:rPr>
                      <w:rFonts w:eastAsiaTheme="minorEastAsia"/>
                      <w:bCs/>
                      <w:color w:val="auto"/>
                      <w:szCs w:val="21"/>
                      <w:highlight w:val="none"/>
                    </w:rPr>
                  </w:pPr>
                </w:p>
              </w:tc>
            </w:tr>
            <w:tr w14:paraId="49B7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327" w:type="pct"/>
                  <w:vAlign w:val="center"/>
                </w:tcPr>
                <w:p w14:paraId="719A50B0">
                  <w:pPr>
                    <w:spacing w:line="300" w:lineRule="exact"/>
                    <w:jc w:val="center"/>
                    <w:rPr>
                      <w:rFonts w:eastAsiaTheme="minorEastAsia"/>
                      <w:bCs/>
                      <w:color w:val="auto"/>
                      <w:szCs w:val="21"/>
                      <w:highlight w:val="none"/>
                    </w:rPr>
                  </w:pPr>
                  <w:r>
                    <w:rPr>
                      <w:rFonts w:eastAsiaTheme="minorEastAsia"/>
                      <w:color w:val="auto"/>
                      <w:szCs w:val="21"/>
                      <w:highlight w:val="none"/>
                    </w:rPr>
                    <w:t>噪声</w:t>
                  </w:r>
                </w:p>
              </w:tc>
              <w:tc>
                <w:tcPr>
                  <w:tcW w:w="1289" w:type="pct"/>
                  <w:gridSpan w:val="2"/>
                  <w:vAlign w:val="center"/>
                </w:tcPr>
                <w:p w14:paraId="58F400A8">
                  <w:pPr>
                    <w:spacing w:line="300" w:lineRule="exact"/>
                    <w:jc w:val="center"/>
                    <w:rPr>
                      <w:rFonts w:eastAsiaTheme="minorEastAsia"/>
                      <w:bCs/>
                      <w:color w:val="auto"/>
                      <w:szCs w:val="21"/>
                      <w:highlight w:val="none"/>
                    </w:rPr>
                  </w:pPr>
                  <w:r>
                    <w:rPr>
                      <w:rFonts w:eastAsiaTheme="minorEastAsia"/>
                      <w:color w:val="auto"/>
                      <w:szCs w:val="21"/>
                      <w:highlight w:val="none"/>
                    </w:rPr>
                    <w:t>噪声</w:t>
                  </w:r>
                </w:p>
              </w:tc>
              <w:tc>
                <w:tcPr>
                  <w:tcW w:w="632" w:type="pct"/>
                  <w:vAlign w:val="center"/>
                </w:tcPr>
                <w:p w14:paraId="38E6BAF4">
                  <w:pPr>
                    <w:spacing w:line="300" w:lineRule="exact"/>
                    <w:jc w:val="center"/>
                    <w:rPr>
                      <w:rFonts w:eastAsiaTheme="minorEastAsia"/>
                      <w:bCs/>
                      <w:color w:val="auto"/>
                      <w:szCs w:val="21"/>
                      <w:highlight w:val="none"/>
                    </w:rPr>
                  </w:pPr>
                  <w:r>
                    <w:rPr>
                      <w:rFonts w:eastAsiaTheme="minorEastAsia"/>
                      <w:color w:val="auto"/>
                      <w:szCs w:val="21"/>
                      <w:highlight w:val="none"/>
                    </w:rPr>
                    <w:t>设备工作噪声</w:t>
                  </w:r>
                </w:p>
              </w:tc>
              <w:tc>
                <w:tcPr>
                  <w:tcW w:w="881" w:type="pct"/>
                  <w:vAlign w:val="center"/>
                </w:tcPr>
                <w:p w14:paraId="10EC0810">
                  <w:pPr>
                    <w:spacing w:line="300" w:lineRule="exact"/>
                    <w:jc w:val="center"/>
                    <w:rPr>
                      <w:rFonts w:eastAsiaTheme="minorEastAsia"/>
                      <w:bCs/>
                      <w:color w:val="auto"/>
                      <w:szCs w:val="21"/>
                      <w:highlight w:val="none"/>
                    </w:rPr>
                  </w:pPr>
                  <w:r>
                    <w:rPr>
                      <w:rFonts w:eastAsiaTheme="minorEastAsia"/>
                      <w:color w:val="auto"/>
                      <w:szCs w:val="21"/>
                      <w:highlight w:val="none"/>
                    </w:rPr>
                    <w:t>Leq(A)</w:t>
                  </w:r>
                </w:p>
              </w:tc>
              <w:tc>
                <w:tcPr>
                  <w:tcW w:w="1869" w:type="pct"/>
                  <w:vAlign w:val="center"/>
                </w:tcPr>
                <w:p w14:paraId="59EB8F25">
                  <w:pPr>
                    <w:spacing w:line="300" w:lineRule="exact"/>
                    <w:jc w:val="center"/>
                    <w:rPr>
                      <w:rFonts w:eastAsiaTheme="minorEastAsia"/>
                      <w:bCs/>
                      <w:color w:val="auto"/>
                      <w:szCs w:val="21"/>
                      <w:highlight w:val="none"/>
                    </w:rPr>
                  </w:pPr>
                  <w:r>
                    <w:rPr>
                      <w:rFonts w:eastAsiaTheme="minorEastAsia"/>
                      <w:color w:val="auto"/>
                      <w:szCs w:val="21"/>
                      <w:highlight w:val="none"/>
                    </w:rPr>
                    <w:t>优先选用低噪声设备，基础减震、建筑隔声</w:t>
                  </w:r>
                </w:p>
              </w:tc>
            </w:tr>
          </w:tbl>
          <w:p w14:paraId="37F2DD25">
            <w:pPr>
              <w:spacing w:line="460" w:lineRule="exact"/>
              <w:rPr>
                <w:color w:val="auto"/>
                <w:highlight w:val="none"/>
              </w:rPr>
            </w:pPr>
          </w:p>
        </w:tc>
      </w:tr>
      <w:tr w14:paraId="1AF54204">
        <w:tblPrEx>
          <w:tblBorders>
            <w:top w:val="none" w:color="auto" w:sz="0" w:space="0"/>
            <w:left w:val="single" w:color="auto" w:sz="8" w:space="0"/>
            <w:bottom w:val="single" w:color="auto" w:sz="8" w:space="0"/>
            <w:right w:val="single" w:color="auto" w:sz="8" w:space="0"/>
            <w:insideH w:val="none" w:color="auto" w:sz="0" w:space="0"/>
            <w:insideV w:val="single" w:color="auto" w:sz="4" w:space="0"/>
          </w:tblBorders>
          <w:tblCellMar>
            <w:top w:w="0" w:type="dxa"/>
            <w:left w:w="108" w:type="dxa"/>
            <w:bottom w:w="0" w:type="dxa"/>
            <w:right w:w="108" w:type="dxa"/>
          </w:tblCellMar>
        </w:tblPrEx>
        <w:trPr>
          <w:trHeight w:val="2137" w:hRule="atLeast"/>
          <w:jc w:val="center"/>
        </w:trPr>
        <w:tc>
          <w:tcPr>
            <w:tcW w:w="379" w:type="dxa"/>
            <w:tcBorders>
              <w:top w:val="single" w:color="auto" w:sz="8" w:space="0"/>
              <w:bottom w:val="single" w:color="auto" w:sz="6" w:space="0"/>
              <w:tl2br w:val="nil"/>
              <w:tr2bl w:val="nil"/>
            </w:tcBorders>
            <w:vAlign w:val="center"/>
          </w:tcPr>
          <w:p w14:paraId="4647ADA4">
            <w:pPr>
              <w:pStyle w:val="15"/>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bCs/>
                <w:color w:val="auto"/>
                <w:kern w:val="2"/>
                <w:sz w:val="21"/>
                <w:szCs w:val="21"/>
                <w:highlight w:val="none"/>
              </w:rPr>
              <w:t>与项目有关的原有环境污染问题</w:t>
            </w:r>
          </w:p>
        </w:tc>
        <w:tc>
          <w:tcPr>
            <w:tcW w:w="8649" w:type="dxa"/>
            <w:tcBorders>
              <w:top w:val="single" w:color="auto" w:sz="8" w:space="0"/>
              <w:bottom w:val="single" w:color="auto" w:sz="6" w:space="0"/>
              <w:tl2br w:val="nil"/>
              <w:tr2bl w:val="nil"/>
            </w:tcBorders>
          </w:tcPr>
          <w:p w14:paraId="012F0835">
            <w:pPr>
              <w:pStyle w:val="15"/>
              <w:spacing w:before="0" w:beforeAutospacing="0" w:after="0" w:afterAutospacing="0" w:line="460" w:lineRule="exact"/>
              <w:rPr>
                <w:rFonts w:ascii="Times New Roman" w:hAnsi="Times New Roman"/>
                <w:color w:val="auto"/>
                <w:highlight w:val="none"/>
              </w:rPr>
            </w:pPr>
            <w:r>
              <w:rPr>
                <w:rFonts w:ascii="Times New Roman" w:hAnsi="Times New Roman"/>
                <w:b/>
                <w:bCs/>
                <w:color w:val="auto"/>
                <w:highlight w:val="none"/>
              </w:rPr>
              <w:t>2.13重庆市厨鼎食品有限公司厂区现有项目情况</w:t>
            </w:r>
          </w:p>
          <w:p w14:paraId="1E3C600E">
            <w:pPr>
              <w:pStyle w:val="15"/>
              <w:spacing w:before="0" w:beforeAutospacing="0" w:after="0" w:afterAutospacing="0" w:line="460" w:lineRule="exact"/>
              <w:ind w:firstLine="480" w:firstLineChars="200"/>
              <w:rPr>
                <w:rFonts w:ascii="Times New Roman" w:hAnsi="Times New Roman"/>
                <w:b/>
                <w:bCs/>
                <w:color w:val="auto"/>
                <w:highlight w:val="none"/>
              </w:rPr>
            </w:pPr>
            <w:r>
              <w:rPr>
                <w:rFonts w:ascii="Times New Roman" w:hAnsi="Times New Roman"/>
                <w:bCs/>
                <w:color w:val="auto"/>
                <w:szCs w:val="24"/>
                <w:highlight w:val="none"/>
              </w:rPr>
              <w:t>重庆市村里姑娘农业发展有限公司拟租赁</w:t>
            </w:r>
            <w:r>
              <w:rPr>
                <w:rFonts w:ascii="Times New Roman" w:hAnsi="Times New Roman"/>
                <w:color w:val="auto"/>
                <w:szCs w:val="24"/>
                <w:highlight w:val="none"/>
              </w:rPr>
              <w:t>重庆市厨鼎食品有限公司厂区1#闲置厂房</w:t>
            </w:r>
            <w:r>
              <w:rPr>
                <w:rFonts w:ascii="Times New Roman" w:hAnsi="Times New Roman"/>
                <w:bCs/>
                <w:color w:val="auto"/>
                <w:szCs w:val="24"/>
                <w:highlight w:val="none"/>
              </w:rPr>
              <w:t>1F和2F建设“年产90吨葛根粉”项目，租赁面积为1100 m</w:t>
            </w:r>
            <w:r>
              <w:rPr>
                <w:rFonts w:ascii="Times New Roman" w:hAnsi="Times New Roman"/>
                <w:bCs/>
                <w:color w:val="auto"/>
                <w:szCs w:val="24"/>
                <w:highlight w:val="none"/>
                <w:vertAlign w:val="superscript"/>
              </w:rPr>
              <w:t>2</w:t>
            </w:r>
            <w:r>
              <w:rPr>
                <w:rFonts w:ascii="Times New Roman" w:hAnsi="Times New Roman"/>
                <w:bCs/>
                <w:color w:val="auto"/>
                <w:szCs w:val="24"/>
                <w:highlight w:val="none"/>
              </w:rPr>
              <w:t>。</w:t>
            </w:r>
          </w:p>
          <w:p w14:paraId="080233E7">
            <w:pPr>
              <w:widowControl/>
              <w:spacing w:line="460" w:lineRule="exact"/>
              <w:ind w:firstLine="480" w:firstLineChars="200"/>
              <w:rPr>
                <w:color w:val="auto"/>
                <w:sz w:val="24"/>
                <w:highlight w:val="none"/>
              </w:rPr>
            </w:pPr>
            <w:r>
              <w:rPr>
                <w:color w:val="auto"/>
                <w:sz w:val="24"/>
                <w:highlight w:val="none"/>
              </w:rPr>
              <w:t>2015年重庆市厨鼎食品有限公司拟建</w:t>
            </w:r>
            <w:r>
              <w:rPr>
                <w:rFonts w:hint="eastAsia"/>
                <w:color w:val="auto"/>
                <w:sz w:val="24"/>
                <w:highlight w:val="none"/>
              </w:rPr>
              <w:t>“</w:t>
            </w:r>
            <w:r>
              <w:rPr>
                <w:color w:val="auto"/>
                <w:sz w:val="24"/>
                <w:highlight w:val="none"/>
              </w:rPr>
              <w:t>年产100吨鸡精生产线和分装200吨味精生产线（厨鼎调味品加工）项目</w:t>
            </w:r>
            <w:r>
              <w:rPr>
                <w:rFonts w:hint="eastAsia"/>
                <w:color w:val="auto"/>
                <w:sz w:val="24"/>
                <w:highlight w:val="none"/>
              </w:rPr>
              <w:t>”</w:t>
            </w:r>
            <w:r>
              <w:rPr>
                <w:color w:val="auto"/>
                <w:sz w:val="24"/>
                <w:highlight w:val="none"/>
              </w:rPr>
              <w:t>，编制了《年产100吨鸡精生产线和分装200吨味精生产线（厨鼎调味品加工）项目环境影响报告表》（重庆吉麟科技发展有限公司，2015年），并取得了环评批复（渝（合）环准〔2015〕150号），主要建设内容包括</w:t>
            </w:r>
            <w:r>
              <w:rPr>
                <w:rStyle w:val="23"/>
                <w:rFonts w:hint="eastAsia"/>
                <w:color w:val="auto"/>
                <w:kern w:val="0"/>
                <w:sz w:val="24"/>
                <w:szCs w:val="22"/>
                <w:highlight w:val="none"/>
                <w:lang w:val="en-US" w:eastAsia="zh-CN"/>
              </w:rPr>
              <w:t>新建1#厂房一幢、2#厂房一幢、综合办公楼一幢，在2#厂房1F北侧、2F北侧和西北侧新建</w:t>
            </w:r>
            <w:r>
              <w:rPr>
                <w:color w:val="auto"/>
                <w:sz w:val="24"/>
                <w:highlight w:val="none"/>
              </w:rPr>
              <w:t>年产100吨鸡精生产线和分装200吨味精生产线（厨鼎调味品加工）项目</w:t>
            </w:r>
            <w:r>
              <w:rPr>
                <w:rFonts w:hint="eastAsia"/>
                <w:color w:val="auto"/>
                <w:sz w:val="24"/>
                <w:highlight w:val="none"/>
                <w:lang w:eastAsia="zh-CN"/>
              </w:rPr>
              <w:t>，</w:t>
            </w:r>
            <w:r>
              <w:rPr>
                <w:rFonts w:hint="eastAsia"/>
                <w:color w:val="auto"/>
                <w:sz w:val="24"/>
                <w:highlight w:val="none"/>
                <w:lang w:val="en-US" w:eastAsia="zh-CN"/>
              </w:rPr>
              <w:t>1#厂房未设置生产线</w:t>
            </w:r>
            <w:r>
              <w:rPr>
                <w:color w:val="auto"/>
                <w:sz w:val="24"/>
                <w:highlight w:val="none"/>
              </w:rPr>
              <w:t>；该项目于2020年7月通过竣工环境保护验收</w:t>
            </w:r>
            <w:r>
              <w:rPr>
                <w:rFonts w:hint="eastAsia"/>
                <w:color w:val="auto"/>
                <w:sz w:val="24"/>
                <w:highlight w:val="none"/>
                <w:lang w:eastAsia="zh-CN"/>
              </w:rPr>
              <w:t>，</w:t>
            </w:r>
            <w:r>
              <w:rPr>
                <w:rFonts w:hint="eastAsia"/>
                <w:color w:val="auto"/>
                <w:sz w:val="24"/>
                <w:highlight w:val="none"/>
                <w:lang w:val="en-US" w:eastAsia="zh-CN"/>
              </w:rPr>
              <w:t>1#厂房闲置，2#厂房1F和2F南侧部分区域闲置</w:t>
            </w:r>
            <w:r>
              <w:rPr>
                <w:color w:val="auto"/>
                <w:sz w:val="24"/>
                <w:highlight w:val="none"/>
              </w:rPr>
              <w:t>。</w:t>
            </w:r>
          </w:p>
          <w:p w14:paraId="4B63192D">
            <w:pPr>
              <w:widowControl/>
              <w:spacing w:line="460" w:lineRule="exact"/>
              <w:ind w:firstLine="480" w:firstLineChars="200"/>
              <w:rPr>
                <w:color w:val="auto"/>
                <w:sz w:val="24"/>
                <w:highlight w:val="none"/>
              </w:rPr>
            </w:pPr>
            <w:r>
              <w:rPr>
                <w:color w:val="auto"/>
                <w:sz w:val="24"/>
                <w:highlight w:val="none"/>
              </w:rPr>
              <w:t>2023年重庆市厨鼎食品有限公司拟建</w:t>
            </w:r>
            <w:r>
              <w:rPr>
                <w:rFonts w:hint="eastAsia"/>
                <w:color w:val="auto"/>
                <w:sz w:val="24"/>
                <w:highlight w:val="none"/>
              </w:rPr>
              <w:t>“</w:t>
            </w:r>
            <w:r>
              <w:rPr>
                <w:color w:val="auto"/>
                <w:sz w:val="24"/>
                <w:highlight w:val="none"/>
              </w:rPr>
              <w:t>复合调味料生产加工项目</w:t>
            </w:r>
            <w:r>
              <w:rPr>
                <w:rFonts w:hint="eastAsia"/>
                <w:color w:val="auto"/>
                <w:sz w:val="24"/>
                <w:highlight w:val="none"/>
              </w:rPr>
              <w:t>”</w:t>
            </w:r>
            <w:r>
              <w:rPr>
                <w:color w:val="auto"/>
                <w:sz w:val="24"/>
                <w:highlight w:val="none"/>
              </w:rPr>
              <w:t>，编制了《复合调味料生产加工项目环境影响报告表》，并取得了环评批复（渝（合）环准〔2023〕030号）。</w:t>
            </w:r>
            <w:r>
              <w:rPr>
                <w:rFonts w:hint="eastAsia"/>
                <w:color w:val="auto"/>
                <w:sz w:val="24"/>
                <w:highlight w:val="none"/>
                <w:lang w:val="en-US" w:eastAsia="zh-CN"/>
              </w:rPr>
              <w:t>主要建设内容包括在2#厂房1F和2F南侧闲置区域建设</w:t>
            </w:r>
            <w:r>
              <w:rPr>
                <w:color w:val="auto"/>
                <w:sz w:val="24"/>
                <w:highlight w:val="none"/>
              </w:rPr>
              <w:t>复合调味料生产加工项目</w:t>
            </w:r>
            <w:r>
              <w:rPr>
                <w:rFonts w:hint="eastAsia"/>
                <w:color w:val="auto"/>
                <w:sz w:val="24"/>
                <w:highlight w:val="none"/>
                <w:lang w:eastAsia="zh-CN"/>
              </w:rPr>
              <w:t>，并</w:t>
            </w:r>
            <w:r>
              <w:rPr>
                <w:rFonts w:hint="eastAsia"/>
                <w:color w:val="auto"/>
                <w:sz w:val="24"/>
                <w:highlight w:val="none"/>
                <w:lang w:val="en-US" w:eastAsia="zh-CN"/>
              </w:rPr>
              <w:t>分别在2#厂房、1#厂房新增2座冷库。</w:t>
            </w:r>
            <w:r>
              <w:rPr>
                <w:color w:val="auto"/>
                <w:sz w:val="24"/>
                <w:highlight w:val="none"/>
              </w:rPr>
              <w:t>该项目于2024年3月通过竣工环境保护验收</w:t>
            </w:r>
            <w:r>
              <w:rPr>
                <w:rFonts w:hint="eastAsia"/>
                <w:color w:val="auto"/>
                <w:sz w:val="24"/>
                <w:highlight w:val="none"/>
                <w:lang w:eastAsia="zh-CN"/>
              </w:rPr>
              <w:t>，</w:t>
            </w:r>
            <w:r>
              <w:rPr>
                <w:rFonts w:hint="eastAsia"/>
                <w:color w:val="auto"/>
                <w:sz w:val="24"/>
                <w:highlight w:val="none"/>
                <w:lang w:val="en-US" w:eastAsia="zh-CN"/>
              </w:rPr>
              <w:t>2#厂房及2#冷库可满足复合调味料生产加工项目的生产加工需求及储存要求，目前1#厂房及1#冷库均处于闲置状态。</w:t>
            </w:r>
          </w:p>
          <w:p w14:paraId="6BD58825">
            <w:pPr>
              <w:pStyle w:val="15"/>
              <w:spacing w:before="0" w:beforeAutospacing="0" w:after="0" w:afterAutospacing="0" w:line="460" w:lineRule="exact"/>
              <w:ind w:firstLine="480" w:firstLineChars="200"/>
              <w:rPr>
                <w:rFonts w:ascii="Times New Roman" w:hAnsi="Times New Roman"/>
                <w:color w:val="auto"/>
                <w:highlight w:val="none"/>
              </w:rPr>
            </w:pPr>
            <w:r>
              <w:rPr>
                <w:rFonts w:ascii="Times New Roman" w:hAnsi="Times New Roman"/>
                <w:color w:val="auto"/>
                <w:highlight w:val="none"/>
              </w:rPr>
              <w:t>厨鼎食品公司现有</w:t>
            </w:r>
            <w:r>
              <w:rPr>
                <w:rFonts w:ascii="Times New Roman" w:hAnsi="Times New Roman"/>
                <w:bCs/>
                <w:color w:val="auto"/>
                <w:highlight w:val="none"/>
              </w:rPr>
              <w:t>项目较好落实了环保</w:t>
            </w:r>
            <w:r>
              <w:rPr>
                <w:rFonts w:hint="eastAsia" w:ascii="Times New Roman" w:hAnsi="Times New Roman"/>
                <w:bCs/>
                <w:color w:val="auto"/>
                <w:highlight w:val="none"/>
              </w:rPr>
              <w:t>“</w:t>
            </w:r>
            <w:r>
              <w:rPr>
                <w:rFonts w:ascii="Times New Roman" w:hAnsi="Times New Roman"/>
                <w:bCs/>
                <w:color w:val="auto"/>
                <w:highlight w:val="none"/>
              </w:rPr>
              <w:t>三同时</w:t>
            </w:r>
            <w:r>
              <w:rPr>
                <w:rFonts w:hint="eastAsia" w:ascii="Times New Roman" w:hAnsi="Times New Roman"/>
                <w:bCs/>
                <w:color w:val="auto"/>
                <w:highlight w:val="none"/>
              </w:rPr>
              <w:t>”</w:t>
            </w:r>
            <w:r>
              <w:rPr>
                <w:rFonts w:ascii="Times New Roman" w:hAnsi="Times New Roman"/>
                <w:bCs/>
                <w:color w:val="auto"/>
                <w:highlight w:val="none"/>
              </w:rPr>
              <w:t>制度，采取的废水、废气、固废、噪声治理措施总体可行，根据竣工环保验收报告以及企业排污许可证年度执行报告可知，现有项目各污染物排放浓度和排放总量能够满足达标排放要求；根据现场调查，厂区拥有较为完善的废水、废气、噪声等治理措施，固体废物区设置较为完善，能够满足相应的环保要求；且厂区各污染物</w:t>
            </w:r>
            <w:r>
              <w:rPr>
                <w:rFonts w:ascii="Times New Roman" w:hAnsi="Times New Roman"/>
                <w:color w:val="auto"/>
                <w:highlight w:val="none"/>
              </w:rPr>
              <w:t>均能够实现达标排放的要求，环境风险防范措施有效。</w:t>
            </w:r>
          </w:p>
          <w:p w14:paraId="154293D3">
            <w:pPr>
              <w:pStyle w:val="15"/>
              <w:spacing w:before="0" w:beforeAutospacing="0" w:after="0" w:afterAutospacing="0" w:line="460" w:lineRule="exact"/>
              <w:ind w:firstLine="480" w:firstLineChars="200"/>
              <w:rPr>
                <w:rFonts w:ascii="Times New Roman" w:hAnsi="Times New Roman"/>
                <w:color w:val="auto"/>
                <w:highlight w:val="none"/>
              </w:rPr>
            </w:pPr>
            <w:r>
              <w:rPr>
                <w:rFonts w:ascii="Times New Roman" w:hAnsi="Times New Roman"/>
                <w:color w:val="auto"/>
                <w:highlight w:val="none"/>
              </w:rPr>
              <w:t>本项目拟租用</w:t>
            </w:r>
            <w:r>
              <w:rPr>
                <w:rFonts w:hint="eastAsia" w:ascii="Times New Roman" w:hAnsi="Times New Roman"/>
                <w:color w:val="auto"/>
                <w:highlight w:val="none"/>
              </w:rPr>
              <w:t>厨鼎食品公司</w:t>
            </w:r>
            <w:r>
              <w:rPr>
                <w:rFonts w:ascii="Times New Roman" w:hAnsi="Times New Roman"/>
                <w:color w:val="auto"/>
                <w:highlight w:val="none"/>
              </w:rPr>
              <w:t>厂区1#闲置厂房1F和2F进行建设。经现场踏勘，该厂房建成后厨鼎未投入使用，不存在与项目有关的原有环境污染问题。</w:t>
            </w:r>
          </w:p>
          <w:p w14:paraId="44E7ABAB">
            <w:pPr>
              <w:pStyle w:val="15"/>
              <w:spacing w:before="0" w:beforeAutospacing="0" w:after="0" w:afterAutospacing="0" w:line="460" w:lineRule="exact"/>
              <w:rPr>
                <w:rFonts w:ascii="Times New Roman" w:hAnsi="Times New Roman"/>
                <w:color w:val="auto"/>
                <w:highlight w:val="none"/>
              </w:rPr>
            </w:pPr>
          </w:p>
        </w:tc>
      </w:tr>
    </w:tbl>
    <w:p w14:paraId="5CB6B755">
      <w:pPr>
        <w:pStyle w:val="15"/>
        <w:jc w:val="center"/>
        <w:rPr>
          <w:rFonts w:ascii="黑体" w:hAnsi="黑体" w:eastAsia="黑体"/>
          <w:snapToGrid w:val="0"/>
          <w:color w:val="auto"/>
          <w:sz w:val="36"/>
          <w:szCs w:val="36"/>
          <w:highlight w:val="none"/>
        </w:rPr>
        <w:sectPr>
          <w:pgSz w:w="11906" w:h="16838"/>
          <w:pgMar w:top="1701" w:right="1531" w:bottom="1701" w:left="1531" w:header="851" w:footer="851" w:gutter="0"/>
          <w:cols w:space="720" w:num="1"/>
          <w:docGrid w:linePitch="312" w:charSpace="0"/>
        </w:sectPr>
      </w:pPr>
    </w:p>
    <w:p w14:paraId="10A53890">
      <w:pPr>
        <w:pStyle w:val="15"/>
        <w:adjustRightInd w:val="0"/>
        <w:snapToGrid w:val="0"/>
        <w:spacing w:before="0" w:beforeAutospacing="0" w:after="0" w:afterAutospacing="0" w:line="14" w:lineRule="auto"/>
        <w:jc w:val="center"/>
        <w:outlineLvl w:val="0"/>
        <w:rPr>
          <w:rFonts w:ascii="黑体" w:hAnsi="黑体" w:eastAsia="黑体"/>
          <w:snapToGrid w:val="0"/>
          <w:color w:val="auto"/>
          <w:sz w:val="30"/>
          <w:szCs w:val="30"/>
          <w:highlight w:val="none"/>
        </w:rPr>
      </w:pPr>
    </w:p>
    <w:p w14:paraId="09539B0E">
      <w:pPr>
        <w:pStyle w:val="1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87"/>
      </w:tblGrid>
      <w:tr w14:paraId="7B8E2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30" w:hRule="atLeast"/>
          <w:jc w:val="center"/>
        </w:trPr>
        <w:tc>
          <w:tcPr>
            <w:tcW w:w="426" w:type="dxa"/>
            <w:vAlign w:val="center"/>
          </w:tcPr>
          <w:p w14:paraId="27F2F4C6">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区域</w:t>
            </w:r>
          </w:p>
          <w:p w14:paraId="42F6EEDF">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5A121D57">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质量</w:t>
            </w:r>
          </w:p>
          <w:p w14:paraId="3D4687B1">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587" w:type="dxa"/>
          </w:tcPr>
          <w:p w14:paraId="2E981A6E">
            <w:pPr>
              <w:pStyle w:val="6"/>
              <w:spacing w:line="460" w:lineRule="exact"/>
              <w:rPr>
                <w:b/>
                <w:bCs/>
                <w:color w:val="auto"/>
                <w:sz w:val="24"/>
                <w:szCs w:val="24"/>
                <w:highlight w:val="none"/>
              </w:rPr>
            </w:pPr>
            <w:r>
              <w:rPr>
                <w:b/>
                <w:bCs/>
                <w:color w:val="auto"/>
                <w:sz w:val="24"/>
                <w:szCs w:val="24"/>
                <w:highlight w:val="none"/>
              </w:rPr>
              <w:t>3.1区域环境质量现状</w:t>
            </w:r>
          </w:p>
          <w:p w14:paraId="3BC1CC71">
            <w:pPr>
              <w:pStyle w:val="6"/>
              <w:spacing w:line="460" w:lineRule="exact"/>
              <w:rPr>
                <w:b/>
                <w:bCs/>
                <w:color w:val="auto"/>
                <w:sz w:val="24"/>
                <w:szCs w:val="24"/>
                <w:highlight w:val="none"/>
              </w:rPr>
            </w:pPr>
            <w:r>
              <w:rPr>
                <w:b/>
                <w:bCs/>
                <w:color w:val="auto"/>
                <w:sz w:val="24"/>
                <w:szCs w:val="24"/>
                <w:highlight w:val="none"/>
              </w:rPr>
              <w:t>3.1.1大气环境</w:t>
            </w:r>
          </w:p>
          <w:p w14:paraId="4505394F">
            <w:pPr>
              <w:widowControl/>
              <w:spacing w:line="460" w:lineRule="exact"/>
              <w:ind w:firstLine="480" w:firstLineChars="200"/>
              <w:jc w:val="left"/>
              <w:rPr>
                <w:color w:val="auto"/>
                <w:kern w:val="0"/>
                <w:sz w:val="24"/>
                <w:highlight w:val="none"/>
                <w:lang w:bidi="ar"/>
              </w:rPr>
            </w:pPr>
            <w:r>
              <w:rPr>
                <w:color w:val="auto"/>
                <w:kern w:val="0"/>
                <w:sz w:val="24"/>
                <w:highlight w:val="none"/>
                <w:lang w:bidi="ar"/>
              </w:rPr>
              <w:t>根据《</w:t>
            </w:r>
            <w:r>
              <w:rPr>
                <w:rFonts w:hint="eastAsia" w:ascii="宋体" w:hAnsi="宋体" w:cs="宋体"/>
                <w:color w:val="auto"/>
                <w:kern w:val="0"/>
                <w:sz w:val="24"/>
                <w:highlight w:val="none"/>
                <w:lang w:bidi="ar"/>
              </w:rPr>
              <w:t>重庆市人民政府关于印发重庆市环境空气质量功能区划分规定的通知</w:t>
            </w:r>
            <w:r>
              <w:rPr>
                <w:color w:val="auto"/>
                <w:kern w:val="0"/>
                <w:sz w:val="24"/>
                <w:highlight w:val="none"/>
                <w:lang w:bidi="ar"/>
              </w:rPr>
              <w:t>》（渝府发〔2016〕19号）</w:t>
            </w:r>
            <w:r>
              <w:rPr>
                <w:rFonts w:hint="eastAsia"/>
                <w:color w:val="auto"/>
                <w:kern w:val="0"/>
                <w:sz w:val="24"/>
                <w:highlight w:val="none"/>
                <w:lang w:bidi="ar"/>
              </w:rPr>
              <w:t>文件</w:t>
            </w:r>
            <w:r>
              <w:rPr>
                <w:color w:val="auto"/>
                <w:kern w:val="0"/>
                <w:sz w:val="24"/>
                <w:highlight w:val="none"/>
                <w:lang w:bidi="ar"/>
              </w:rPr>
              <w:t>规定，拟建项目所在地属二类区域。环境空气质量标准执行《环境空气质量标准》（GB3095-2012）</w:t>
            </w:r>
            <w:r>
              <w:rPr>
                <w:rFonts w:hint="eastAsia"/>
                <w:color w:val="auto"/>
                <w:kern w:val="0"/>
                <w:sz w:val="24"/>
                <w:highlight w:val="none"/>
                <w:lang w:bidi="ar"/>
              </w:rPr>
              <w:t>及其修改单中的</w:t>
            </w:r>
            <w:r>
              <w:rPr>
                <w:color w:val="auto"/>
                <w:kern w:val="0"/>
                <w:sz w:val="24"/>
                <w:highlight w:val="none"/>
                <w:lang w:bidi="ar"/>
              </w:rPr>
              <w:t>二级标准。</w:t>
            </w:r>
          </w:p>
          <w:p w14:paraId="07E9841D">
            <w:pPr>
              <w:widowControl/>
              <w:spacing w:line="460" w:lineRule="exact"/>
              <w:ind w:firstLine="480" w:firstLineChars="200"/>
              <w:jc w:val="left"/>
              <w:rPr>
                <w:color w:val="auto"/>
                <w:kern w:val="0"/>
                <w:sz w:val="24"/>
                <w:highlight w:val="none"/>
                <w:lang w:bidi="ar"/>
              </w:rPr>
            </w:pPr>
            <w:r>
              <w:rPr>
                <w:rFonts w:hint="eastAsia"/>
                <w:color w:val="auto"/>
                <w:kern w:val="0"/>
                <w:sz w:val="24"/>
                <w:highlight w:val="none"/>
                <w:lang w:bidi="ar"/>
              </w:rPr>
              <w:t>本项目位于</w:t>
            </w:r>
            <w:r>
              <w:rPr>
                <w:rFonts w:hint="eastAsia"/>
                <w:color w:val="auto"/>
                <w:sz w:val="24"/>
                <w:highlight w:val="none"/>
              </w:rPr>
              <w:t>重庆市合川区龙市镇龙马大道7号</w:t>
            </w:r>
            <w:r>
              <w:rPr>
                <w:rFonts w:hint="eastAsia"/>
                <w:color w:val="auto"/>
                <w:kern w:val="0"/>
                <w:sz w:val="24"/>
                <w:highlight w:val="none"/>
                <w:lang w:bidi="ar"/>
              </w:rPr>
              <w:t>，</w:t>
            </w:r>
            <w:r>
              <w:rPr>
                <w:rFonts w:hint="eastAsia"/>
                <w:color w:val="auto"/>
                <w:sz w:val="24"/>
                <w:highlight w:val="none"/>
              </w:rPr>
              <w:t>本项目所在区域空气质量现状数据引用重庆市生态环境局公布的《</w:t>
            </w:r>
            <w:r>
              <w:rPr>
                <w:color w:val="auto"/>
                <w:sz w:val="24"/>
                <w:highlight w:val="none"/>
                <w:shd w:val="clear" w:color="auto" w:fill="FFFFFF"/>
              </w:rPr>
              <w:t>2023</w:t>
            </w:r>
            <w:r>
              <w:rPr>
                <w:rFonts w:hint="eastAsia" w:ascii="宋体" w:hAnsi="宋体" w:cs="宋体"/>
                <w:color w:val="auto"/>
                <w:sz w:val="24"/>
                <w:highlight w:val="none"/>
                <w:shd w:val="clear" w:color="auto" w:fill="FFFFFF"/>
              </w:rPr>
              <w:t>重庆市生态环境状况公报</w:t>
            </w:r>
            <w:r>
              <w:rPr>
                <w:rFonts w:hint="eastAsia"/>
                <w:color w:val="auto"/>
                <w:sz w:val="24"/>
                <w:highlight w:val="none"/>
              </w:rPr>
              <w:t>》中合川区环境空气质量现状数据，区域空气质量现状评价见表3.1-1。</w:t>
            </w:r>
          </w:p>
          <w:p w14:paraId="387D4A36">
            <w:pPr>
              <w:spacing w:line="460" w:lineRule="exact"/>
              <w:jc w:val="center"/>
              <w:rPr>
                <w:b/>
                <w:bCs/>
                <w:color w:val="auto"/>
                <w:highlight w:val="none"/>
              </w:rPr>
            </w:pPr>
            <w:r>
              <w:rPr>
                <w:rFonts w:hint="eastAsia"/>
                <w:b/>
                <w:bCs/>
                <w:color w:val="auto"/>
                <w:sz w:val="24"/>
                <w:highlight w:val="none"/>
              </w:rPr>
              <w:t>表3.1-1 区域环境空气质量现状评价表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858"/>
              <w:gridCol w:w="2580"/>
              <w:gridCol w:w="1091"/>
              <w:gridCol w:w="900"/>
              <w:gridCol w:w="912"/>
              <w:gridCol w:w="1147"/>
            </w:tblGrid>
            <w:tr w14:paraId="5C1E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18D3102B">
                  <w:pPr>
                    <w:spacing w:line="300" w:lineRule="exact"/>
                    <w:jc w:val="center"/>
                    <w:rPr>
                      <w:color w:val="auto"/>
                      <w:highlight w:val="none"/>
                    </w:rPr>
                  </w:pPr>
                  <w:r>
                    <w:rPr>
                      <w:color w:val="auto"/>
                      <w:highlight w:val="none"/>
                    </w:rPr>
                    <w:t>污染物</w:t>
                  </w:r>
                </w:p>
              </w:tc>
              <w:tc>
                <w:tcPr>
                  <w:tcW w:w="513" w:type="pct"/>
                  <w:vAlign w:val="center"/>
                </w:tcPr>
                <w:p w14:paraId="11F452F5">
                  <w:pPr>
                    <w:spacing w:line="300" w:lineRule="exact"/>
                    <w:jc w:val="center"/>
                    <w:rPr>
                      <w:color w:val="auto"/>
                      <w:highlight w:val="none"/>
                    </w:rPr>
                  </w:pPr>
                  <w:r>
                    <w:rPr>
                      <w:rFonts w:hint="eastAsia"/>
                      <w:color w:val="auto"/>
                      <w:highlight w:val="none"/>
                    </w:rPr>
                    <w:t>单位</w:t>
                  </w:r>
                </w:p>
              </w:tc>
              <w:tc>
                <w:tcPr>
                  <w:tcW w:w="1542" w:type="pct"/>
                  <w:vAlign w:val="center"/>
                </w:tcPr>
                <w:p w14:paraId="644CECAB">
                  <w:pPr>
                    <w:spacing w:line="300" w:lineRule="exact"/>
                    <w:jc w:val="center"/>
                    <w:rPr>
                      <w:color w:val="auto"/>
                      <w:highlight w:val="none"/>
                    </w:rPr>
                  </w:pPr>
                  <w:r>
                    <w:rPr>
                      <w:color w:val="auto"/>
                      <w:highlight w:val="none"/>
                    </w:rPr>
                    <w:t>年评价指标</w:t>
                  </w:r>
                </w:p>
              </w:tc>
              <w:tc>
                <w:tcPr>
                  <w:tcW w:w="652" w:type="pct"/>
                  <w:vAlign w:val="center"/>
                </w:tcPr>
                <w:p w14:paraId="39ABB500">
                  <w:pPr>
                    <w:spacing w:line="300" w:lineRule="exact"/>
                    <w:jc w:val="center"/>
                    <w:rPr>
                      <w:color w:val="auto"/>
                      <w:highlight w:val="none"/>
                    </w:rPr>
                  </w:pPr>
                  <w:r>
                    <w:rPr>
                      <w:color w:val="auto"/>
                      <w:highlight w:val="none"/>
                    </w:rPr>
                    <w:t>现状浓度</w:t>
                  </w:r>
                </w:p>
              </w:tc>
              <w:tc>
                <w:tcPr>
                  <w:tcW w:w="538" w:type="pct"/>
                  <w:vAlign w:val="center"/>
                </w:tcPr>
                <w:p w14:paraId="28421930">
                  <w:pPr>
                    <w:spacing w:line="300" w:lineRule="exact"/>
                    <w:jc w:val="center"/>
                    <w:rPr>
                      <w:color w:val="auto"/>
                      <w:highlight w:val="none"/>
                    </w:rPr>
                  </w:pPr>
                  <w:r>
                    <w:rPr>
                      <w:color w:val="auto"/>
                      <w:highlight w:val="none"/>
                    </w:rPr>
                    <w:t>标准值</w:t>
                  </w:r>
                </w:p>
              </w:tc>
              <w:tc>
                <w:tcPr>
                  <w:tcW w:w="545" w:type="pct"/>
                  <w:vAlign w:val="center"/>
                </w:tcPr>
                <w:p w14:paraId="31A215FF">
                  <w:pPr>
                    <w:spacing w:line="300" w:lineRule="exact"/>
                    <w:jc w:val="center"/>
                    <w:rPr>
                      <w:color w:val="auto"/>
                      <w:highlight w:val="none"/>
                    </w:rPr>
                  </w:pPr>
                  <w:r>
                    <w:rPr>
                      <w:color w:val="auto"/>
                      <w:highlight w:val="none"/>
                    </w:rPr>
                    <w:t>占标率（%）</w:t>
                  </w:r>
                </w:p>
              </w:tc>
              <w:tc>
                <w:tcPr>
                  <w:tcW w:w="685" w:type="pct"/>
                  <w:vAlign w:val="center"/>
                </w:tcPr>
                <w:p w14:paraId="26C28217">
                  <w:pPr>
                    <w:spacing w:line="300" w:lineRule="exact"/>
                    <w:jc w:val="center"/>
                    <w:rPr>
                      <w:color w:val="auto"/>
                      <w:highlight w:val="none"/>
                    </w:rPr>
                  </w:pPr>
                  <w:r>
                    <w:rPr>
                      <w:color w:val="auto"/>
                      <w:highlight w:val="none"/>
                    </w:rPr>
                    <w:t>达标情况</w:t>
                  </w:r>
                </w:p>
              </w:tc>
            </w:tr>
            <w:tr w14:paraId="6574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7954F0DC">
                  <w:pPr>
                    <w:spacing w:line="300" w:lineRule="exact"/>
                    <w:jc w:val="center"/>
                    <w:rPr>
                      <w:color w:val="auto"/>
                      <w:highlight w:val="none"/>
                    </w:rPr>
                  </w:pPr>
                  <w:r>
                    <w:rPr>
                      <w:color w:val="auto"/>
                      <w:highlight w:val="none"/>
                    </w:rPr>
                    <w:t>SO</w:t>
                  </w:r>
                  <w:r>
                    <w:rPr>
                      <w:color w:val="auto"/>
                      <w:highlight w:val="none"/>
                      <w:vertAlign w:val="subscript"/>
                    </w:rPr>
                    <w:t>2</w:t>
                  </w:r>
                </w:p>
              </w:tc>
              <w:tc>
                <w:tcPr>
                  <w:tcW w:w="513" w:type="pct"/>
                  <w:vMerge w:val="restart"/>
                  <w:vAlign w:val="center"/>
                </w:tcPr>
                <w:p w14:paraId="3FCF19B9">
                  <w:pPr>
                    <w:spacing w:line="300" w:lineRule="exact"/>
                    <w:jc w:val="center"/>
                    <w:rPr>
                      <w:color w:val="auto"/>
                      <w:highlight w:val="none"/>
                    </w:rPr>
                  </w:pPr>
                  <w:r>
                    <w:rPr>
                      <w:color w:val="auto"/>
                      <w:szCs w:val="21"/>
                      <w:highlight w:val="none"/>
                    </w:rPr>
                    <w:t>μg/m</w:t>
                  </w:r>
                  <w:r>
                    <w:rPr>
                      <w:color w:val="auto"/>
                      <w:szCs w:val="21"/>
                      <w:highlight w:val="none"/>
                      <w:vertAlign w:val="superscript"/>
                    </w:rPr>
                    <w:t>3</w:t>
                  </w:r>
                </w:p>
              </w:tc>
              <w:tc>
                <w:tcPr>
                  <w:tcW w:w="1542" w:type="pct"/>
                  <w:vMerge w:val="restart"/>
                  <w:vAlign w:val="center"/>
                </w:tcPr>
                <w:p w14:paraId="0147A7A5">
                  <w:pPr>
                    <w:spacing w:line="300" w:lineRule="exact"/>
                    <w:jc w:val="center"/>
                    <w:rPr>
                      <w:color w:val="auto"/>
                      <w:highlight w:val="none"/>
                    </w:rPr>
                  </w:pPr>
                  <w:r>
                    <w:rPr>
                      <w:color w:val="auto"/>
                      <w:highlight w:val="none"/>
                    </w:rPr>
                    <w:t>年平均质量浓度</w:t>
                  </w:r>
                </w:p>
              </w:tc>
              <w:tc>
                <w:tcPr>
                  <w:tcW w:w="652" w:type="pct"/>
                  <w:vAlign w:val="center"/>
                </w:tcPr>
                <w:p w14:paraId="6F505533">
                  <w:pPr>
                    <w:spacing w:line="300" w:lineRule="exact"/>
                    <w:jc w:val="center"/>
                    <w:rPr>
                      <w:color w:val="auto"/>
                      <w:highlight w:val="none"/>
                    </w:rPr>
                  </w:pPr>
                  <w:r>
                    <w:rPr>
                      <w:color w:val="auto"/>
                      <w:highlight w:val="none"/>
                    </w:rPr>
                    <w:t>10</w:t>
                  </w:r>
                </w:p>
              </w:tc>
              <w:tc>
                <w:tcPr>
                  <w:tcW w:w="538" w:type="pct"/>
                  <w:vAlign w:val="center"/>
                </w:tcPr>
                <w:p w14:paraId="5BE00DE4">
                  <w:pPr>
                    <w:spacing w:line="300" w:lineRule="exact"/>
                    <w:jc w:val="center"/>
                    <w:rPr>
                      <w:color w:val="auto"/>
                      <w:highlight w:val="none"/>
                    </w:rPr>
                  </w:pPr>
                  <w:r>
                    <w:rPr>
                      <w:color w:val="auto"/>
                      <w:highlight w:val="none"/>
                    </w:rPr>
                    <w:t>60</w:t>
                  </w:r>
                </w:p>
              </w:tc>
              <w:tc>
                <w:tcPr>
                  <w:tcW w:w="545" w:type="pct"/>
                  <w:vAlign w:val="center"/>
                </w:tcPr>
                <w:p w14:paraId="13C668C0">
                  <w:pPr>
                    <w:spacing w:line="300" w:lineRule="exact"/>
                    <w:jc w:val="center"/>
                    <w:rPr>
                      <w:color w:val="auto"/>
                      <w:highlight w:val="none"/>
                    </w:rPr>
                  </w:pPr>
                  <w:r>
                    <w:rPr>
                      <w:color w:val="auto"/>
                      <w:highlight w:val="none"/>
                    </w:rPr>
                    <w:t>16.7</w:t>
                  </w:r>
                </w:p>
              </w:tc>
              <w:tc>
                <w:tcPr>
                  <w:tcW w:w="685" w:type="pct"/>
                  <w:vAlign w:val="center"/>
                </w:tcPr>
                <w:p w14:paraId="35389792">
                  <w:pPr>
                    <w:spacing w:line="300" w:lineRule="exact"/>
                    <w:jc w:val="center"/>
                    <w:rPr>
                      <w:color w:val="auto"/>
                      <w:highlight w:val="none"/>
                    </w:rPr>
                  </w:pPr>
                  <w:r>
                    <w:rPr>
                      <w:color w:val="auto"/>
                      <w:highlight w:val="none"/>
                    </w:rPr>
                    <w:t>达标</w:t>
                  </w:r>
                </w:p>
              </w:tc>
            </w:tr>
            <w:tr w14:paraId="1902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093E2FA4">
                  <w:pPr>
                    <w:spacing w:line="300" w:lineRule="exact"/>
                    <w:jc w:val="center"/>
                    <w:rPr>
                      <w:color w:val="auto"/>
                      <w:highlight w:val="none"/>
                    </w:rPr>
                  </w:pPr>
                  <w:r>
                    <w:rPr>
                      <w:color w:val="auto"/>
                      <w:highlight w:val="none"/>
                    </w:rPr>
                    <w:t>NO</w:t>
                  </w:r>
                  <w:r>
                    <w:rPr>
                      <w:color w:val="auto"/>
                      <w:highlight w:val="none"/>
                      <w:vertAlign w:val="subscript"/>
                    </w:rPr>
                    <w:t>2</w:t>
                  </w:r>
                </w:p>
              </w:tc>
              <w:tc>
                <w:tcPr>
                  <w:tcW w:w="513" w:type="pct"/>
                  <w:vMerge w:val="continue"/>
                  <w:vAlign w:val="center"/>
                </w:tcPr>
                <w:p w14:paraId="38FED44D">
                  <w:pPr>
                    <w:spacing w:line="300" w:lineRule="exact"/>
                    <w:jc w:val="center"/>
                    <w:rPr>
                      <w:color w:val="auto"/>
                      <w:highlight w:val="none"/>
                    </w:rPr>
                  </w:pPr>
                </w:p>
              </w:tc>
              <w:tc>
                <w:tcPr>
                  <w:tcW w:w="1542" w:type="pct"/>
                  <w:vMerge w:val="continue"/>
                  <w:vAlign w:val="center"/>
                </w:tcPr>
                <w:p w14:paraId="65B250AD">
                  <w:pPr>
                    <w:spacing w:line="300" w:lineRule="exact"/>
                    <w:jc w:val="center"/>
                    <w:rPr>
                      <w:color w:val="auto"/>
                      <w:highlight w:val="none"/>
                    </w:rPr>
                  </w:pPr>
                </w:p>
              </w:tc>
              <w:tc>
                <w:tcPr>
                  <w:tcW w:w="652" w:type="pct"/>
                  <w:vAlign w:val="center"/>
                </w:tcPr>
                <w:p w14:paraId="75550592">
                  <w:pPr>
                    <w:spacing w:line="300" w:lineRule="exact"/>
                    <w:jc w:val="center"/>
                    <w:rPr>
                      <w:color w:val="auto"/>
                      <w:highlight w:val="none"/>
                    </w:rPr>
                  </w:pPr>
                  <w:r>
                    <w:rPr>
                      <w:color w:val="auto"/>
                      <w:highlight w:val="none"/>
                    </w:rPr>
                    <w:t>26</w:t>
                  </w:r>
                </w:p>
              </w:tc>
              <w:tc>
                <w:tcPr>
                  <w:tcW w:w="538" w:type="pct"/>
                  <w:vAlign w:val="center"/>
                </w:tcPr>
                <w:p w14:paraId="68F316C5">
                  <w:pPr>
                    <w:spacing w:line="300" w:lineRule="exact"/>
                    <w:jc w:val="center"/>
                    <w:rPr>
                      <w:color w:val="auto"/>
                      <w:highlight w:val="none"/>
                    </w:rPr>
                  </w:pPr>
                  <w:r>
                    <w:rPr>
                      <w:color w:val="auto"/>
                      <w:highlight w:val="none"/>
                    </w:rPr>
                    <w:t>40</w:t>
                  </w:r>
                </w:p>
              </w:tc>
              <w:tc>
                <w:tcPr>
                  <w:tcW w:w="545" w:type="pct"/>
                  <w:vAlign w:val="center"/>
                </w:tcPr>
                <w:p w14:paraId="7BDD78EF">
                  <w:pPr>
                    <w:spacing w:line="300" w:lineRule="exact"/>
                    <w:jc w:val="center"/>
                    <w:rPr>
                      <w:color w:val="auto"/>
                      <w:highlight w:val="none"/>
                    </w:rPr>
                  </w:pPr>
                  <w:r>
                    <w:rPr>
                      <w:color w:val="auto"/>
                      <w:highlight w:val="none"/>
                    </w:rPr>
                    <w:t>65</w:t>
                  </w:r>
                  <w:r>
                    <w:rPr>
                      <w:rFonts w:hint="eastAsia"/>
                      <w:color w:val="auto"/>
                      <w:highlight w:val="none"/>
                    </w:rPr>
                    <w:t>.0</w:t>
                  </w:r>
                </w:p>
              </w:tc>
              <w:tc>
                <w:tcPr>
                  <w:tcW w:w="685" w:type="pct"/>
                  <w:vAlign w:val="center"/>
                </w:tcPr>
                <w:p w14:paraId="2563C1DE">
                  <w:pPr>
                    <w:spacing w:line="300" w:lineRule="exact"/>
                    <w:jc w:val="center"/>
                    <w:rPr>
                      <w:color w:val="auto"/>
                      <w:highlight w:val="none"/>
                    </w:rPr>
                  </w:pPr>
                  <w:r>
                    <w:rPr>
                      <w:color w:val="auto"/>
                      <w:highlight w:val="none"/>
                    </w:rPr>
                    <w:t>达标</w:t>
                  </w:r>
                </w:p>
              </w:tc>
            </w:tr>
            <w:tr w14:paraId="2C20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1ECF6CB0">
                  <w:pPr>
                    <w:spacing w:line="300" w:lineRule="exact"/>
                    <w:jc w:val="center"/>
                    <w:rPr>
                      <w:color w:val="auto"/>
                      <w:highlight w:val="none"/>
                    </w:rPr>
                  </w:pPr>
                  <w:r>
                    <w:rPr>
                      <w:color w:val="auto"/>
                      <w:highlight w:val="none"/>
                    </w:rPr>
                    <w:t>PM</w:t>
                  </w:r>
                  <w:r>
                    <w:rPr>
                      <w:color w:val="auto"/>
                      <w:highlight w:val="none"/>
                      <w:vertAlign w:val="subscript"/>
                    </w:rPr>
                    <w:t>10</w:t>
                  </w:r>
                </w:p>
              </w:tc>
              <w:tc>
                <w:tcPr>
                  <w:tcW w:w="513" w:type="pct"/>
                  <w:vMerge w:val="continue"/>
                  <w:vAlign w:val="center"/>
                </w:tcPr>
                <w:p w14:paraId="4312085B">
                  <w:pPr>
                    <w:spacing w:line="300" w:lineRule="exact"/>
                    <w:jc w:val="center"/>
                    <w:rPr>
                      <w:color w:val="auto"/>
                      <w:highlight w:val="none"/>
                    </w:rPr>
                  </w:pPr>
                </w:p>
              </w:tc>
              <w:tc>
                <w:tcPr>
                  <w:tcW w:w="1542" w:type="pct"/>
                  <w:vMerge w:val="continue"/>
                  <w:vAlign w:val="center"/>
                </w:tcPr>
                <w:p w14:paraId="337893AE">
                  <w:pPr>
                    <w:spacing w:line="300" w:lineRule="exact"/>
                    <w:jc w:val="center"/>
                    <w:rPr>
                      <w:color w:val="auto"/>
                      <w:highlight w:val="none"/>
                    </w:rPr>
                  </w:pPr>
                </w:p>
              </w:tc>
              <w:tc>
                <w:tcPr>
                  <w:tcW w:w="652" w:type="pct"/>
                  <w:vAlign w:val="center"/>
                </w:tcPr>
                <w:p w14:paraId="176378D3">
                  <w:pPr>
                    <w:spacing w:line="300" w:lineRule="exact"/>
                    <w:jc w:val="center"/>
                    <w:rPr>
                      <w:color w:val="auto"/>
                      <w:highlight w:val="none"/>
                    </w:rPr>
                  </w:pPr>
                  <w:r>
                    <w:rPr>
                      <w:color w:val="auto"/>
                      <w:highlight w:val="none"/>
                    </w:rPr>
                    <w:t>58</w:t>
                  </w:r>
                </w:p>
              </w:tc>
              <w:tc>
                <w:tcPr>
                  <w:tcW w:w="538" w:type="pct"/>
                  <w:vAlign w:val="center"/>
                </w:tcPr>
                <w:p w14:paraId="5509A6BB">
                  <w:pPr>
                    <w:spacing w:line="300" w:lineRule="exact"/>
                    <w:jc w:val="center"/>
                    <w:rPr>
                      <w:color w:val="auto"/>
                      <w:highlight w:val="none"/>
                    </w:rPr>
                  </w:pPr>
                  <w:r>
                    <w:rPr>
                      <w:color w:val="auto"/>
                      <w:highlight w:val="none"/>
                    </w:rPr>
                    <w:t>70</w:t>
                  </w:r>
                </w:p>
              </w:tc>
              <w:tc>
                <w:tcPr>
                  <w:tcW w:w="545" w:type="pct"/>
                  <w:vAlign w:val="center"/>
                </w:tcPr>
                <w:p w14:paraId="05B506C4">
                  <w:pPr>
                    <w:spacing w:line="300" w:lineRule="exact"/>
                    <w:jc w:val="center"/>
                    <w:rPr>
                      <w:color w:val="auto"/>
                      <w:highlight w:val="none"/>
                    </w:rPr>
                  </w:pPr>
                  <w:r>
                    <w:rPr>
                      <w:color w:val="auto"/>
                      <w:highlight w:val="none"/>
                    </w:rPr>
                    <w:t>82.9</w:t>
                  </w:r>
                </w:p>
              </w:tc>
              <w:tc>
                <w:tcPr>
                  <w:tcW w:w="685" w:type="pct"/>
                  <w:vAlign w:val="center"/>
                </w:tcPr>
                <w:p w14:paraId="495F3661">
                  <w:pPr>
                    <w:spacing w:line="300" w:lineRule="exact"/>
                    <w:jc w:val="center"/>
                    <w:rPr>
                      <w:color w:val="auto"/>
                      <w:highlight w:val="none"/>
                    </w:rPr>
                  </w:pPr>
                  <w:r>
                    <w:rPr>
                      <w:color w:val="auto"/>
                      <w:highlight w:val="none"/>
                    </w:rPr>
                    <w:t>达标</w:t>
                  </w:r>
                </w:p>
              </w:tc>
            </w:tr>
            <w:tr w14:paraId="6AE9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043E4799">
                  <w:pPr>
                    <w:spacing w:line="300" w:lineRule="exact"/>
                    <w:jc w:val="center"/>
                    <w:rPr>
                      <w:color w:val="auto"/>
                      <w:highlight w:val="none"/>
                    </w:rPr>
                  </w:pPr>
                  <w:r>
                    <w:rPr>
                      <w:color w:val="auto"/>
                      <w:highlight w:val="none"/>
                    </w:rPr>
                    <w:t>PM</w:t>
                  </w:r>
                  <w:r>
                    <w:rPr>
                      <w:color w:val="auto"/>
                      <w:highlight w:val="none"/>
                      <w:vertAlign w:val="subscript"/>
                    </w:rPr>
                    <w:t>2.5</w:t>
                  </w:r>
                </w:p>
              </w:tc>
              <w:tc>
                <w:tcPr>
                  <w:tcW w:w="513" w:type="pct"/>
                  <w:vMerge w:val="continue"/>
                  <w:vAlign w:val="center"/>
                </w:tcPr>
                <w:p w14:paraId="22D87F7C">
                  <w:pPr>
                    <w:spacing w:line="300" w:lineRule="exact"/>
                    <w:jc w:val="center"/>
                    <w:rPr>
                      <w:color w:val="auto"/>
                      <w:highlight w:val="none"/>
                    </w:rPr>
                  </w:pPr>
                </w:p>
              </w:tc>
              <w:tc>
                <w:tcPr>
                  <w:tcW w:w="1542" w:type="pct"/>
                  <w:vMerge w:val="continue"/>
                  <w:vAlign w:val="center"/>
                </w:tcPr>
                <w:p w14:paraId="16C1AC5B">
                  <w:pPr>
                    <w:spacing w:line="300" w:lineRule="exact"/>
                    <w:jc w:val="center"/>
                    <w:rPr>
                      <w:color w:val="auto"/>
                      <w:highlight w:val="none"/>
                    </w:rPr>
                  </w:pPr>
                </w:p>
              </w:tc>
              <w:tc>
                <w:tcPr>
                  <w:tcW w:w="652" w:type="pct"/>
                  <w:vAlign w:val="center"/>
                </w:tcPr>
                <w:p w14:paraId="1C67BB81">
                  <w:pPr>
                    <w:spacing w:line="300" w:lineRule="exact"/>
                    <w:jc w:val="center"/>
                    <w:rPr>
                      <w:color w:val="auto"/>
                      <w:highlight w:val="none"/>
                    </w:rPr>
                  </w:pPr>
                  <w:r>
                    <w:rPr>
                      <w:color w:val="auto"/>
                      <w:highlight w:val="none"/>
                    </w:rPr>
                    <w:t>47</w:t>
                  </w:r>
                </w:p>
              </w:tc>
              <w:tc>
                <w:tcPr>
                  <w:tcW w:w="538" w:type="pct"/>
                  <w:vAlign w:val="center"/>
                </w:tcPr>
                <w:p w14:paraId="1C6D820E">
                  <w:pPr>
                    <w:spacing w:line="300" w:lineRule="exact"/>
                    <w:jc w:val="center"/>
                    <w:rPr>
                      <w:color w:val="auto"/>
                      <w:highlight w:val="none"/>
                    </w:rPr>
                  </w:pPr>
                  <w:r>
                    <w:rPr>
                      <w:color w:val="auto"/>
                      <w:highlight w:val="none"/>
                    </w:rPr>
                    <w:t>35</w:t>
                  </w:r>
                </w:p>
              </w:tc>
              <w:tc>
                <w:tcPr>
                  <w:tcW w:w="545" w:type="pct"/>
                  <w:vAlign w:val="center"/>
                </w:tcPr>
                <w:p w14:paraId="4C94100D">
                  <w:pPr>
                    <w:spacing w:line="300" w:lineRule="exact"/>
                    <w:jc w:val="center"/>
                    <w:rPr>
                      <w:color w:val="auto"/>
                      <w:highlight w:val="none"/>
                    </w:rPr>
                  </w:pPr>
                  <w:r>
                    <w:rPr>
                      <w:rFonts w:hint="eastAsia"/>
                      <w:color w:val="auto"/>
                      <w:highlight w:val="none"/>
                    </w:rPr>
                    <w:t>134.3</w:t>
                  </w:r>
                </w:p>
              </w:tc>
              <w:tc>
                <w:tcPr>
                  <w:tcW w:w="685" w:type="pct"/>
                  <w:vAlign w:val="center"/>
                </w:tcPr>
                <w:p w14:paraId="3A69AC2B">
                  <w:pPr>
                    <w:spacing w:line="300" w:lineRule="exact"/>
                    <w:jc w:val="center"/>
                    <w:rPr>
                      <w:color w:val="auto"/>
                      <w:highlight w:val="none"/>
                    </w:rPr>
                  </w:pPr>
                  <w:r>
                    <w:rPr>
                      <w:b/>
                      <w:bCs/>
                      <w:color w:val="auto"/>
                      <w:highlight w:val="none"/>
                    </w:rPr>
                    <w:t>超标</w:t>
                  </w:r>
                </w:p>
              </w:tc>
            </w:tr>
            <w:tr w14:paraId="06D8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22" w:type="pct"/>
                  <w:vAlign w:val="center"/>
                </w:tcPr>
                <w:p w14:paraId="4907138F">
                  <w:pPr>
                    <w:spacing w:line="300" w:lineRule="exact"/>
                    <w:jc w:val="center"/>
                    <w:rPr>
                      <w:color w:val="auto"/>
                      <w:highlight w:val="none"/>
                    </w:rPr>
                  </w:pPr>
                  <w:r>
                    <w:rPr>
                      <w:color w:val="auto"/>
                      <w:highlight w:val="none"/>
                    </w:rPr>
                    <w:t>CO</w:t>
                  </w:r>
                </w:p>
              </w:tc>
              <w:tc>
                <w:tcPr>
                  <w:tcW w:w="513" w:type="pct"/>
                  <w:vAlign w:val="center"/>
                </w:tcPr>
                <w:p w14:paraId="1B5DFDB0">
                  <w:pPr>
                    <w:widowControl/>
                    <w:jc w:val="center"/>
                    <w:rPr>
                      <w:color w:val="auto"/>
                      <w:highlight w:val="none"/>
                    </w:rPr>
                  </w:pPr>
                  <w:r>
                    <w:rPr>
                      <w:color w:val="auto"/>
                      <w:kern w:val="0"/>
                      <w:szCs w:val="21"/>
                      <w:highlight w:val="none"/>
                      <w:lang w:bidi="ar"/>
                    </w:rPr>
                    <w:t>mg/m</w:t>
                  </w:r>
                  <w:r>
                    <w:rPr>
                      <w:rFonts w:hint="eastAsia"/>
                      <w:color w:val="auto"/>
                      <w:kern w:val="0"/>
                      <w:szCs w:val="21"/>
                      <w:highlight w:val="none"/>
                      <w:vertAlign w:val="superscript"/>
                      <w:lang w:bidi="ar"/>
                    </w:rPr>
                    <w:t>3</w:t>
                  </w:r>
                </w:p>
              </w:tc>
              <w:tc>
                <w:tcPr>
                  <w:tcW w:w="1542" w:type="pct"/>
                  <w:vAlign w:val="center"/>
                </w:tcPr>
                <w:p w14:paraId="00AF8D22">
                  <w:pPr>
                    <w:spacing w:line="300" w:lineRule="exact"/>
                    <w:jc w:val="center"/>
                    <w:rPr>
                      <w:color w:val="auto"/>
                      <w:highlight w:val="none"/>
                    </w:rPr>
                  </w:pPr>
                  <w:r>
                    <w:rPr>
                      <w:color w:val="auto"/>
                      <w:szCs w:val="21"/>
                      <w:highlight w:val="none"/>
                    </w:rPr>
                    <w:t>日均浓度的第95百分位数</w:t>
                  </w:r>
                </w:p>
              </w:tc>
              <w:tc>
                <w:tcPr>
                  <w:tcW w:w="652" w:type="pct"/>
                  <w:vAlign w:val="center"/>
                </w:tcPr>
                <w:p w14:paraId="1939D0F3">
                  <w:pPr>
                    <w:spacing w:line="300" w:lineRule="exact"/>
                    <w:jc w:val="center"/>
                    <w:rPr>
                      <w:color w:val="auto"/>
                      <w:highlight w:val="none"/>
                    </w:rPr>
                  </w:pPr>
                  <w:r>
                    <w:rPr>
                      <w:color w:val="auto"/>
                      <w:highlight w:val="none"/>
                    </w:rPr>
                    <w:t>1.0</w:t>
                  </w:r>
                </w:p>
              </w:tc>
              <w:tc>
                <w:tcPr>
                  <w:tcW w:w="538" w:type="pct"/>
                  <w:vAlign w:val="center"/>
                </w:tcPr>
                <w:p w14:paraId="08BD051A">
                  <w:pPr>
                    <w:spacing w:line="300" w:lineRule="exact"/>
                    <w:jc w:val="center"/>
                    <w:rPr>
                      <w:color w:val="auto"/>
                      <w:highlight w:val="none"/>
                    </w:rPr>
                  </w:pPr>
                  <w:r>
                    <w:rPr>
                      <w:color w:val="auto"/>
                      <w:highlight w:val="none"/>
                    </w:rPr>
                    <w:t>4</w:t>
                  </w:r>
                  <w:r>
                    <w:rPr>
                      <w:rFonts w:hint="eastAsia"/>
                      <w:color w:val="auto"/>
                      <w:highlight w:val="none"/>
                    </w:rPr>
                    <w:t>.0</w:t>
                  </w:r>
                </w:p>
              </w:tc>
              <w:tc>
                <w:tcPr>
                  <w:tcW w:w="545" w:type="pct"/>
                  <w:vAlign w:val="center"/>
                </w:tcPr>
                <w:p w14:paraId="5FC29326">
                  <w:pPr>
                    <w:spacing w:line="300" w:lineRule="exact"/>
                    <w:jc w:val="center"/>
                    <w:rPr>
                      <w:color w:val="auto"/>
                      <w:highlight w:val="none"/>
                    </w:rPr>
                  </w:pPr>
                  <w:r>
                    <w:rPr>
                      <w:color w:val="auto"/>
                      <w:highlight w:val="none"/>
                    </w:rPr>
                    <w:t>25</w:t>
                  </w:r>
                  <w:r>
                    <w:rPr>
                      <w:rFonts w:hint="eastAsia"/>
                      <w:color w:val="auto"/>
                      <w:highlight w:val="none"/>
                    </w:rPr>
                    <w:t>.0</w:t>
                  </w:r>
                </w:p>
              </w:tc>
              <w:tc>
                <w:tcPr>
                  <w:tcW w:w="685" w:type="pct"/>
                  <w:vAlign w:val="center"/>
                </w:tcPr>
                <w:p w14:paraId="3DE73137">
                  <w:pPr>
                    <w:spacing w:line="300" w:lineRule="exact"/>
                    <w:jc w:val="center"/>
                    <w:rPr>
                      <w:color w:val="auto"/>
                      <w:highlight w:val="none"/>
                    </w:rPr>
                  </w:pPr>
                  <w:r>
                    <w:rPr>
                      <w:color w:val="auto"/>
                      <w:highlight w:val="none"/>
                    </w:rPr>
                    <w:t>达标</w:t>
                  </w:r>
                </w:p>
              </w:tc>
            </w:tr>
            <w:tr w14:paraId="77EC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20551C5A">
                  <w:pPr>
                    <w:spacing w:line="300" w:lineRule="exact"/>
                    <w:jc w:val="center"/>
                    <w:rPr>
                      <w:color w:val="auto"/>
                      <w:highlight w:val="none"/>
                    </w:rPr>
                  </w:pPr>
                  <w:r>
                    <w:rPr>
                      <w:color w:val="auto"/>
                      <w:highlight w:val="none"/>
                    </w:rPr>
                    <w:t>O</w:t>
                  </w:r>
                  <w:r>
                    <w:rPr>
                      <w:color w:val="auto"/>
                      <w:highlight w:val="none"/>
                      <w:vertAlign w:val="subscript"/>
                    </w:rPr>
                    <w:t>3</w:t>
                  </w:r>
                </w:p>
              </w:tc>
              <w:tc>
                <w:tcPr>
                  <w:tcW w:w="513" w:type="pct"/>
                  <w:vAlign w:val="center"/>
                </w:tcPr>
                <w:p w14:paraId="1D64C11F">
                  <w:pPr>
                    <w:spacing w:line="300" w:lineRule="exact"/>
                    <w:jc w:val="center"/>
                    <w:rPr>
                      <w:color w:val="auto"/>
                      <w:highlight w:val="none"/>
                    </w:rPr>
                  </w:pPr>
                  <w:r>
                    <w:rPr>
                      <w:color w:val="auto"/>
                      <w:szCs w:val="21"/>
                      <w:highlight w:val="none"/>
                    </w:rPr>
                    <w:t>μg/m</w:t>
                  </w:r>
                  <w:r>
                    <w:rPr>
                      <w:color w:val="auto"/>
                      <w:szCs w:val="21"/>
                      <w:highlight w:val="none"/>
                      <w:vertAlign w:val="superscript"/>
                    </w:rPr>
                    <w:t>3</w:t>
                  </w:r>
                </w:p>
              </w:tc>
              <w:tc>
                <w:tcPr>
                  <w:tcW w:w="1542" w:type="pct"/>
                  <w:vAlign w:val="center"/>
                </w:tcPr>
                <w:p w14:paraId="6033A261">
                  <w:pPr>
                    <w:spacing w:line="300" w:lineRule="exact"/>
                    <w:jc w:val="center"/>
                    <w:rPr>
                      <w:color w:val="auto"/>
                      <w:highlight w:val="none"/>
                    </w:rPr>
                  </w:pPr>
                  <w:r>
                    <w:rPr>
                      <w:color w:val="auto"/>
                      <w:szCs w:val="21"/>
                      <w:highlight w:val="none"/>
                    </w:rPr>
                    <w:t>日最大8h平均浓度的第90百分位数</w:t>
                  </w:r>
                </w:p>
              </w:tc>
              <w:tc>
                <w:tcPr>
                  <w:tcW w:w="652" w:type="pct"/>
                  <w:vAlign w:val="center"/>
                </w:tcPr>
                <w:p w14:paraId="3815F6C6">
                  <w:pPr>
                    <w:spacing w:line="300" w:lineRule="exact"/>
                    <w:jc w:val="center"/>
                    <w:rPr>
                      <w:color w:val="auto"/>
                      <w:highlight w:val="none"/>
                    </w:rPr>
                  </w:pPr>
                  <w:r>
                    <w:rPr>
                      <w:color w:val="auto"/>
                      <w:highlight w:val="none"/>
                    </w:rPr>
                    <w:t>158</w:t>
                  </w:r>
                </w:p>
              </w:tc>
              <w:tc>
                <w:tcPr>
                  <w:tcW w:w="538" w:type="pct"/>
                  <w:vAlign w:val="center"/>
                </w:tcPr>
                <w:p w14:paraId="681CF1C2">
                  <w:pPr>
                    <w:spacing w:line="300" w:lineRule="exact"/>
                    <w:jc w:val="center"/>
                    <w:rPr>
                      <w:color w:val="auto"/>
                      <w:highlight w:val="none"/>
                    </w:rPr>
                  </w:pPr>
                  <w:r>
                    <w:rPr>
                      <w:color w:val="auto"/>
                      <w:highlight w:val="none"/>
                    </w:rPr>
                    <w:t>160</w:t>
                  </w:r>
                </w:p>
              </w:tc>
              <w:tc>
                <w:tcPr>
                  <w:tcW w:w="545" w:type="pct"/>
                  <w:vAlign w:val="center"/>
                </w:tcPr>
                <w:p w14:paraId="4C840454">
                  <w:pPr>
                    <w:spacing w:line="300" w:lineRule="exact"/>
                    <w:jc w:val="center"/>
                    <w:rPr>
                      <w:color w:val="auto"/>
                      <w:highlight w:val="none"/>
                    </w:rPr>
                  </w:pPr>
                  <w:r>
                    <w:rPr>
                      <w:color w:val="auto"/>
                      <w:highlight w:val="none"/>
                    </w:rPr>
                    <w:t>98.</w:t>
                  </w:r>
                  <w:r>
                    <w:rPr>
                      <w:rFonts w:hint="eastAsia"/>
                      <w:color w:val="auto"/>
                      <w:highlight w:val="none"/>
                    </w:rPr>
                    <w:t>8</w:t>
                  </w:r>
                </w:p>
              </w:tc>
              <w:tc>
                <w:tcPr>
                  <w:tcW w:w="685" w:type="pct"/>
                  <w:vAlign w:val="center"/>
                </w:tcPr>
                <w:p w14:paraId="6713DCBA">
                  <w:pPr>
                    <w:spacing w:line="300" w:lineRule="exact"/>
                    <w:jc w:val="center"/>
                    <w:rPr>
                      <w:color w:val="auto"/>
                      <w:highlight w:val="none"/>
                    </w:rPr>
                  </w:pPr>
                  <w:r>
                    <w:rPr>
                      <w:color w:val="auto"/>
                      <w:highlight w:val="none"/>
                    </w:rPr>
                    <w:t>达标</w:t>
                  </w:r>
                </w:p>
              </w:tc>
            </w:tr>
          </w:tbl>
          <w:p w14:paraId="2BFAF1F7">
            <w:pPr>
              <w:adjustRightInd w:val="0"/>
              <w:snapToGrid w:val="0"/>
              <w:ind w:firstLine="480" w:firstLineChars="200"/>
              <w:jc w:val="left"/>
              <w:rPr>
                <w:color w:val="auto"/>
                <w:sz w:val="24"/>
                <w:highlight w:val="none"/>
              </w:rPr>
            </w:pPr>
          </w:p>
          <w:p w14:paraId="2E88DAD5">
            <w:pPr>
              <w:adjustRightInd w:val="0"/>
              <w:snapToGrid w:val="0"/>
              <w:spacing w:line="460" w:lineRule="exact"/>
              <w:ind w:firstLine="480" w:firstLineChars="200"/>
              <w:jc w:val="left"/>
              <w:rPr>
                <w:color w:val="auto"/>
                <w:sz w:val="24"/>
                <w:highlight w:val="none"/>
              </w:rPr>
            </w:pPr>
            <w:r>
              <w:rPr>
                <w:rFonts w:hint="eastAsia"/>
                <w:color w:val="auto"/>
                <w:sz w:val="24"/>
                <w:highlight w:val="none"/>
              </w:rPr>
              <w:t>根据上表可知，合川区环境空气中</w:t>
            </w:r>
            <w:r>
              <w:rPr>
                <w:color w:val="auto"/>
                <w:sz w:val="24"/>
                <w:highlight w:val="none"/>
              </w:rPr>
              <w:t>SO</w:t>
            </w:r>
            <w:r>
              <w:rPr>
                <w:color w:val="auto"/>
                <w:sz w:val="24"/>
                <w:highlight w:val="none"/>
                <w:vertAlign w:val="subscript"/>
              </w:rPr>
              <w:t>2</w:t>
            </w:r>
            <w:r>
              <w:rPr>
                <w:rFonts w:hint="eastAsia"/>
                <w:color w:val="auto"/>
                <w:sz w:val="24"/>
                <w:highlight w:val="none"/>
                <w:vertAlign w:val="subscript"/>
              </w:rPr>
              <w:t xml:space="preserve"> </w:t>
            </w:r>
            <w:r>
              <w:rPr>
                <w:color w:val="auto"/>
                <w:sz w:val="24"/>
                <w:highlight w:val="none"/>
              </w:rPr>
              <w:t>、PM</w:t>
            </w:r>
            <w:r>
              <w:rPr>
                <w:color w:val="auto"/>
                <w:sz w:val="24"/>
                <w:highlight w:val="none"/>
                <w:vertAlign w:val="subscript"/>
              </w:rPr>
              <w:t>10</w:t>
            </w:r>
            <w:r>
              <w:rPr>
                <w:rFonts w:hint="eastAsia"/>
                <w:color w:val="auto"/>
                <w:sz w:val="24"/>
                <w:highlight w:val="none"/>
                <w:vertAlign w:val="subscript"/>
              </w:rPr>
              <w:t xml:space="preserve"> </w:t>
            </w:r>
            <w:r>
              <w:rPr>
                <w:color w:val="auto"/>
                <w:sz w:val="24"/>
                <w:highlight w:val="none"/>
              </w:rPr>
              <w:t>、CO</w:t>
            </w:r>
            <w:r>
              <w:rPr>
                <w:rFonts w:hint="eastAsia"/>
                <w:color w:val="auto"/>
                <w:sz w:val="24"/>
                <w:highlight w:val="none"/>
              </w:rPr>
              <w:t xml:space="preserve"> </w:t>
            </w:r>
            <w:r>
              <w:rPr>
                <w:color w:val="auto"/>
                <w:sz w:val="24"/>
                <w:highlight w:val="none"/>
              </w:rPr>
              <w:t>、O</w:t>
            </w:r>
            <w:r>
              <w:rPr>
                <w:color w:val="auto"/>
                <w:sz w:val="24"/>
                <w:highlight w:val="none"/>
                <w:vertAlign w:val="subscript"/>
              </w:rPr>
              <w:t>3</w:t>
            </w:r>
            <w:r>
              <w:rPr>
                <w:rFonts w:hint="eastAsia"/>
                <w:color w:val="auto"/>
                <w:sz w:val="24"/>
                <w:highlight w:val="none"/>
                <w:vertAlign w:val="subscript"/>
              </w:rPr>
              <w:t xml:space="preserve"> </w:t>
            </w:r>
            <w:r>
              <w:rPr>
                <w:color w:val="auto"/>
                <w:sz w:val="24"/>
                <w:highlight w:val="none"/>
              </w:rPr>
              <w:t>、NO</w:t>
            </w:r>
            <w:r>
              <w:rPr>
                <w:color w:val="auto"/>
                <w:sz w:val="24"/>
                <w:highlight w:val="none"/>
                <w:vertAlign w:val="subscript"/>
              </w:rPr>
              <w:t>2</w:t>
            </w:r>
            <w:r>
              <w:rPr>
                <w:rFonts w:hint="eastAsia"/>
                <w:color w:val="auto"/>
                <w:sz w:val="24"/>
                <w:highlight w:val="none"/>
                <w:vertAlign w:val="subscript"/>
              </w:rPr>
              <w:t xml:space="preserve"> </w:t>
            </w:r>
            <w:r>
              <w:rPr>
                <w:color w:val="auto"/>
                <w:sz w:val="24"/>
                <w:highlight w:val="none"/>
              </w:rPr>
              <w:t>均能够满足《环境空气质量标准》（GB3095-2012）二级标准，PM</w:t>
            </w:r>
            <w:r>
              <w:rPr>
                <w:color w:val="auto"/>
                <w:sz w:val="24"/>
                <w:highlight w:val="none"/>
                <w:vertAlign w:val="subscript"/>
              </w:rPr>
              <w:t>2.5</w:t>
            </w:r>
            <w:r>
              <w:rPr>
                <w:rFonts w:hint="eastAsia"/>
                <w:color w:val="auto"/>
                <w:sz w:val="24"/>
                <w:highlight w:val="none"/>
              </w:rPr>
              <w:t>不满足《环境空气质量标准》（GB3095-2012）二级标准，合川区属于</w:t>
            </w:r>
            <w:r>
              <w:rPr>
                <w:color w:val="auto"/>
                <w:sz w:val="24"/>
                <w:highlight w:val="none"/>
              </w:rPr>
              <w:t>不</w:t>
            </w:r>
            <w:r>
              <w:rPr>
                <w:rFonts w:hint="eastAsia"/>
                <w:color w:val="auto"/>
                <w:sz w:val="24"/>
                <w:highlight w:val="none"/>
              </w:rPr>
              <w:t>达标区。</w:t>
            </w:r>
          </w:p>
          <w:p w14:paraId="634F7E25">
            <w:pPr>
              <w:spacing w:line="460" w:lineRule="exact"/>
              <w:ind w:firstLine="482"/>
              <w:rPr>
                <w:rFonts w:hAnsi="宋体"/>
                <w:color w:val="auto"/>
                <w:sz w:val="24"/>
                <w:highlight w:val="none"/>
              </w:rPr>
            </w:pPr>
            <w:r>
              <w:rPr>
                <w:rFonts w:hint="eastAsia" w:hAnsi="宋体"/>
                <w:color w:val="auto"/>
                <w:sz w:val="24"/>
                <w:highlight w:val="none"/>
              </w:rPr>
              <w:t>目前，合川区已制定合川区环境空气质量达标规划，根据《合川区大气环境质量限期达标规划》（发布稿）（2019年12月），“主要任务与措施”如下：</w:t>
            </w:r>
          </w:p>
          <w:p w14:paraId="24A615F3">
            <w:pPr>
              <w:spacing w:line="460" w:lineRule="exact"/>
              <w:ind w:firstLine="482"/>
              <w:rPr>
                <w:rFonts w:hAnsi="宋体"/>
                <w:color w:val="auto"/>
                <w:sz w:val="24"/>
                <w:highlight w:val="none"/>
              </w:rPr>
            </w:pPr>
            <w:r>
              <w:rPr>
                <w:rFonts w:hint="eastAsia" w:hAnsi="宋体"/>
                <w:color w:val="auto"/>
                <w:sz w:val="24"/>
                <w:highlight w:val="none"/>
              </w:rPr>
              <w:t>（一）提高能源效率，优化能源结构：控制煤炭消费总量、提升能源利用效率、加快清洁能源替代利用、推进建筑节能和绿色建筑。</w:t>
            </w:r>
          </w:p>
          <w:p w14:paraId="4C60C9A2">
            <w:pPr>
              <w:spacing w:line="460" w:lineRule="exact"/>
              <w:ind w:firstLine="482"/>
              <w:rPr>
                <w:rFonts w:hAnsi="宋体"/>
                <w:color w:val="auto"/>
                <w:sz w:val="24"/>
                <w:highlight w:val="none"/>
              </w:rPr>
            </w:pPr>
            <w:r>
              <w:rPr>
                <w:rFonts w:hint="eastAsia" w:hAnsi="宋体"/>
                <w:color w:val="auto"/>
                <w:sz w:val="24"/>
                <w:highlight w:val="none"/>
              </w:rPr>
              <w:t>（二）优化产业布局，推进绿色发展：优化产业布局、严格环保准入、优化工业结构、推进绿色发展。</w:t>
            </w:r>
          </w:p>
          <w:p w14:paraId="6E72078E">
            <w:pPr>
              <w:spacing w:line="460" w:lineRule="exact"/>
              <w:ind w:firstLine="482"/>
              <w:rPr>
                <w:rFonts w:hAnsi="宋体"/>
                <w:color w:val="auto"/>
                <w:sz w:val="24"/>
                <w:highlight w:val="none"/>
              </w:rPr>
            </w:pPr>
            <w:r>
              <w:rPr>
                <w:rFonts w:hint="eastAsia" w:hAnsi="宋体"/>
                <w:color w:val="auto"/>
                <w:sz w:val="24"/>
                <w:highlight w:val="none"/>
              </w:rPr>
              <w:t>（三）加大防治力度，控制工业污染：推进燃煤电厂超低排放改造、强化工业废气综合治理、深化工业源挥发性有机物污染防治、加快推进“散乱污”企业综合整治、实施企业错峰生产、加强污染源监督监测。</w:t>
            </w:r>
          </w:p>
          <w:p w14:paraId="74032B09">
            <w:pPr>
              <w:spacing w:line="460" w:lineRule="exact"/>
              <w:ind w:firstLine="482"/>
              <w:rPr>
                <w:rFonts w:hAnsi="宋体"/>
                <w:color w:val="auto"/>
                <w:sz w:val="24"/>
                <w:highlight w:val="none"/>
              </w:rPr>
            </w:pPr>
            <w:r>
              <w:rPr>
                <w:rFonts w:hint="eastAsia" w:hAnsi="宋体"/>
                <w:color w:val="auto"/>
                <w:sz w:val="24"/>
                <w:highlight w:val="none"/>
              </w:rPr>
              <w:t xml:space="preserve">（四）强化监督管理，控制交通污染：强化在用机动车监管、加强机动车环保达标监管、加强车用燃油品质达标监管、强化成品油储运系统油气排放污染控制、强化非道路移动机械和船舶污染控制、大力发展新能源汽车。  </w:t>
            </w:r>
          </w:p>
          <w:p w14:paraId="12A0BB7F">
            <w:pPr>
              <w:spacing w:line="460" w:lineRule="exact"/>
              <w:ind w:firstLine="482"/>
              <w:rPr>
                <w:rFonts w:hAnsi="宋体"/>
                <w:color w:val="auto"/>
                <w:sz w:val="24"/>
                <w:highlight w:val="none"/>
              </w:rPr>
            </w:pPr>
            <w:r>
              <w:rPr>
                <w:rFonts w:hint="eastAsia" w:hAnsi="宋体"/>
                <w:color w:val="auto"/>
                <w:sz w:val="24"/>
                <w:highlight w:val="none"/>
              </w:rPr>
              <w:t>（五）提升管理水平，严格控制扬尘：强化道路扬尘防治、严格施工扬尘管理、加强生产经营过程的扬尘控制、开展重点扬尘污染源在线监控、加强城市裸露土地管理。</w:t>
            </w:r>
          </w:p>
          <w:p w14:paraId="0CCE34A6">
            <w:pPr>
              <w:spacing w:line="460" w:lineRule="exact"/>
              <w:ind w:firstLine="482"/>
              <w:rPr>
                <w:rFonts w:hAnsi="宋体"/>
                <w:color w:val="auto"/>
                <w:sz w:val="24"/>
                <w:highlight w:val="none"/>
              </w:rPr>
            </w:pPr>
            <w:r>
              <w:rPr>
                <w:rFonts w:hint="eastAsia" w:hAnsi="宋体"/>
                <w:color w:val="auto"/>
                <w:sz w:val="24"/>
                <w:highlight w:val="none"/>
              </w:rPr>
              <w:t>（六）加大治理力度，控制生活污染：巩固和扩大高污染燃料禁燃区、加强餐饮油烟污染治理、控制生活类挥发性有机物污染、加强露天烧烤和烟熏腊肉综合防治、严控露天焚烧行为。</w:t>
            </w:r>
          </w:p>
          <w:p w14:paraId="7C1D8FBE">
            <w:pPr>
              <w:spacing w:line="460" w:lineRule="exact"/>
              <w:ind w:firstLine="482"/>
              <w:rPr>
                <w:rFonts w:hAnsi="宋体"/>
                <w:color w:val="auto"/>
                <w:sz w:val="24"/>
                <w:highlight w:val="none"/>
              </w:rPr>
            </w:pPr>
            <w:r>
              <w:rPr>
                <w:rFonts w:hint="eastAsia" w:hAnsi="宋体"/>
                <w:color w:val="auto"/>
                <w:sz w:val="24"/>
                <w:highlight w:val="none"/>
              </w:rPr>
              <w:t>（七）加强综合利用，控制农业污染：加强生物质燃烧管理、减少化肥使用过程氨排放、控制畜禽养殖氨污染。</w:t>
            </w:r>
          </w:p>
          <w:p w14:paraId="3623C7AD">
            <w:pPr>
              <w:spacing w:line="460" w:lineRule="exact"/>
              <w:ind w:firstLine="482"/>
              <w:rPr>
                <w:rFonts w:hAnsi="宋体"/>
                <w:color w:val="auto"/>
                <w:sz w:val="24"/>
                <w:highlight w:val="none"/>
              </w:rPr>
            </w:pPr>
            <w:r>
              <w:rPr>
                <w:rFonts w:hint="eastAsia" w:hAnsi="宋体"/>
                <w:color w:val="auto"/>
                <w:sz w:val="24"/>
                <w:highlight w:val="none"/>
              </w:rPr>
              <w:t>（八）落实法规制度，增强监管能力：贯彻落实相关法规政策、强化应急预警机制、强化环保督察考核机制、提高环境监管能力、加大环保执法力度、实施环境信息公开。</w:t>
            </w:r>
          </w:p>
          <w:p w14:paraId="43ADC8A2">
            <w:pPr>
              <w:spacing w:line="460" w:lineRule="exact"/>
              <w:ind w:firstLine="482"/>
              <w:rPr>
                <w:rFonts w:hAnsi="宋体"/>
                <w:color w:val="auto"/>
                <w:sz w:val="24"/>
                <w:highlight w:val="none"/>
              </w:rPr>
            </w:pPr>
            <w:r>
              <w:rPr>
                <w:rFonts w:hint="eastAsia" w:hAnsi="宋体"/>
                <w:color w:val="auto"/>
                <w:sz w:val="24"/>
                <w:highlight w:val="none"/>
              </w:rPr>
              <w:t>（九）深化区域协作，提升科研支撑：加强污染区域联防联控、加强大气环境监测能力、建立空气质量管理辅助决策支撑系统、强化大气环境科研支撑作用。</w:t>
            </w:r>
          </w:p>
          <w:p w14:paraId="678A726C">
            <w:pPr>
              <w:spacing w:line="460" w:lineRule="exact"/>
              <w:ind w:firstLine="482"/>
              <w:rPr>
                <w:rFonts w:hAnsi="宋体"/>
                <w:color w:val="auto"/>
                <w:sz w:val="24"/>
                <w:highlight w:val="none"/>
              </w:rPr>
            </w:pPr>
            <w:r>
              <w:rPr>
                <w:rFonts w:hint="eastAsia" w:hAnsi="宋体"/>
                <w:color w:val="auto"/>
                <w:sz w:val="24"/>
                <w:highlight w:val="none"/>
              </w:rPr>
              <w:t>（十）加强宣传教育，推动全民参与：加大宣传教育力度、实行环境信息公开、健全公众参与机制。</w:t>
            </w:r>
          </w:p>
          <w:p w14:paraId="3D106C37">
            <w:pPr>
              <w:spacing w:line="460" w:lineRule="exact"/>
              <w:ind w:firstLine="482"/>
              <w:rPr>
                <w:rFonts w:hAnsi="宋体"/>
                <w:color w:val="auto"/>
                <w:sz w:val="24"/>
                <w:highlight w:val="none"/>
              </w:rPr>
            </w:pPr>
            <w:r>
              <w:rPr>
                <w:rFonts w:hint="eastAsia" w:hAnsi="宋体"/>
                <w:color w:val="auto"/>
                <w:sz w:val="24"/>
                <w:highlight w:val="none"/>
              </w:rPr>
              <w:t>在合川区范围内执行相应的整治措施后，可改善区域环境</w:t>
            </w:r>
            <w:r>
              <w:rPr>
                <w:rFonts w:hAnsi="宋体"/>
                <w:color w:val="auto"/>
                <w:sz w:val="24"/>
                <w:highlight w:val="none"/>
              </w:rPr>
              <w:t>空气</w:t>
            </w:r>
            <w:r>
              <w:rPr>
                <w:rFonts w:hint="eastAsia" w:hAnsi="宋体"/>
                <w:color w:val="auto"/>
                <w:sz w:val="24"/>
                <w:highlight w:val="none"/>
              </w:rPr>
              <w:t>质量达标情况。</w:t>
            </w:r>
          </w:p>
          <w:p w14:paraId="384C2223">
            <w:pPr>
              <w:spacing w:line="460" w:lineRule="exact"/>
              <w:rPr>
                <w:rFonts w:hAnsi="宋体"/>
                <w:b/>
                <w:bCs/>
                <w:color w:val="auto"/>
                <w:sz w:val="24"/>
                <w:highlight w:val="none"/>
              </w:rPr>
            </w:pPr>
            <w:r>
              <w:rPr>
                <w:rFonts w:hint="eastAsia" w:hAnsi="宋体"/>
                <w:b/>
                <w:bCs/>
                <w:color w:val="auto"/>
                <w:sz w:val="24"/>
                <w:highlight w:val="none"/>
              </w:rPr>
              <w:t>3.1.2地表水环境</w:t>
            </w:r>
          </w:p>
          <w:p w14:paraId="52F56739">
            <w:pPr>
              <w:snapToGrid w:val="0"/>
              <w:spacing w:line="460" w:lineRule="exact"/>
              <w:ind w:firstLine="480" w:firstLineChars="200"/>
              <w:rPr>
                <w:bCs/>
                <w:color w:val="auto"/>
                <w:sz w:val="24"/>
                <w:highlight w:val="none"/>
              </w:rPr>
            </w:pPr>
            <w:r>
              <w:rPr>
                <w:rFonts w:hint="eastAsia"/>
                <w:bCs/>
                <w:color w:val="auto"/>
                <w:sz w:val="24"/>
                <w:highlight w:val="none"/>
              </w:rPr>
              <w:t>本</w:t>
            </w:r>
            <w:r>
              <w:rPr>
                <w:bCs/>
                <w:color w:val="auto"/>
                <w:sz w:val="24"/>
                <w:highlight w:val="none"/>
              </w:rPr>
              <w:t>项目废水</w:t>
            </w:r>
            <w:r>
              <w:rPr>
                <w:rFonts w:hint="eastAsia"/>
                <w:bCs/>
                <w:color w:val="auto"/>
                <w:sz w:val="24"/>
                <w:highlight w:val="none"/>
              </w:rPr>
              <w:t>经预处理后排入龙市镇</w:t>
            </w:r>
            <w:r>
              <w:rPr>
                <w:bCs/>
                <w:color w:val="auto"/>
                <w:sz w:val="24"/>
                <w:highlight w:val="none"/>
              </w:rPr>
              <w:t>工业污水处理厂</w:t>
            </w:r>
            <w:r>
              <w:rPr>
                <w:rFonts w:hint="eastAsia"/>
                <w:bCs/>
                <w:color w:val="auto"/>
                <w:sz w:val="24"/>
                <w:highlight w:val="none"/>
              </w:rPr>
              <w:t>，经污水处理厂</w:t>
            </w:r>
            <w:r>
              <w:rPr>
                <w:bCs/>
                <w:color w:val="auto"/>
                <w:sz w:val="24"/>
                <w:highlight w:val="none"/>
              </w:rPr>
              <w:t>处理</w:t>
            </w:r>
            <w:r>
              <w:rPr>
                <w:rFonts w:hint="eastAsia"/>
                <w:color w:val="auto"/>
                <w:sz w:val="24"/>
                <w:highlight w:val="none"/>
              </w:rPr>
              <w:t>达《城镇污水处理厂污染物排放标准》（GB18918－2002）一级A标准</w:t>
            </w:r>
            <w:r>
              <w:rPr>
                <w:bCs/>
                <w:color w:val="auto"/>
                <w:sz w:val="24"/>
                <w:highlight w:val="none"/>
              </w:rPr>
              <w:t>后</w:t>
            </w:r>
            <w:r>
              <w:rPr>
                <w:rFonts w:hint="eastAsia"/>
                <w:bCs/>
                <w:color w:val="auto"/>
                <w:sz w:val="24"/>
                <w:highlight w:val="none"/>
              </w:rPr>
              <w:t>排入凤凰溪，然后经</w:t>
            </w:r>
            <w:r>
              <w:rPr>
                <w:rFonts w:hint="eastAsia"/>
                <w:color w:val="auto"/>
                <w:sz w:val="24"/>
                <w:highlight w:val="none"/>
              </w:rPr>
              <w:t>石岸溪汇入渠江。</w:t>
            </w:r>
            <w:r>
              <w:rPr>
                <w:bCs/>
                <w:color w:val="auto"/>
                <w:sz w:val="24"/>
                <w:highlight w:val="none"/>
              </w:rPr>
              <w:t>根据《重庆市人民政府批转重庆市地表水环境功能类别调整方案的通知》</w:t>
            </w:r>
            <w:r>
              <w:rPr>
                <w:rFonts w:hint="eastAsia"/>
                <w:bCs/>
                <w:color w:val="auto"/>
                <w:sz w:val="24"/>
                <w:highlight w:val="none"/>
              </w:rPr>
              <w:t>（</w:t>
            </w:r>
            <w:r>
              <w:rPr>
                <w:bCs/>
                <w:color w:val="auto"/>
                <w:sz w:val="24"/>
                <w:highlight w:val="none"/>
              </w:rPr>
              <w:t>渝府发〔2012〕4号</w:t>
            </w:r>
            <w:r>
              <w:rPr>
                <w:rFonts w:hint="eastAsia"/>
                <w:bCs/>
                <w:color w:val="auto"/>
                <w:sz w:val="24"/>
                <w:highlight w:val="none"/>
              </w:rPr>
              <w:t>）</w:t>
            </w:r>
            <w:r>
              <w:rPr>
                <w:bCs/>
                <w:color w:val="auto"/>
                <w:sz w:val="24"/>
                <w:highlight w:val="none"/>
              </w:rPr>
              <w:t>，渠江水域功能类别为Ⅲ类</w:t>
            </w:r>
            <w:r>
              <w:rPr>
                <w:rFonts w:hint="eastAsia"/>
                <w:bCs/>
                <w:color w:val="auto"/>
                <w:sz w:val="24"/>
                <w:highlight w:val="none"/>
              </w:rPr>
              <w:t>，</w:t>
            </w:r>
            <w:r>
              <w:rPr>
                <w:bCs/>
                <w:color w:val="auto"/>
                <w:sz w:val="24"/>
                <w:highlight w:val="none"/>
              </w:rPr>
              <w:t>执行《地表水环境质量标准》</w:t>
            </w:r>
            <w:r>
              <w:rPr>
                <w:rFonts w:hint="eastAsia" w:ascii="宋体" w:hAnsi="宋体" w:cs="宋体"/>
                <w:bCs/>
                <w:color w:val="auto"/>
                <w:sz w:val="24"/>
                <w:highlight w:val="none"/>
              </w:rPr>
              <w:t>(</w:t>
            </w:r>
            <w:r>
              <w:rPr>
                <w:bCs/>
                <w:color w:val="auto"/>
                <w:sz w:val="24"/>
                <w:highlight w:val="none"/>
              </w:rPr>
              <w:t>GB3838-2002</w:t>
            </w:r>
            <w:r>
              <w:rPr>
                <w:rFonts w:hint="eastAsia" w:ascii="宋体" w:hAnsi="宋体" w:cs="宋体"/>
                <w:bCs/>
                <w:color w:val="auto"/>
                <w:sz w:val="24"/>
                <w:highlight w:val="none"/>
              </w:rPr>
              <w:t>)</w:t>
            </w:r>
            <w:r>
              <w:rPr>
                <w:bCs/>
                <w:color w:val="auto"/>
                <w:sz w:val="24"/>
                <w:highlight w:val="none"/>
              </w:rPr>
              <w:t>III类水域标准。</w:t>
            </w:r>
          </w:p>
          <w:p w14:paraId="1FE1BE0C">
            <w:pPr>
              <w:spacing w:line="460" w:lineRule="exact"/>
              <w:ind w:firstLine="480" w:firstLineChars="200"/>
              <w:rPr>
                <w:bCs/>
                <w:color w:val="auto"/>
                <w:sz w:val="24"/>
                <w:highlight w:val="none"/>
              </w:rPr>
            </w:pPr>
            <w:r>
              <w:rPr>
                <w:bCs/>
                <w:color w:val="auto"/>
                <w:sz w:val="24"/>
                <w:highlight w:val="none"/>
              </w:rPr>
              <w:t>本项目最终受纳水体为渠江，参照《环境影响评价技术导则 地表水环境》</w:t>
            </w:r>
            <w:r>
              <w:rPr>
                <w:rFonts w:hint="eastAsia"/>
                <w:bCs/>
                <w:color w:val="auto"/>
                <w:sz w:val="24"/>
                <w:highlight w:val="none"/>
              </w:rPr>
              <w:t>（</w:t>
            </w:r>
            <w:r>
              <w:rPr>
                <w:bCs/>
                <w:color w:val="auto"/>
                <w:sz w:val="24"/>
                <w:highlight w:val="none"/>
              </w:rPr>
              <w:t>HJ2.3-2018</w:t>
            </w:r>
            <w:r>
              <w:rPr>
                <w:rFonts w:hint="eastAsia"/>
                <w:bCs/>
                <w:color w:val="auto"/>
                <w:sz w:val="24"/>
                <w:highlight w:val="none"/>
              </w:rPr>
              <w:t>）</w:t>
            </w:r>
            <w:r>
              <w:rPr>
                <w:bCs/>
                <w:color w:val="auto"/>
                <w:sz w:val="24"/>
                <w:highlight w:val="none"/>
              </w:rPr>
              <w:t>规定，可采用生态环境保护主管部门统一发布的水环境状况信息进行评价分析。</w:t>
            </w:r>
            <w:r>
              <w:rPr>
                <w:color w:val="auto"/>
                <w:sz w:val="24"/>
                <w:highlight w:val="none"/>
              </w:rPr>
              <w:t>根据重庆市生态环境局官方网站公布的每月《重庆市水环境质量状况》可知，</w:t>
            </w:r>
            <w:r>
              <w:rPr>
                <w:bCs/>
                <w:color w:val="auto"/>
                <w:sz w:val="24"/>
                <w:highlight w:val="none"/>
              </w:rPr>
              <w:t>渠江官渡断面水质在202</w:t>
            </w:r>
            <w:r>
              <w:rPr>
                <w:rFonts w:hint="eastAsia"/>
                <w:bCs/>
                <w:color w:val="auto"/>
                <w:sz w:val="24"/>
                <w:highlight w:val="none"/>
              </w:rPr>
              <w:t>4</w:t>
            </w:r>
            <w:r>
              <w:rPr>
                <w:bCs/>
                <w:color w:val="auto"/>
                <w:sz w:val="24"/>
                <w:highlight w:val="none"/>
              </w:rPr>
              <w:t>年</w:t>
            </w:r>
            <w:r>
              <w:rPr>
                <w:rFonts w:hint="eastAsia"/>
                <w:bCs/>
                <w:color w:val="auto"/>
                <w:sz w:val="24"/>
                <w:highlight w:val="none"/>
              </w:rPr>
              <w:t>1</w:t>
            </w:r>
            <w:r>
              <w:rPr>
                <w:bCs/>
                <w:color w:val="auto"/>
                <w:sz w:val="24"/>
                <w:highlight w:val="none"/>
              </w:rPr>
              <w:t>月</w:t>
            </w:r>
            <w:r>
              <w:rPr>
                <w:rFonts w:hint="eastAsia"/>
                <w:bCs/>
                <w:color w:val="auto"/>
                <w:sz w:val="24"/>
                <w:highlight w:val="none"/>
              </w:rPr>
              <w:t>～3</w:t>
            </w:r>
            <w:r>
              <w:rPr>
                <w:bCs/>
                <w:color w:val="auto"/>
                <w:sz w:val="24"/>
                <w:highlight w:val="none"/>
              </w:rPr>
              <w:t>月，202</w:t>
            </w:r>
            <w:r>
              <w:rPr>
                <w:rFonts w:hint="eastAsia"/>
                <w:bCs/>
                <w:color w:val="auto"/>
                <w:sz w:val="24"/>
                <w:highlight w:val="none"/>
              </w:rPr>
              <w:t>4</w:t>
            </w:r>
            <w:r>
              <w:rPr>
                <w:bCs/>
                <w:color w:val="auto"/>
                <w:sz w:val="24"/>
                <w:highlight w:val="none"/>
              </w:rPr>
              <w:t>年</w:t>
            </w:r>
            <w:r>
              <w:rPr>
                <w:rFonts w:hint="eastAsia"/>
                <w:bCs/>
                <w:color w:val="auto"/>
                <w:sz w:val="24"/>
                <w:highlight w:val="none"/>
              </w:rPr>
              <w:t>4</w:t>
            </w:r>
            <w:r>
              <w:rPr>
                <w:bCs/>
                <w:color w:val="auto"/>
                <w:sz w:val="24"/>
                <w:highlight w:val="none"/>
              </w:rPr>
              <w:t>月</w:t>
            </w:r>
            <w:r>
              <w:rPr>
                <w:color w:val="auto"/>
                <w:sz w:val="24"/>
                <w:highlight w:val="none"/>
                <w:shd w:val="clear" w:color="auto" w:fill="FFFFFF"/>
              </w:rPr>
              <w:t>均为Ⅱ类，</w:t>
            </w:r>
            <w:r>
              <w:rPr>
                <w:bCs/>
                <w:color w:val="auto"/>
                <w:sz w:val="24"/>
                <w:highlight w:val="none"/>
              </w:rPr>
              <w:t>由此表明项目所在地的渠江地表水区域环境质量现状能够满足《地表水环境质量标准》（GB 3838-2002）Ⅲ类水域标准，总体水质情况良好。</w:t>
            </w:r>
          </w:p>
          <w:p w14:paraId="5B51C4D9">
            <w:pPr>
              <w:spacing w:line="460" w:lineRule="exact"/>
              <w:rPr>
                <w:b/>
                <w:color w:val="auto"/>
                <w:sz w:val="24"/>
                <w:highlight w:val="none"/>
              </w:rPr>
            </w:pPr>
            <w:r>
              <w:rPr>
                <w:rFonts w:hint="eastAsia"/>
                <w:b/>
                <w:color w:val="auto"/>
                <w:sz w:val="24"/>
                <w:highlight w:val="none"/>
              </w:rPr>
              <w:t>3.1.3噪声</w:t>
            </w:r>
          </w:p>
          <w:p w14:paraId="0E924DC5">
            <w:pPr>
              <w:widowControl/>
              <w:spacing w:line="460" w:lineRule="exact"/>
              <w:ind w:firstLine="480" w:firstLineChars="200"/>
              <w:jc w:val="left"/>
              <w:rPr>
                <w:color w:val="auto"/>
                <w:highlight w:val="none"/>
              </w:rPr>
            </w:pPr>
            <w:r>
              <w:rPr>
                <w:rFonts w:hint="eastAsia" w:ascii="宋体" w:hAnsi="宋体" w:cs="宋体"/>
                <w:color w:val="auto"/>
                <w:kern w:val="0"/>
                <w:sz w:val="24"/>
                <w:highlight w:val="none"/>
                <w:lang w:bidi="ar"/>
              </w:rPr>
              <w:t>根据《建设项目环境影响报告表编制技术指南（污染影响类）（试行）》，厂界外周围</w:t>
            </w:r>
            <w:r>
              <w:rPr>
                <w:color w:val="auto"/>
                <w:kern w:val="0"/>
                <w:sz w:val="24"/>
                <w:highlight w:val="none"/>
                <w:lang w:bidi="ar"/>
              </w:rPr>
              <w:t>50</w:t>
            </w:r>
            <w:r>
              <w:rPr>
                <w:rFonts w:hint="eastAsia"/>
                <w:color w:val="auto"/>
                <w:kern w:val="0"/>
                <w:sz w:val="24"/>
                <w:highlight w:val="none"/>
                <w:lang w:bidi="ar"/>
              </w:rPr>
              <w:t xml:space="preserve"> </w:t>
            </w:r>
            <w:r>
              <w:rPr>
                <w:color w:val="auto"/>
                <w:kern w:val="0"/>
                <w:sz w:val="24"/>
                <w:highlight w:val="none"/>
                <w:lang w:bidi="ar"/>
              </w:rPr>
              <w:t>m</w:t>
            </w:r>
            <w:r>
              <w:rPr>
                <w:rFonts w:hint="eastAsia" w:ascii="宋体" w:hAnsi="宋体" w:cs="宋体"/>
                <w:color w:val="auto"/>
                <w:kern w:val="0"/>
                <w:sz w:val="24"/>
                <w:highlight w:val="none"/>
                <w:lang w:bidi="ar"/>
              </w:rPr>
              <w:t>范围内不存在声环境保护目标，故本评价不需进行声环境</w:t>
            </w:r>
            <w:r>
              <w:rPr>
                <w:rFonts w:ascii="宋体" w:hAnsi="宋体" w:cs="宋体"/>
                <w:color w:val="auto"/>
                <w:kern w:val="0"/>
                <w:sz w:val="24"/>
                <w:highlight w:val="none"/>
                <w:lang w:bidi="ar"/>
              </w:rPr>
              <w:t>质量现状监测</w:t>
            </w:r>
            <w:r>
              <w:rPr>
                <w:rFonts w:hint="eastAsia" w:ascii="宋体" w:hAnsi="宋体" w:cs="宋体"/>
                <w:color w:val="auto"/>
                <w:kern w:val="0"/>
                <w:sz w:val="24"/>
                <w:highlight w:val="none"/>
                <w:lang w:bidi="ar"/>
              </w:rPr>
              <w:t>。</w:t>
            </w:r>
          </w:p>
          <w:p w14:paraId="7EC0FF85">
            <w:pPr>
              <w:spacing w:line="460" w:lineRule="exact"/>
              <w:rPr>
                <w:b/>
                <w:bCs/>
                <w:color w:val="auto"/>
                <w:kern w:val="0"/>
                <w:sz w:val="24"/>
                <w:highlight w:val="none"/>
              </w:rPr>
            </w:pPr>
            <w:r>
              <w:rPr>
                <w:b/>
                <w:bCs/>
                <w:color w:val="auto"/>
                <w:kern w:val="0"/>
                <w:sz w:val="24"/>
                <w:highlight w:val="none"/>
              </w:rPr>
              <w:t>3.1.4地下水、土壤</w:t>
            </w:r>
          </w:p>
          <w:p w14:paraId="615FF12C">
            <w:pPr>
              <w:spacing w:line="460" w:lineRule="exact"/>
              <w:ind w:firstLine="480"/>
              <w:rPr>
                <w:color w:val="auto"/>
                <w:kern w:val="0"/>
                <w:sz w:val="24"/>
                <w:highlight w:val="none"/>
              </w:rPr>
            </w:pPr>
            <w:r>
              <w:rPr>
                <w:color w:val="auto"/>
                <w:kern w:val="0"/>
                <w:sz w:val="24"/>
                <w:highlight w:val="none"/>
              </w:rPr>
              <w:t>根据《建设项目环境影响报告表编制技术指南（污染影响类）（试行）》相关规定</w:t>
            </w:r>
            <w:r>
              <w:rPr>
                <w:rFonts w:hint="eastAsia"/>
                <w:color w:val="auto"/>
                <w:kern w:val="0"/>
                <w:sz w:val="24"/>
                <w:highlight w:val="none"/>
              </w:rPr>
              <w:t>：</w:t>
            </w:r>
            <w:r>
              <w:rPr>
                <w:color w:val="auto"/>
                <w:kern w:val="0"/>
                <w:sz w:val="24"/>
                <w:highlight w:val="none"/>
              </w:rPr>
              <w:t>地下水、土壤环境原则上不开展环境质量现状调查。建设项目存在土壤、地下水环境污染途径的，应结合污染源、保护目标分布情况开展现状调查以留作背景值。</w:t>
            </w:r>
          </w:p>
          <w:p w14:paraId="3C28A7D1">
            <w:pPr>
              <w:spacing w:line="460" w:lineRule="exact"/>
              <w:ind w:firstLine="480"/>
              <w:rPr>
                <w:color w:val="auto"/>
                <w:kern w:val="0"/>
                <w:sz w:val="24"/>
                <w:highlight w:val="none"/>
              </w:rPr>
            </w:pPr>
            <w:r>
              <w:rPr>
                <w:color w:val="auto"/>
                <w:kern w:val="0"/>
                <w:sz w:val="24"/>
                <w:highlight w:val="none"/>
              </w:rPr>
              <w:t>由于本项目不存在土壤、地下水环境污染途径，因此，本次评价</w:t>
            </w:r>
            <w:r>
              <w:rPr>
                <w:rFonts w:hint="eastAsia"/>
                <w:color w:val="auto"/>
                <w:kern w:val="0"/>
                <w:sz w:val="24"/>
                <w:highlight w:val="none"/>
              </w:rPr>
              <w:t>未</w:t>
            </w:r>
            <w:r>
              <w:rPr>
                <w:color w:val="auto"/>
                <w:kern w:val="0"/>
                <w:sz w:val="24"/>
                <w:highlight w:val="none"/>
              </w:rPr>
              <w:t>开展土壤和地下水环境质量现状调查。</w:t>
            </w:r>
          </w:p>
          <w:p w14:paraId="3A51F473">
            <w:pPr>
              <w:spacing w:line="460" w:lineRule="exact"/>
              <w:rPr>
                <w:b/>
                <w:bCs/>
                <w:color w:val="auto"/>
                <w:kern w:val="0"/>
                <w:sz w:val="24"/>
                <w:highlight w:val="none"/>
              </w:rPr>
            </w:pPr>
            <w:r>
              <w:rPr>
                <w:b/>
                <w:bCs/>
                <w:color w:val="auto"/>
                <w:kern w:val="0"/>
                <w:sz w:val="24"/>
                <w:highlight w:val="none"/>
              </w:rPr>
              <w:t>3.1.5生态环境</w:t>
            </w:r>
          </w:p>
          <w:p w14:paraId="377FA74B">
            <w:pPr>
              <w:spacing w:line="460" w:lineRule="exact"/>
              <w:ind w:firstLine="480" w:firstLineChars="200"/>
              <w:rPr>
                <w:color w:val="auto"/>
                <w:sz w:val="24"/>
                <w:highlight w:val="none"/>
              </w:rPr>
            </w:pPr>
            <w:r>
              <w:rPr>
                <w:rFonts w:hint="eastAsia"/>
                <w:color w:val="auto"/>
                <w:sz w:val="24"/>
                <w:highlight w:val="none"/>
              </w:rPr>
              <w:t>本项目位于重庆市合川区龙市镇龙马大道7号，拟租赁重庆市厨鼎食品有限公司1#闲置厂房进行项目建设，无新增用地，不涉及生态环境保护目标。</w:t>
            </w:r>
          </w:p>
          <w:p w14:paraId="5F284B85">
            <w:pPr>
              <w:spacing w:line="460" w:lineRule="exact"/>
              <w:ind w:firstLine="480" w:firstLineChars="200"/>
              <w:rPr>
                <w:color w:val="auto"/>
                <w:sz w:val="24"/>
                <w:highlight w:val="none"/>
              </w:rPr>
            </w:pPr>
          </w:p>
          <w:p w14:paraId="0778A2C3">
            <w:pPr>
              <w:spacing w:line="460" w:lineRule="exact"/>
              <w:ind w:firstLine="480" w:firstLineChars="200"/>
              <w:rPr>
                <w:color w:val="auto"/>
                <w:sz w:val="24"/>
                <w:highlight w:val="none"/>
              </w:rPr>
            </w:pPr>
          </w:p>
          <w:p w14:paraId="33CD8A88">
            <w:pPr>
              <w:spacing w:line="460" w:lineRule="exact"/>
              <w:ind w:firstLine="480" w:firstLineChars="200"/>
              <w:rPr>
                <w:color w:val="auto"/>
                <w:sz w:val="24"/>
                <w:highlight w:val="none"/>
              </w:rPr>
            </w:pPr>
          </w:p>
          <w:p w14:paraId="61EA8FE3">
            <w:pPr>
              <w:spacing w:line="460" w:lineRule="exact"/>
              <w:rPr>
                <w:color w:val="auto"/>
                <w:sz w:val="24"/>
                <w:highlight w:val="none"/>
              </w:rPr>
            </w:pPr>
          </w:p>
          <w:p w14:paraId="329186FD">
            <w:pPr>
              <w:pStyle w:val="3"/>
              <w:rPr>
                <w:color w:val="auto"/>
                <w:sz w:val="24"/>
                <w:highlight w:val="none"/>
              </w:rPr>
            </w:pPr>
          </w:p>
          <w:p w14:paraId="601D98AE">
            <w:pPr>
              <w:rPr>
                <w:color w:val="auto"/>
                <w:highlight w:val="none"/>
              </w:rPr>
            </w:pPr>
          </w:p>
          <w:p w14:paraId="1532B9A2">
            <w:pPr>
              <w:spacing w:line="460" w:lineRule="exact"/>
              <w:ind w:firstLine="480" w:firstLineChars="200"/>
              <w:rPr>
                <w:color w:val="auto"/>
                <w:sz w:val="24"/>
                <w:highlight w:val="none"/>
              </w:rPr>
            </w:pPr>
          </w:p>
          <w:p w14:paraId="015B05D8">
            <w:pPr>
              <w:pStyle w:val="3"/>
              <w:rPr>
                <w:color w:val="auto"/>
                <w:highlight w:val="none"/>
              </w:rPr>
            </w:pPr>
          </w:p>
        </w:tc>
      </w:tr>
      <w:tr w14:paraId="3B125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03" w:hRule="atLeast"/>
          <w:jc w:val="center"/>
        </w:trPr>
        <w:tc>
          <w:tcPr>
            <w:tcW w:w="426" w:type="dxa"/>
            <w:vAlign w:val="center"/>
          </w:tcPr>
          <w:p w14:paraId="64E0C180">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6E1AC519">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保护</w:t>
            </w:r>
          </w:p>
          <w:p w14:paraId="16863A8B">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目标</w:t>
            </w:r>
          </w:p>
        </w:tc>
        <w:tc>
          <w:tcPr>
            <w:tcW w:w="8587" w:type="dxa"/>
          </w:tcPr>
          <w:p w14:paraId="0F4F976D">
            <w:pPr>
              <w:adjustRightInd w:val="0"/>
              <w:snapToGrid w:val="0"/>
              <w:spacing w:line="460" w:lineRule="exact"/>
              <w:rPr>
                <w:b/>
                <w:bCs/>
                <w:color w:val="auto"/>
                <w:kern w:val="0"/>
                <w:sz w:val="24"/>
                <w:highlight w:val="none"/>
              </w:rPr>
            </w:pPr>
            <w:r>
              <w:rPr>
                <w:b/>
                <w:bCs/>
                <w:color w:val="auto"/>
                <w:kern w:val="0"/>
                <w:sz w:val="24"/>
                <w:highlight w:val="none"/>
              </w:rPr>
              <w:t>3.2环境保护目标</w:t>
            </w:r>
          </w:p>
          <w:p w14:paraId="3AE5A168">
            <w:pPr>
              <w:adjustRightInd w:val="0"/>
              <w:snapToGrid w:val="0"/>
              <w:spacing w:line="460" w:lineRule="exact"/>
              <w:rPr>
                <w:b/>
                <w:bCs/>
                <w:color w:val="auto"/>
                <w:kern w:val="0"/>
                <w:sz w:val="24"/>
                <w:highlight w:val="none"/>
              </w:rPr>
            </w:pPr>
            <w:r>
              <w:rPr>
                <w:b/>
                <w:bCs/>
                <w:color w:val="auto"/>
                <w:kern w:val="0"/>
                <w:sz w:val="24"/>
                <w:highlight w:val="none"/>
              </w:rPr>
              <w:t>3.2.1大气环境保护目标</w:t>
            </w:r>
          </w:p>
          <w:p w14:paraId="7B188BBA">
            <w:pPr>
              <w:adjustRightInd w:val="0"/>
              <w:snapToGrid w:val="0"/>
              <w:spacing w:line="460" w:lineRule="exact"/>
              <w:ind w:firstLine="480" w:firstLineChars="200"/>
              <w:rPr>
                <w:bCs/>
                <w:color w:val="auto"/>
                <w:kern w:val="0"/>
                <w:sz w:val="24"/>
                <w:highlight w:val="none"/>
              </w:rPr>
            </w:pPr>
            <w:r>
              <w:rPr>
                <w:rFonts w:hint="eastAsia"/>
                <w:color w:val="auto"/>
                <w:sz w:val="24"/>
                <w:highlight w:val="none"/>
              </w:rPr>
              <w:t>本项目位于重庆市合川区龙市镇龙马大道7号，本项目</w:t>
            </w:r>
            <w:r>
              <w:rPr>
                <w:color w:val="auto"/>
                <w:kern w:val="0"/>
                <w:sz w:val="24"/>
                <w:highlight w:val="none"/>
              </w:rPr>
              <w:t>厂界外500</w:t>
            </w:r>
            <w:r>
              <w:rPr>
                <w:rFonts w:hint="eastAsia"/>
                <w:color w:val="auto"/>
                <w:kern w:val="0"/>
                <w:sz w:val="24"/>
                <w:highlight w:val="none"/>
              </w:rPr>
              <w:t xml:space="preserve"> m</w:t>
            </w:r>
            <w:r>
              <w:rPr>
                <w:color w:val="auto"/>
                <w:kern w:val="0"/>
                <w:sz w:val="24"/>
                <w:highlight w:val="none"/>
              </w:rPr>
              <w:t>范围内</w:t>
            </w:r>
            <w:r>
              <w:rPr>
                <w:rFonts w:hint="eastAsia"/>
                <w:color w:val="auto"/>
                <w:kern w:val="0"/>
                <w:sz w:val="24"/>
                <w:highlight w:val="none"/>
              </w:rPr>
              <w:t>主要为飞龙村散户居民，本项目周边主要</w:t>
            </w:r>
            <w:r>
              <w:rPr>
                <w:color w:val="auto"/>
                <w:kern w:val="0"/>
                <w:sz w:val="24"/>
                <w:highlight w:val="none"/>
              </w:rPr>
              <w:t>大气</w:t>
            </w:r>
            <w:r>
              <w:rPr>
                <w:rFonts w:hint="eastAsia"/>
                <w:color w:val="auto"/>
                <w:kern w:val="0"/>
                <w:sz w:val="24"/>
                <w:highlight w:val="none"/>
              </w:rPr>
              <w:t>环境保护目标见表3.2-1，项目</w:t>
            </w:r>
            <w:r>
              <w:rPr>
                <w:rFonts w:hint="eastAsia"/>
                <w:bCs/>
                <w:color w:val="auto"/>
                <w:kern w:val="0"/>
                <w:sz w:val="24"/>
                <w:highlight w:val="none"/>
              </w:rPr>
              <w:t>保护目标见附图3。</w:t>
            </w:r>
          </w:p>
          <w:p w14:paraId="6D028A89">
            <w:pPr>
              <w:adjustRightInd w:val="0"/>
              <w:snapToGrid w:val="0"/>
              <w:spacing w:line="460" w:lineRule="exact"/>
              <w:jc w:val="center"/>
              <w:rPr>
                <w:b/>
                <w:color w:val="auto"/>
                <w:kern w:val="0"/>
                <w:sz w:val="24"/>
                <w:highlight w:val="none"/>
              </w:rPr>
            </w:pPr>
            <w:r>
              <w:rPr>
                <w:rFonts w:hint="eastAsia"/>
                <w:b/>
                <w:color w:val="auto"/>
                <w:kern w:val="0"/>
                <w:sz w:val="24"/>
                <w:highlight w:val="none"/>
              </w:rPr>
              <w:t>3.2-1项目周边环境保护目标</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1485"/>
              <w:gridCol w:w="659"/>
              <w:gridCol w:w="676"/>
              <w:gridCol w:w="644"/>
              <w:gridCol w:w="1965"/>
              <w:gridCol w:w="1634"/>
              <w:gridCol w:w="858"/>
            </w:tblGrid>
            <w:tr w14:paraId="5374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64" w:type="pct"/>
                  <w:vMerge w:val="restart"/>
                  <w:vAlign w:val="center"/>
                </w:tcPr>
                <w:p w14:paraId="7FEE3096">
                  <w:pPr>
                    <w:adjustRightInd w:val="0"/>
                    <w:snapToGrid w:val="0"/>
                    <w:spacing w:line="300" w:lineRule="exact"/>
                    <w:jc w:val="center"/>
                    <w:rPr>
                      <w:bCs/>
                      <w:color w:val="auto"/>
                      <w:kern w:val="0"/>
                      <w:szCs w:val="21"/>
                      <w:highlight w:val="none"/>
                    </w:rPr>
                  </w:pPr>
                  <w:r>
                    <w:rPr>
                      <w:bCs/>
                      <w:color w:val="auto"/>
                      <w:kern w:val="0"/>
                      <w:szCs w:val="21"/>
                      <w:highlight w:val="none"/>
                    </w:rPr>
                    <w:t>序号</w:t>
                  </w:r>
                </w:p>
              </w:tc>
              <w:tc>
                <w:tcPr>
                  <w:tcW w:w="888" w:type="pct"/>
                  <w:vMerge w:val="restart"/>
                  <w:vAlign w:val="center"/>
                </w:tcPr>
                <w:p w14:paraId="345CCC60">
                  <w:pPr>
                    <w:adjustRightInd w:val="0"/>
                    <w:snapToGrid w:val="0"/>
                    <w:spacing w:line="300" w:lineRule="exact"/>
                    <w:jc w:val="center"/>
                    <w:rPr>
                      <w:bCs/>
                      <w:color w:val="auto"/>
                      <w:kern w:val="0"/>
                      <w:szCs w:val="21"/>
                      <w:highlight w:val="none"/>
                    </w:rPr>
                  </w:pPr>
                  <w:r>
                    <w:rPr>
                      <w:bCs/>
                      <w:color w:val="auto"/>
                      <w:kern w:val="0"/>
                      <w:szCs w:val="21"/>
                      <w:highlight w:val="none"/>
                    </w:rPr>
                    <w:t>名称</w:t>
                  </w:r>
                </w:p>
              </w:tc>
              <w:tc>
                <w:tcPr>
                  <w:tcW w:w="798" w:type="pct"/>
                  <w:gridSpan w:val="2"/>
                  <w:vAlign w:val="center"/>
                </w:tcPr>
                <w:p w14:paraId="3C2255E7">
                  <w:pPr>
                    <w:adjustRightInd w:val="0"/>
                    <w:snapToGrid w:val="0"/>
                    <w:spacing w:line="300" w:lineRule="exact"/>
                    <w:jc w:val="center"/>
                    <w:rPr>
                      <w:bCs/>
                      <w:color w:val="auto"/>
                      <w:kern w:val="0"/>
                      <w:szCs w:val="21"/>
                      <w:highlight w:val="none"/>
                    </w:rPr>
                  </w:pPr>
                  <w:r>
                    <w:rPr>
                      <w:bCs/>
                      <w:color w:val="auto"/>
                      <w:kern w:val="0"/>
                      <w:szCs w:val="21"/>
                      <w:highlight w:val="none"/>
                    </w:rPr>
                    <w:t>坐标</w:t>
                  </w:r>
                </w:p>
              </w:tc>
              <w:tc>
                <w:tcPr>
                  <w:tcW w:w="385" w:type="pct"/>
                  <w:vMerge w:val="restart"/>
                  <w:vAlign w:val="center"/>
                </w:tcPr>
                <w:p w14:paraId="6CDE806E">
                  <w:pPr>
                    <w:adjustRightInd w:val="0"/>
                    <w:snapToGrid w:val="0"/>
                    <w:spacing w:line="300" w:lineRule="exact"/>
                    <w:jc w:val="center"/>
                    <w:rPr>
                      <w:bCs/>
                      <w:color w:val="auto"/>
                      <w:kern w:val="0"/>
                      <w:szCs w:val="21"/>
                      <w:highlight w:val="none"/>
                    </w:rPr>
                  </w:pPr>
                  <w:r>
                    <w:rPr>
                      <w:bCs/>
                      <w:color w:val="auto"/>
                      <w:kern w:val="0"/>
                      <w:szCs w:val="21"/>
                      <w:highlight w:val="none"/>
                    </w:rPr>
                    <w:t>方位</w:t>
                  </w:r>
                </w:p>
              </w:tc>
              <w:tc>
                <w:tcPr>
                  <w:tcW w:w="1175" w:type="pct"/>
                  <w:vMerge w:val="restart"/>
                  <w:vAlign w:val="center"/>
                </w:tcPr>
                <w:p w14:paraId="3FFB9B1B">
                  <w:pPr>
                    <w:adjustRightInd w:val="0"/>
                    <w:snapToGrid w:val="0"/>
                    <w:spacing w:line="300" w:lineRule="exact"/>
                    <w:jc w:val="center"/>
                    <w:rPr>
                      <w:bCs/>
                      <w:color w:val="auto"/>
                      <w:kern w:val="0"/>
                      <w:szCs w:val="21"/>
                      <w:highlight w:val="none"/>
                    </w:rPr>
                  </w:pPr>
                  <w:r>
                    <w:rPr>
                      <w:bCs/>
                      <w:color w:val="auto"/>
                      <w:kern w:val="0"/>
                      <w:szCs w:val="21"/>
                      <w:highlight w:val="none"/>
                    </w:rPr>
                    <w:t>相对厂址最近距离（m）</w:t>
                  </w:r>
                </w:p>
              </w:tc>
              <w:tc>
                <w:tcPr>
                  <w:tcW w:w="977" w:type="pct"/>
                  <w:vMerge w:val="restart"/>
                  <w:vAlign w:val="center"/>
                </w:tcPr>
                <w:p w14:paraId="4E041118">
                  <w:pPr>
                    <w:adjustRightInd w:val="0"/>
                    <w:snapToGrid w:val="0"/>
                    <w:spacing w:line="300" w:lineRule="exact"/>
                    <w:jc w:val="center"/>
                    <w:rPr>
                      <w:bCs/>
                      <w:color w:val="auto"/>
                      <w:kern w:val="0"/>
                      <w:szCs w:val="21"/>
                      <w:highlight w:val="none"/>
                    </w:rPr>
                  </w:pPr>
                  <w:r>
                    <w:rPr>
                      <w:bCs/>
                      <w:color w:val="auto"/>
                      <w:kern w:val="0"/>
                      <w:szCs w:val="21"/>
                      <w:highlight w:val="none"/>
                    </w:rPr>
                    <w:t>保护对象</w:t>
                  </w:r>
                </w:p>
              </w:tc>
              <w:tc>
                <w:tcPr>
                  <w:tcW w:w="510" w:type="pct"/>
                  <w:vMerge w:val="restart"/>
                  <w:vAlign w:val="center"/>
                </w:tcPr>
                <w:p w14:paraId="5560C620">
                  <w:pPr>
                    <w:adjustRightInd w:val="0"/>
                    <w:snapToGrid w:val="0"/>
                    <w:spacing w:line="300" w:lineRule="exact"/>
                    <w:jc w:val="center"/>
                    <w:rPr>
                      <w:bCs/>
                      <w:color w:val="auto"/>
                      <w:kern w:val="0"/>
                      <w:szCs w:val="21"/>
                      <w:highlight w:val="none"/>
                    </w:rPr>
                  </w:pPr>
                  <w:r>
                    <w:rPr>
                      <w:rFonts w:hint="eastAsia"/>
                      <w:bCs/>
                      <w:color w:val="auto"/>
                      <w:kern w:val="0"/>
                      <w:szCs w:val="21"/>
                      <w:highlight w:val="none"/>
                    </w:rPr>
                    <w:t>环境功能区</w:t>
                  </w:r>
                </w:p>
              </w:tc>
            </w:tr>
            <w:tr w14:paraId="202E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64" w:type="pct"/>
                  <w:vMerge w:val="continue"/>
                  <w:vAlign w:val="center"/>
                </w:tcPr>
                <w:p w14:paraId="65F34F9D">
                  <w:pPr>
                    <w:adjustRightInd w:val="0"/>
                    <w:snapToGrid w:val="0"/>
                    <w:spacing w:line="300" w:lineRule="exact"/>
                    <w:jc w:val="center"/>
                    <w:rPr>
                      <w:color w:val="auto"/>
                      <w:szCs w:val="21"/>
                      <w:highlight w:val="none"/>
                    </w:rPr>
                  </w:pPr>
                </w:p>
              </w:tc>
              <w:tc>
                <w:tcPr>
                  <w:tcW w:w="888" w:type="pct"/>
                  <w:vMerge w:val="continue"/>
                  <w:vAlign w:val="center"/>
                </w:tcPr>
                <w:p w14:paraId="7E750F78">
                  <w:pPr>
                    <w:adjustRightInd w:val="0"/>
                    <w:snapToGrid w:val="0"/>
                    <w:spacing w:line="300" w:lineRule="exact"/>
                    <w:jc w:val="center"/>
                    <w:rPr>
                      <w:color w:val="auto"/>
                      <w:szCs w:val="21"/>
                      <w:highlight w:val="none"/>
                    </w:rPr>
                  </w:pPr>
                </w:p>
              </w:tc>
              <w:tc>
                <w:tcPr>
                  <w:tcW w:w="394" w:type="pct"/>
                  <w:vAlign w:val="center"/>
                </w:tcPr>
                <w:p w14:paraId="0319B127">
                  <w:pPr>
                    <w:adjustRightInd w:val="0"/>
                    <w:snapToGrid w:val="0"/>
                    <w:spacing w:line="300" w:lineRule="exact"/>
                    <w:jc w:val="center"/>
                    <w:rPr>
                      <w:bCs/>
                      <w:color w:val="auto"/>
                      <w:kern w:val="0"/>
                      <w:szCs w:val="21"/>
                      <w:highlight w:val="none"/>
                    </w:rPr>
                  </w:pPr>
                  <w:r>
                    <w:rPr>
                      <w:bCs/>
                      <w:color w:val="auto"/>
                      <w:kern w:val="0"/>
                      <w:szCs w:val="21"/>
                      <w:highlight w:val="none"/>
                    </w:rPr>
                    <w:t>X</w:t>
                  </w:r>
                </w:p>
              </w:tc>
              <w:tc>
                <w:tcPr>
                  <w:tcW w:w="404" w:type="pct"/>
                  <w:vAlign w:val="center"/>
                </w:tcPr>
                <w:p w14:paraId="15792D7A">
                  <w:pPr>
                    <w:adjustRightInd w:val="0"/>
                    <w:snapToGrid w:val="0"/>
                    <w:spacing w:line="300" w:lineRule="exact"/>
                    <w:jc w:val="center"/>
                    <w:rPr>
                      <w:bCs/>
                      <w:color w:val="auto"/>
                      <w:kern w:val="0"/>
                      <w:szCs w:val="21"/>
                      <w:highlight w:val="none"/>
                    </w:rPr>
                  </w:pPr>
                  <w:r>
                    <w:rPr>
                      <w:bCs/>
                      <w:color w:val="auto"/>
                      <w:kern w:val="0"/>
                      <w:szCs w:val="21"/>
                      <w:highlight w:val="none"/>
                    </w:rPr>
                    <w:t>Y</w:t>
                  </w:r>
                </w:p>
              </w:tc>
              <w:tc>
                <w:tcPr>
                  <w:tcW w:w="385" w:type="pct"/>
                  <w:vMerge w:val="continue"/>
                  <w:vAlign w:val="center"/>
                </w:tcPr>
                <w:p w14:paraId="18672C3E">
                  <w:pPr>
                    <w:adjustRightInd w:val="0"/>
                    <w:snapToGrid w:val="0"/>
                    <w:spacing w:line="300" w:lineRule="exact"/>
                    <w:jc w:val="center"/>
                    <w:rPr>
                      <w:bCs/>
                      <w:color w:val="auto"/>
                      <w:kern w:val="0"/>
                      <w:szCs w:val="21"/>
                      <w:highlight w:val="none"/>
                    </w:rPr>
                  </w:pPr>
                </w:p>
              </w:tc>
              <w:tc>
                <w:tcPr>
                  <w:tcW w:w="1175" w:type="pct"/>
                  <w:vMerge w:val="continue"/>
                  <w:vAlign w:val="center"/>
                </w:tcPr>
                <w:p w14:paraId="69A6660C">
                  <w:pPr>
                    <w:adjustRightInd w:val="0"/>
                    <w:snapToGrid w:val="0"/>
                    <w:spacing w:line="300" w:lineRule="exact"/>
                    <w:jc w:val="center"/>
                    <w:rPr>
                      <w:bCs/>
                      <w:color w:val="auto"/>
                      <w:kern w:val="0"/>
                      <w:szCs w:val="21"/>
                      <w:highlight w:val="none"/>
                    </w:rPr>
                  </w:pPr>
                </w:p>
              </w:tc>
              <w:tc>
                <w:tcPr>
                  <w:tcW w:w="977" w:type="pct"/>
                  <w:vMerge w:val="continue"/>
                  <w:vAlign w:val="center"/>
                </w:tcPr>
                <w:p w14:paraId="1DE929BD">
                  <w:pPr>
                    <w:adjustRightInd w:val="0"/>
                    <w:snapToGrid w:val="0"/>
                    <w:spacing w:line="300" w:lineRule="exact"/>
                    <w:jc w:val="center"/>
                    <w:rPr>
                      <w:bCs/>
                      <w:color w:val="auto"/>
                      <w:kern w:val="0"/>
                      <w:szCs w:val="21"/>
                      <w:highlight w:val="none"/>
                    </w:rPr>
                  </w:pPr>
                </w:p>
              </w:tc>
              <w:tc>
                <w:tcPr>
                  <w:tcW w:w="510" w:type="pct"/>
                  <w:vMerge w:val="continue"/>
                  <w:vAlign w:val="center"/>
                </w:tcPr>
                <w:p w14:paraId="4BC3EF44">
                  <w:pPr>
                    <w:adjustRightInd w:val="0"/>
                    <w:snapToGrid w:val="0"/>
                    <w:spacing w:line="300" w:lineRule="exact"/>
                    <w:jc w:val="center"/>
                    <w:rPr>
                      <w:bCs/>
                      <w:color w:val="auto"/>
                      <w:kern w:val="0"/>
                      <w:szCs w:val="21"/>
                      <w:highlight w:val="none"/>
                    </w:rPr>
                  </w:pPr>
                </w:p>
              </w:tc>
            </w:tr>
            <w:tr w14:paraId="1A8D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64" w:type="pct"/>
                  <w:vAlign w:val="center"/>
                </w:tcPr>
                <w:p w14:paraId="13BD3F54">
                  <w:pPr>
                    <w:adjustRightInd w:val="0"/>
                    <w:snapToGrid w:val="0"/>
                    <w:spacing w:line="300" w:lineRule="exact"/>
                    <w:jc w:val="center"/>
                    <w:rPr>
                      <w:bCs/>
                      <w:color w:val="auto"/>
                      <w:kern w:val="0"/>
                      <w:szCs w:val="21"/>
                      <w:highlight w:val="none"/>
                    </w:rPr>
                  </w:pPr>
                  <w:r>
                    <w:rPr>
                      <w:bCs/>
                      <w:color w:val="auto"/>
                      <w:kern w:val="0"/>
                      <w:szCs w:val="21"/>
                      <w:highlight w:val="none"/>
                    </w:rPr>
                    <w:t>1</w:t>
                  </w:r>
                </w:p>
              </w:tc>
              <w:tc>
                <w:tcPr>
                  <w:tcW w:w="888" w:type="pct"/>
                  <w:vAlign w:val="center"/>
                </w:tcPr>
                <w:p w14:paraId="7B60C7FB">
                  <w:pPr>
                    <w:adjustRightInd w:val="0"/>
                    <w:snapToGrid w:val="0"/>
                    <w:spacing w:line="300" w:lineRule="exact"/>
                    <w:jc w:val="center"/>
                    <w:rPr>
                      <w:bCs/>
                      <w:color w:val="auto"/>
                      <w:kern w:val="0"/>
                      <w:szCs w:val="21"/>
                      <w:highlight w:val="none"/>
                    </w:rPr>
                  </w:pPr>
                  <w:r>
                    <w:rPr>
                      <w:bCs/>
                      <w:color w:val="auto"/>
                      <w:kern w:val="0"/>
                      <w:szCs w:val="21"/>
                      <w:highlight w:val="none"/>
                    </w:rPr>
                    <w:t>1#散户居民</w:t>
                  </w:r>
                </w:p>
              </w:tc>
              <w:tc>
                <w:tcPr>
                  <w:tcW w:w="394" w:type="pct"/>
                  <w:vAlign w:val="center"/>
                </w:tcPr>
                <w:p w14:paraId="46983FF5">
                  <w:pPr>
                    <w:adjustRightInd w:val="0"/>
                    <w:snapToGrid w:val="0"/>
                    <w:spacing w:line="300" w:lineRule="exact"/>
                    <w:jc w:val="center"/>
                    <w:rPr>
                      <w:bCs/>
                      <w:color w:val="auto"/>
                      <w:kern w:val="0"/>
                      <w:szCs w:val="21"/>
                      <w:highlight w:val="none"/>
                    </w:rPr>
                  </w:pPr>
                  <w:r>
                    <w:rPr>
                      <w:bCs/>
                      <w:color w:val="auto"/>
                      <w:kern w:val="0"/>
                      <w:szCs w:val="21"/>
                      <w:highlight w:val="none"/>
                    </w:rPr>
                    <w:t>+143</w:t>
                  </w:r>
                </w:p>
              </w:tc>
              <w:tc>
                <w:tcPr>
                  <w:tcW w:w="404" w:type="pct"/>
                  <w:vAlign w:val="center"/>
                </w:tcPr>
                <w:p w14:paraId="6110EC9C">
                  <w:pPr>
                    <w:adjustRightInd w:val="0"/>
                    <w:snapToGrid w:val="0"/>
                    <w:spacing w:line="300" w:lineRule="exact"/>
                    <w:jc w:val="center"/>
                    <w:rPr>
                      <w:bCs/>
                      <w:color w:val="auto"/>
                      <w:kern w:val="0"/>
                      <w:szCs w:val="21"/>
                      <w:highlight w:val="none"/>
                    </w:rPr>
                  </w:pPr>
                  <w:r>
                    <w:rPr>
                      <w:bCs/>
                      <w:color w:val="auto"/>
                      <w:kern w:val="0"/>
                      <w:szCs w:val="21"/>
                      <w:highlight w:val="none"/>
                    </w:rPr>
                    <w:t>+64</w:t>
                  </w:r>
                </w:p>
              </w:tc>
              <w:tc>
                <w:tcPr>
                  <w:tcW w:w="385" w:type="pct"/>
                  <w:vAlign w:val="center"/>
                </w:tcPr>
                <w:p w14:paraId="35E37095">
                  <w:pPr>
                    <w:adjustRightInd w:val="0"/>
                    <w:snapToGrid w:val="0"/>
                    <w:spacing w:line="300" w:lineRule="exact"/>
                    <w:jc w:val="center"/>
                    <w:rPr>
                      <w:bCs/>
                      <w:color w:val="auto"/>
                      <w:kern w:val="0"/>
                      <w:szCs w:val="21"/>
                      <w:highlight w:val="none"/>
                    </w:rPr>
                  </w:pPr>
                  <w:r>
                    <w:rPr>
                      <w:bCs/>
                      <w:color w:val="auto"/>
                      <w:kern w:val="0"/>
                      <w:szCs w:val="21"/>
                      <w:highlight w:val="none"/>
                    </w:rPr>
                    <w:t>E</w:t>
                  </w:r>
                </w:p>
              </w:tc>
              <w:tc>
                <w:tcPr>
                  <w:tcW w:w="1175" w:type="pct"/>
                  <w:vAlign w:val="center"/>
                </w:tcPr>
                <w:p w14:paraId="509FB42A">
                  <w:pPr>
                    <w:adjustRightInd w:val="0"/>
                    <w:snapToGrid w:val="0"/>
                    <w:spacing w:line="300" w:lineRule="exact"/>
                    <w:jc w:val="center"/>
                    <w:rPr>
                      <w:bCs/>
                      <w:color w:val="auto"/>
                      <w:kern w:val="0"/>
                      <w:szCs w:val="21"/>
                      <w:highlight w:val="none"/>
                    </w:rPr>
                  </w:pPr>
                  <w:r>
                    <w:rPr>
                      <w:bCs/>
                      <w:color w:val="auto"/>
                      <w:kern w:val="0"/>
                      <w:szCs w:val="21"/>
                      <w:highlight w:val="none"/>
                    </w:rPr>
                    <w:t>133</w:t>
                  </w:r>
                </w:p>
              </w:tc>
              <w:tc>
                <w:tcPr>
                  <w:tcW w:w="977" w:type="pct"/>
                  <w:vAlign w:val="center"/>
                </w:tcPr>
                <w:p w14:paraId="17768F31">
                  <w:pPr>
                    <w:adjustRightInd w:val="0"/>
                    <w:snapToGrid w:val="0"/>
                    <w:spacing w:line="300" w:lineRule="exact"/>
                    <w:jc w:val="center"/>
                    <w:rPr>
                      <w:bCs/>
                      <w:color w:val="auto"/>
                      <w:kern w:val="0"/>
                      <w:szCs w:val="21"/>
                      <w:highlight w:val="none"/>
                    </w:rPr>
                  </w:pPr>
                  <w:r>
                    <w:rPr>
                      <w:bCs/>
                      <w:color w:val="auto"/>
                      <w:kern w:val="0"/>
                      <w:szCs w:val="21"/>
                      <w:highlight w:val="none"/>
                    </w:rPr>
                    <w:t>居民，约4人</w:t>
                  </w:r>
                </w:p>
              </w:tc>
              <w:tc>
                <w:tcPr>
                  <w:tcW w:w="510" w:type="pct"/>
                  <w:vMerge w:val="restart"/>
                  <w:vAlign w:val="center"/>
                </w:tcPr>
                <w:p w14:paraId="76ED6141">
                  <w:pPr>
                    <w:adjustRightInd w:val="0"/>
                    <w:snapToGrid w:val="0"/>
                    <w:spacing w:line="300" w:lineRule="exact"/>
                    <w:jc w:val="center"/>
                    <w:rPr>
                      <w:bCs/>
                      <w:color w:val="auto"/>
                      <w:kern w:val="0"/>
                      <w:szCs w:val="21"/>
                      <w:highlight w:val="none"/>
                    </w:rPr>
                  </w:pPr>
                  <w:r>
                    <w:rPr>
                      <w:rFonts w:hint="eastAsia"/>
                      <w:bCs/>
                      <w:color w:val="auto"/>
                      <w:kern w:val="0"/>
                      <w:szCs w:val="21"/>
                      <w:highlight w:val="none"/>
                    </w:rPr>
                    <w:t>二类</w:t>
                  </w:r>
                </w:p>
              </w:tc>
            </w:tr>
            <w:tr w14:paraId="51EC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56EEC189">
                  <w:pPr>
                    <w:adjustRightInd w:val="0"/>
                    <w:snapToGrid w:val="0"/>
                    <w:spacing w:line="300" w:lineRule="exact"/>
                    <w:jc w:val="center"/>
                    <w:rPr>
                      <w:bCs/>
                      <w:color w:val="auto"/>
                      <w:kern w:val="0"/>
                      <w:szCs w:val="21"/>
                      <w:highlight w:val="none"/>
                    </w:rPr>
                  </w:pPr>
                  <w:r>
                    <w:rPr>
                      <w:bCs/>
                      <w:color w:val="auto"/>
                      <w:kern w:val="0"/>
                      <w:szCs w:val="21"/>
                      <w:highlight w:val="none"/>
                    </w:rPr>
                    <w:t>2</w:t>
                  </w:r>
                </w:p>
              </w:tc>
              <w:tc>
                <w:tcPr>
                  <w:tcW w:w="888" w:type="pct"/>
                  <w:vAlign w:val="center"/>
                </w:tcPr>
                <w:p w14:paraId="139D9CEC">
                  <w:pPr>
                    <w:adjustRightInd w:val="0"/>
                    <w:snapToGrid w:val="0"/>
                    <w:spacing w:line="300" w:lineRule="exact"/>
                    <w:jc w:val="center"/>
                    <w:rPr>
                      <w:bCs/>
                      <w:color w:val="auto"/>
                      <w:kern w:val="0"/>
                      <w:szCs w:val="21"/>
                      <w:highlight w:val="none"/>
                    </w:rPr>
                  </w:pPr>
                  <w:r>
                    <w:rPr>
                      <w:bCs/>
                      <w:color w:val="auto"/>
                      <w:kern w:val="0"/>
                      <w:szCs w:val="21"/>
                      <w:highlight w:val="none"/>
                    </w:rPr>
                    <w:t>2#散户居民</w:t>
                  </w:r>
                </w:p>
              </w:tc>
              <w:tc>
                <w:tcPr>
                  <w:tcW w:w="394" w:type="pct"/>
                  <w:vAlign w:val="center"/>
                </w:tcPr>
                <w:p w14:paraId="52BF2B93">
                  <w:pPr>
                    <w:adjustRightInd w:val="0"/>
                    <w:snapToGrid w:val="0"/>
                    <w:spacing w:line="300" w:lineRule="exact"/>
                    <w:jc w:val="center"/>
                    <w:rPr>
                      <w:bCs/>
                      <w:color w:val="auto"/>
                      <w:kern w:val="0"/>
                      <w:szCs w:val="21"/>
                      <w:highlight w:val="none"/>
                    </w:rPr>
                  </w:pPr>
                  <w:r>
                    <w:rPr>
                      <w:bCs/>
                      <w:color w:val="auto"/>
                      <w:kern w:val="0"/>
                      <w:szCs w:val="21"/>
                      <w:highlight w:val="none"/>
                    </w:rPr>
                    <w:t>+176</w:t>
                  </w:r>
                </w:p>
              </w:tc>
              <w:tc>
                <w:tcPr>
                  <w:tcW w:w="404" w:type="pct"/>
                  <w:vAlign w:val="center"/>
                </w:tcPr>
                <w:p w14:paraId="51502299">
                  <w:pPr>
                    <w:adjustRightInd w:val="0"/>
                    <w:snapToGrid w:val="0"/>
                    <w:spacing w:line="300" w:lineRule="exact"/>
                    <w:jc w:val="center"/>
                    <w:rPr>
                      <w:bCs/>
                      <w:color w:val="auto"/>
                      <w:kern w:val="0"/>
                      <w:szCs w:val="21"/>
                      <w:highlight w:val="none"/>
                    </w:rPr>
                  </w:pPr>
                  <w:r>
                    <w:rPr>
                      <w:bCs/>
                      <w:color w:val="auto"/>
                      <w:kern w:val="0"/>
                      <w:szCs w:val="21"/>
                      <w:highlight w:val="none"/>
                    </w:rPr>
                    <w:t>+41</w:t>
                  </w:r>
                </w:p>
              </w:tc>
              <w:tc>
                <w:tcPr>
                  <w:tcW w:w="385" w:type="pct"/>
                  <w:vAlign w:val="center"/>
                </w:tcPr>
                <w:p w14:paraId="097B7269">
                  <w:pPr>
                    <w:adjustRightInd w:val="0"/>
                    <w:snapToGrid w:val="0"/>
                    <w:spacing w:line="300" w:lineRule="exact"/>
                    <w:jc w:val="center"/>
                    <w:rPr>
                      <w:bCs/>
                      <w:color w:val="auto"/>
                      <w:kern w:val="0"/>
                      <w:szCs w:val="21"/>
                      <w:highlight w:val="none"/>
                    </w:rPr>
                  </w:pPr>
                  <w:r>
                    <w:rPr>
                      <w:bCs/>
                      <w:color w:val="auto"/>
                      <w:kern w:val="0"/>
                      <w:szCs w:val="21"/>
                      <w:highlight w:val="none"/>
                    </w:rPr>
                    <w:t>E</w:t>
                  </w:r>
                </w:p>
              </w:tc>
              <w:tc>
                <w:tcPr>
                  <w:tcW w:w="1175" w:type="pct"/>
                  <w:vAlign w:val="center"/>
                </w:tcPr>
                <w:p w14:paraId="72A4960E">
                  <w:pPr>
                    <w:adjustRightInd w:val="0"/>
                    <w:snapToGrid w:val="0"/>
                    <w:spacing w:line="300" w:lineRule="exact"/>
                    <w:jc w:val="center"/>
                    <w:rPr>
                      <w:bCs/>
                      <w:color w:val="auto"/>
                      <w:kern w:val="0"/>
                      <w:szCs w:val="21"/>
                      <w:highlight w:val="none"/>
                    </w:rPr>
                  </w:pPr>
                  <w:r>
                    <w:rPr>
                      <w:bCs/>
                      <w:color w:val="auto"/>
                      <w:kern w:val="0"/>
                      <w:szCs w:val="21"/>
                      <w:highlight w:val="none"/>
                    </w:rPr>
                    <w:t>157</w:t>
                  </w:r>
                </w:p>
              </w:tc>
              <w:tc>
                <w:tcPr>
                  <w:tcW w:w="977" w:type="pct"/>
                  <w:vAlign w:val="center"/>
                </w:tcPr>
                <w:p w14:paraId="069EC060">
                  <w:pPr>
                    <w:adjustRightInd w:val="0"/>
                    <w:snapToGrid w:val="0"/>
                    <w:spacing w:line="300" w:lineRule="exact"/>
                    <w:jc w:val="center"/>
                    <w:rPr>
                      <w:bCs/>
                      <w:color w:val="auto"/>
                      <w:kern w:val="0"/>
                      <w:szCs w:val="21"/>
                      <w:highlight w:val="none"/>
                    </w:rPr>
                  </w:pPr>
                  <w:r>
                    <w:rPr>
                      <w:bCs/>
                      <w:color w:val="auto"/>
                      <w:kern w:val="0"/>
                      <w:szCs w:val="21"/>
                      <w:highlight w:val="none"/>
                    </w:rPr>
                    <w:t>居民，约6人</w:t>
                  </w:r>
                </w:p>
              </w:tc>
              <w:tc>
                <w:tcPr>
                  <w:tcW w:w="510" w:type="pct"/>
                  <w:vMerge w:val="continue"/>
                  <w:vAlign w:val="center"/>
                </w:tcPr>
                <w:p w14:paraId="56DD425F">
                  <w:pPr>
                    <w:adjustRightInd w:val="0"/>
                    <w:snapToGrid w:val="0"/>
                    <w:spacing w:line="300" w:lineRule="exact"/>
                    <w:jc w:val="center"/>
                    <w:rPr>
                      <w:bCs/>
                      <w:color w:val="auto"/>
                      <w:kern w:val="0"/>
                      <w:szCs w:val="21"/>
                      <w:highlight w:val="none"/>
                    </w:rPr>
                  </w:pPr>
                </w:p>
              </w:tc>
            </w:tr>
            <w:tr w14:paraId="7171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2FF9FC0B">
                  <w:pPr>
                    <w:adjustRightInd w:val="0"/>
                    <w:snapToGrid w:val="0"/>
                    <w:spacing w:line="300" w:lineRule="exact"/>
                    <w:jc w:val="center"/>
                    <w:rPr>
                      <w:bCs/>
                      <w:color w:val="auto"/>
                      <w:kern w:val="0"/>
                      <w:szCs w:val="21"/>
                      <w:highlight w:val="none"/>
                    </w:rPr>
                  </w:pPr>
                  <w:r>
                    <w:rPr>
                      <w:bCs/>
                      <w:color w:val="auto"/>
                      <w:kern w:val="0"/>
                      <w:szCs w:val="21"/>
                      <w:highlight w:val="none"/>
                    </w:rPr>
                    <w:t>3</w:t>
                  </w:r>
                </w:p>
              </w:tc>
              <w:tc>
                <w:tcPr>
                  <w:tcW w:w="888" w:type="pct"/>
                  <w:vAlign w:val="center"/>
                </w:tcPr>
                <w:p w14:paraId="45E13D3B">
                  <w:pPr>
                    <w:adjustRightInd w:val="0"/>
                    <w:snapToGrid w:val="0"/>
                    <w:spacing w:line="300" w:lineRule="exact"/>
                    <w:jc w:val="center"/>
                    <w:rPr>
                      <w:bCs/>
                      <w:color w:val="auto"/>
                      <w:kern w:val="0"/>
                      <w:szCs w:val="21"/>
                      <w:highlight w:val="none"/>
                    </w:rPr>
                  </w:pPr>
                  <w:r>
                    <w:rPr>
                      <w:bCs/>
                      <w:color w:val="auto"/>
                      <w:kern w:val="0"/>
                      <w:szCs w:val="21"/>
                      <w:highlight w:val="none"/>
                    </w:rPr>
                    <w:t>3#散户居民</w:t>
                  </w:r>
                </w:p>
              </w:tc>
              <w:tc>
                <w:tcPr>
                  <w:tcW w:w="394" w:type="pct"/>
                  <w:vAlign w:val="center"/>
                </w:tcPr>
                <w:p w14:paraId="216F615B">
                  <w:pPr>
                    <w:adjustRightInd w:val="0"/>
                    <w:snapToGrid w:val="0"/>
                    <w:spacing w:line="300" w:lineRule="exact"/>
                    <w:jc w:val="center"/>
                    <w:rPr>
                      <w:bCs/>
                      <w:color w:val="auto"/>
                      <w:kern w:val="0"/>
                      <w:szCs w:val="21"/>
                      <w:highlight w:val="none"/>
                    </w:rPr>
                  </w:pPr>
                  <w:r>
                    <w:rPr>
                      <w:bCs/>
                      <w:color w:val="auto"/>
                      <w:kern w:val="0"/>
                      <w:szCs w:val="21"/>
                      <w:highlight w:val="none"/>
                    </w:rPr>
                    <w:t>+215</w:t>
                  </w:r>
                </w:p>
              </w:tc>
              <w:tc>
                <w:tcPr>
                  <w:tcW w:w="404" w:type="pct"/>
                  <w:vAlign w:val="center"/>
                </w:tcPr>
                <w:p w14:paraId="62A7A6EC">
                  <w:pPr>
                    <w:adjustRightInd w:val="0"/>
                    <w:snapToGrid w:val="0"/>
                    <w:spacing w:line="300" w:lineRule="exact"/>
                    <w:jc w:val="center"/>
                    <w:rPr>
                      <w:bCs/>
                      <w:color w:val="auto"/>
                      <w:kern w:val="0"/>
                      <w:szCs w:val="21"/>
                      <w:highlight w:val="none"/>
                    </w:rPr>
                  </w:pPr>
                  <w:r>
                    <w:rPr>
                      <w:bCs/>
                      <w:color w:val="auto"/>
                      <w:kern w:val="0"/>
                      <w:szCs w:val="21"/>
                      <w:highlight w:val="none"/>
                    </w:rPr>
                    <w:t>+63</w:t>
                  </w:r>
                </w:p>
              </w:tc>
              <w:tc>
                <w:tcPr>
                  <w:tcW w:w="385" w:type="pct"/>
                  <w:vAlign w:val="center"/>
                </w:tcPr>
                <w:p w14:paraId="368CF0E9">
                  <w:pPr>
                    <w:adjustRightInd w:val="0"/>
                    <w:snapToGrid w:val="0"/>
                    <w:spacing w:line="300" w:lineRule="exact"/>
                    <w:jc w:val="center"/>
                    <w:rPr>
                      <w:bCs/>
                      <w:color w:val="auto"/>
                      <w:kern w:val="0"/>
                      <w:szCs w:val="21"/>
                      <w:highlight w:val="none"/>
                    </w:rPr>
                  </w:pPr>
                  <w:r>
                    <w:rPr>
                      <w:bCs/>
                      <w:color w:val="auto"/>
                      <w:kern w:val="0"/>
                      <w:szCs w:val="21"/>
                      <w:highlight w:val="none"/>
                    </w:rPr>
                    <w:t>E</w:t>
                  </w:r>
                </w:p>
              </w:tc>
              <w:tc>
                <w:tcPr>
                  <w:tcW w:w="1175" w:type="pct"/>
                  <w:vAlign w:val="center"/>
                </w:tcPr>
                <w:p w14:paraId="161C2193">
                  <w:pPr>
                    <w:adjustRightInd w:val="0"/>
                    <w:snapToGrid w:val="0"/>
                    <w:spacing w:line="300" w:lineRule="exact"/>
                    <w:jc w:val="center"/>
                    <w:rPr>
                      <w:bCs/>
                      <w:color w:val="auto"/>
                      <w:kern w:val="0"/>
                      <w:szCs w:val="21"/>
                      <w:highlight w:val="none"/>
                    </w:rPr>
                  </w:pPr>
                  <w:r>
                    <w:rPr>
                      <w:bCs/>
                      <w:color w:val="auto"/>
                      <w:kern w:val="0"/>
                      <w:szCs w:val="21"/>
                      <w:highlight w:val="none"/>
                    </w:rPr>
                    <w:t>189</w:t>
                  </w:r>
                </w:p>
              </w:tc>
              <w:tc>
                <w:tcPr>
                  <w:tcW w:w="977" w:type="pct"/>
                  <w:vAlign w:val="center"/>
                </w:tcPr>
                <w:p w14:paraId="7C2187DB">
                  <w:pPr>
                    <w:adjustRightInd w:val="0"/>
                    <w:snapToGrid w:val="0"/>
                    <w:spacing w:line="300" w:lineRule="exact"/>
                    <w:jc w:val="center"/>
                    <w:rPr>
                      <w:bCs/>
                      <w:color w:val="auto"/>
                      <w:kern w:val="0"/>
                      <w:szCs w:val="21"/>
                      <w:highlight w:val="none"/>
                    </w:rPr>
                  </w:pPr>
                  <w:r>
                    <w:rPr>
                      <w:bCs/>
                      <w:color w:val="auto"/>
                      <w:kern w:val="0"/>
                      <w:szCs w:val="21"/>
                      <w:highlight w:val="none"/>
                    </w:rPr>
                    <w:t>居民，约18人</w:t>
                  </w:r>
                </w:p>
              </w:tc>
              <w:tc>
                <w:tcPr>
                  <w:tcW w:w="510" w:type="pct"/>
                  <w:vMerge w:val="continue"/>
                  <w:vAlign w:val="center"/>
                </w:tcPr>
                <w:p w14:paraId="28DEEB9B">
                  <w:pPr>
                    <w:adjustRightInd w:val="0"/>
                    <w:snapToGrid w:val="0"/>
                    <w:spacing w:line="300" w:lineRule="exact"/>
                    <w:jc w:val="center"/>
                    <w:rPr>
                      <w:bCs/>
                      <w:color w:val="auto"/>
                      <w:kern w:val="0"/>
                      <w:szCs w:val="21"/>
                      <w:highlight w:val="none"/>
                    </w:rPr>
                  </w:pPr>
                </w:p>
              </w:tc>
            </w:tr>
            <w:tr w14:paraId="2267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 w:type="pct"/>
                  <w:vAlign w:val="center"/>
                </w:tcPr>
                <w:p w14:paraId="0AA9023D">
                  <w:pPr>
                    <w:adjustRightInd w:val="0"/>
                    <w:snapToGrid w:val="0"/>
                    <w:spacing w:line="300" w:lineRule="exact"/>
                    <w:jc w:val="center"/>
                    <w:rPr>
                      <w:bCs/>
                      <w:color w:val="auto"/>
                      <w:kern w:val="0"/>
                      <w:szCs w:val="21"/>
                      <w:highlight w:val="none"/>
                    </w:rPr>
                  </w:pPr>
                  <w:r>
                    <w:rPr>
                      <w:bCs/>
                      <w:color w:val="auto"/>
                      <w:kern w:val="0"/>
                      <w:szCs w:val="21"/>
                      <w:highlight w:val="none"/>
                    </w:rPr>
                    <w:t>4</w:t>
                  </w:r>
                </w:p>
              </w:tc>
              <w:tc>
                <w:tcPr>
                  <w:tcW w:w="888" w:type="pct"/>
                  <w:vAlign w:val="center"/>
                </w:tcPr>
                <w:p w14:paraId="2142C9BC">
                  <w:pPr>
                    <w:adjustRightInd w:val="0"/>
                    <w:snapToGrid w:val="0"/>
                    <w:spacing w:line="300" w:lineRule="exact"/>
                    <w:jc w:val="center"/>
                    <w:rPr>
                      <w:bCs/>
                      <w:color w:val="auto"/>
                      <w:kern w:val="0"/>
                      <w:szCs w:val="21"/>
                      <w:highlight w:val="none"/>
                    </w:rPr>
                  </w:pPr>
                  <w:r>
                    <w:rPr>
                      <w:bCs/>
                      <w:color w:val="auto"/>
                      <w:kern w:val="0"/>
                      <w:szCs w:val="21"/>
                      <w:highlight w:val="none"/>
                    </w:rPr>
                    <w:t>4#散户居民</w:t>
                  </w:r>
                </w:p>
              </w:tc>
              <w:tc>
                <w:tcPr>
                  <w:tcW w:w="394" w:type="pct"/>
                  <w:vAlign w:val="center"/>
                </w:tcPr>
                <w:p w14:paraId="6AFB4E84">
                  <w:pPr>
                    <w:adjustRightInd w:val="0"/>
                    <w:snapToGrid w:val="0"/>
                    <w:spacing w:line="300" w:lineRule="exact"/>
                    <w:jc w:val="center"/>
                    <w:rPr>
                      <w:bCs/>
                      <w:color w:val="auto"/>
                      <w:kern w:val="0"/>
                      <w:szCs w:val="21"/>
                      <w:highlight w:val="none"/>
                    </w:rPr>
                  </w:pPr>
                  <w:r>
                    <w:rPr>
                      <w:bCs/>
                      <w:color w:val="auto"/>
                      <w:kern w:val="0"/>
                      <w:szCs w:val="21"/>
                      <w:highlight w:val="none"/>
                    </w:rPr>
                    <w:t>+282</w:t>
                  </w:r>
                </w:p>
              </w:tc>
              <w:tc>
                <w:tcPr>
                  <w:tcW w:w="404" w:type="pct"/>
                  <w:vAlign w:val="center"/>
                </w:tcPr>
                <w:p w14:paraId="05507705">
                  <w:pPr>
                    <w:adjustRightInd w:val="0"/>
                    <w:snapToGrid w:val="0"/>
                    <w:spacing w:line="300" w:lineRule="exact"/>
                    <w:jc w:val="center"/>
                    <w:rPr>
                      <w:bCs/>
                      <w:color w:val="auto"/>
                      <w:kern w:val="0"/>
                      <w:szCs w:val="21"/>
                      <w:highlight w:val="none"/>
                    </w:rPr>
                  </w:pPr>
                  <w:r>
                    <w:rPr>
                      <w:bCs/>
                      <w:color w:val="auto"/>
                      <w:kern w:val="0"/>
                      <w:szCs w:val="21"/>
                      <w:highlight w:val="none"/>
                    </w:rPr>
                    <w:t>+42</w:t>
                  </w:r>
                </w:p>
              </w:tc>
              <w:tc>
                <w:tcPr>
                  <w:tcW w:w="385" w:type="pct"/>
                  <w:vAlign w:val="center"/>
                </w:tcPr>
                <w:p w14:paraId="01949A4C">
                  <w:pPr>
                    <w:adjustRightInd w:val="0"/>
                    <w:snapToGrid w:val="0"/>
                    <w:spacing w:line="300" w:lineRule="exact"/>
                    <w:jc w:val="center"/>
                    <w:rPr>
                      <w:bCs/>
                      <w:color w:val="auto"/>
                      <w:kern w:val="0"/>
                      <w:szCs w:val="21"/>
                      <w:highlight w:val="none"/>
                    </w:rPr>
                  </w:pPr>
                  <w:r>
                    <w:rPr>
                      <w:bCs/>
                      <w:color w:val="auto"/>
                      <w:kern w:val="0"/>
                      <w:szCs w:val="21"/>
                      <w:highlight w:val="none"/>
                    </w:rPr>
                    <w:t>E</w:t>
                  </w:r>
                </w:p>
              </w:tc>
              <w:tc>
                <w:tcPr>
                  <w:tcW w:w="1175" w:type="pct"/>
                  <w:vAlign w:val="center"/>
                </w:tcPr>
                <w:p w14:paraId="52BD62FF">
                  <w:pPr>
                    <w:adjustRightInd w:val="0"/>
                    <w:snapToGrid w:val="0"/>
                    <w:spacing w:line="300" w:lineRule="exact"/>
                    <w:jc w:val="center"/>
                    <w:rPr>
                      <w:bCs/>
                      <w:color w:val="auto"/>
                      <w:kern w:val="0"/>
                      <w:szCs w:val="21"/>
                      <w:highlight w:val="none"/>
                    </w:rPr>
                  </w:pPr>
                  <w:r>
                    <w:rPr>
                      <w:bCs/>
                      <w:color w:val="auto"/>
                      <w:kern w:val="0"/>
                      <w:szCs w:val="21"/>
                      <w:highlight w:val="none"/>
                    </w:rPr>
                    <w:t>252</w:t>
                  </w:r>
                </w:p>
              </w:tc>
              <w:tc>
                <w:tcPr>
                  <w:tcW w:w="977" w:type="pct"/>
                  <w:vAlign w:val="center"/>
                </w:tcPr>
                <w:p w14:paraId="37CDCBC0">
                  <w:pPr>
                    <w:adjustRightInd w:val="0"/>
                    <w:snapToGrid w:val="0"/>
                    <w:spacing w:line="300" w:lineRule="exact"/>
                    <w:jc w:val="center"/>
                    <w:rPr>
                      <w:bCs/>
                      <w:color w:val="auto"/>
                      <w:kern w:val="0"/>
                      <w:szCs w:val="21"/>
                      <w:highlight w:val="none"/>
                    </w:rPr>
                  </w:pPr>
                  <w:r>
                    <w:rPr>
                      <w:bCs/>
                      <w:color w:val="auto"/>
                      <w:kern w:val="0"/>
                      <w:szCs w:val="21"/>
                      <w:highlight w:val="none"/>
                    </w:rPr>
                    <w:t>居民，约27人</w:t>
                  </w:r>
                </w:p>
              </w:tc>
              <w:tc>
                <w:tcPr>
                  <w:tcW w:w="510" w:type="pct"/>
                  <w:vMerge w:val="continue"/>
                  <w:vAlign w:val="center"/>
                </w:tcPr>
                <w:p w14:paraId="3B85B399">
                  <w:pPr>
                    <w:adjustRightInd w:val="0"/>
                    <w:snapToGrid w:val="0"/>
                    <w:spacing w:line="300" w:lineRule="exact"/>
                    <w:jc w:val="center"/>
                    <w:rPr>
                      <w:bCs/>
                      <w:color w:val="auto"/>
                      <w:kern w:val="0"/>
                      <w:szCs w:val="21"/>
                      <w:highlight w:val="none"/>
                    </w:rPr>
                  </w:pPr>
                </w:p>
              </w:tc>
            </w:tr>
            <w:tr w14:paraId="1234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 w:type="pct"/>
                  <w:vAlign w:val="center"/>
                </w:tcPr>
                <w:p w14:paraId="41A5DEA3">
                  <w:pPr>
                    <w:adjustRightInd w:val="0"/>
                    <w:snapToGrid w:val="0"/>
                    <w:spacing w:line="300" w:lineRule="exact"/>
                    <w:jc w:val="center"/>
                    <w:rPr>
                      <w:bCs/>
                      <w:color w:val="auto"/>
                      <w:kern w:val="0"/>
                      <w:szCs w:val="21"/>
                      <w:highlight w:val="none"/>
                    </w:rPr>
                  </w:pPr>
                  <w:r>
                    <w:rPr>
                      <w:bCs/>
                      <w:color w:val="auto"/>
                      <w:kern w:val="0"/>
                      <w:szCs w:val="21"/>
                      <w:highlight w:val="none"/>
                    </w:rPr>
                    <w:t>5</w:t>
                  </w:r>
                </w:p>
              </w:tc>
              <w:tc>
                <w:tcPr>
                  <w:tcW w:w="888" w:type="pct"/>
                  <w:vAlign w:val="center"/>
                </w:tcPr>
                <w:p w14:paraId="773BD959">
                  <w:pPr>
                    <w:adjustRightInd w:val="0"/>
                    <w:snapToGrid w:val="0"/>
                    <w:spacing w:line="300" w:lineRule="exact"/>
                    <w:jc w:val="center"/>
                    <w:rPr>
                      <w:bCs/>
                      <w:color w:val="auto"/>
                      <w:kern w:val="0"/>
                      <w:szCs w:val="21"/>
                      <w:highlight w:val="none"/>
                    </w:rPr>
                  </w:pPr>
                  <w:r>
                    <w:rPr>
                      <w:bCs/>
                      <w:color w:val="auto"/>
                      <w:kern w:val="0"/>
                      <w:szCs w:val="21"/>
                      <w:highlight w:val="none"/>
                    </w:rPr>
                    <w:t>5#散户居民</w:t>
                  </w:r>
                </w:p>
              </w:tc>
              <w:tc>
                <w:tcPr>
                  <w:tcW w:w="394" w:type="pct"/>
                  <w:vAlign w:val="center"/>
                </w:tcPr>
                <w:p w14:paraId="7164D6E4">
                  <w:pPr>
                    <w:adjustRightInd w:val="0"/>
                    <w:snapToGrid w:val="0"/>
                    <w:spacing w:line="300" w:lineRule="exact"/>
                    <w:jc w:val="center"/>
                    <w:rPr>
                      <w:bCs/>
                      <w:color w:val="auto"/>
                      <w:kern w:val="0"/>
                      <w:szCs w:val="21"/>
                      <w:highlight w:val="none"/>
                    </w:rPr>
                  </w:pPr>
                  <w:r>
                    <w:rPr>
                      <w:bCs/>
                      <w:color w:val="auto"/>
                      <w:kern w:val="0"/>
                      <w:szCs w:val="21"/>
                      <w:highlight w:val="none"/>
                    </w:rPr>
                    <w:t>+351</w:t>
                  </w:r>
                </w:p>
              </w:tc>
              <w:tc>
                <w:tcPr>
                  <w:tcW w:w="404" w:type="pct"/>
                  <w:vAlign w:val="center"/>
                </w:tcPr>
                <w:p w14:paraId="16C55960">
                  <w:pPr>
                    <w:adjustRightInd w:val="0"/>
                    <w:snapToGrid w:val="0"/>
                    <w:spacing w:line="300" w:lineRule="exact"/>
                    <w:jc w:val="center"/>
                    <w:rPr>
                      <w:bCs/>
                      <w:color w:val="auto"/>
                      <w:kern w:val="0"/>
                      <w:szCs w:val="21"/>
                      <w:highlight w:val="none"/>
                    </w:rPr>
                  </w:pPr>
                  <w:r>
                    <w:rPr>
                      <w:bCs/>
                      <w:color w:val="auto"/>
                      <w:kern w:val="0"/>
                      <w:szCs w:val="21"/>
                      <w:highlight w:val="none"/>
                    </w:rPr>
                    <w:t>+361</w:t>
                  </w:r>
                </w:p>
              </w:tc>
              <w:tc>
                <w:tcPr>
                  <w:tcW w:w="385" w:type="pct"/>
                  <w:vAlign w:val="center"/>
                </w:tcPr>
                <w:p w14:paraId="67E44344">
                  <w:pPr>
                    <w:adjustRightInd w:val="0"/>
                    <w:snapToGrid w:val="0"/>
                    <w:spacing w:line="300" w:lineRule="exact"/>
                    <w:jc w:val="center"/>
                    <w:rPr>
                      <w:bCs/>
                      <w:color w:val="auto"/>
                      <w:kern w:val="0"/>
                      <w:szCs w:val="21"/>
                      <w:highlight w:val="none"/>
                    </w:rPr>
                  </w:pPr>
                  <w:r>
                    <w:rPr>
                      <w:bCs/>
                      <w:color w:val="auto"/>
                      <w:kern w:val="0"/>
                      <w:szCs w:val="21"/>
                      <w:highlight w:val="none"/>
                    </w:rPr>
                    <w:t>NE</w:t>
                  </w:r>
                </w:p>
              </w:tc>
              <w:tc>
                <w:tcPr>
                  <w:tcW w:w="1175" w:type="pct"/>
                  <w:vAlign w:val="center"/>
                </w:tcPr>
                <w:p w14:paraId="084FB39A">
                  <w:pPr>
                    <w:adjustRightInd w:val="0"/>
                    <w:snapToGrid w:val="0"/>
                    <w:spacing w:line="300" w:lineRule="exact"/>
                    <w:jc w:val="center"/>
                    <w:rPr>
                      <w:bCs/>
                      <w:color w:val="auto"/>
                      <w:kern w:val="0"/>
                      <w:szCs w:val="21"/>
                      <w:highlight w:val="none"/>
                    </w:rPr>
                  </w:pPr>
                  <w:r>
                    <w:rPr>
                      <w:bCs/>
                      <w:color w:val="auto"/>
                      <w:kern w:val="0"/>
                      <w:szCs w:val="21"/>
                      <w:highlight w:val="none"/>
                    </w:rPr>
                    <w:t>474</w:t>
                  </w:r>
                </w:p>
              </w:tc>
              <w:tc>
                <w:tcPr>
                  <w:tcW w:w="977" w:type="pct"/>
                  <w:vAlign w:val="center"/>
                </w:tcPr>
                <w:p w14:paraId="10D6B46B">
                  <w:pPr>
                    <w:adjustRightInd w:val="0"/>
                    <w:snapToGrid w:val="0"/>
                    <w:spacing w:line="300" w:lineRule="exact"/>
                    <w:jc w:val="center"/>
                    <w:rPr>
                      <w:bCs/>
                      <w:color w:val="auto"/>
                      <w:kern w:val="0"/>
                      <w:szCs w:val="21"/>
                      <w:highlight w:val="none"/>
                    </w:rPr>
                  </w:pPr>
                  <w:r>
                    <w:rPr>
                      <w:bCs/>
                      <w:color w:val="auto"/>
                      <w:kern w:val="0"/>
                      <w:szCs w:val="21"/>
                      <w:highlight w:val="none"/>
                    </w:rPr>
                    <w:t>居民，约16人</w:t>
                  </w:r>
                </w:p>
              </w:tc>
              <w:tc>
                <w:tcPr>
                  <w:tcW w:w="510" w:type="pct"/>
                  <w:vMerge w:val="continue"/>
                  <w:vAlign w:val="center"/>
                </w:tcPr>
                <w:p w14:paraId="3A051A07">
                  <w:pPr>
                    <w:adjustRightInd w:val="0"/>
                    <w:snapToGrid w:val="0"/>
                    <w:spacing w:line="300" w:lineRule="exact"/>
                    <w:jc w:val="center"/>
                    <w:rPr>
                      <w:bCs/>
                      <w:color w:val="auto"/>
                      <w:kern w:val="0"/>
                      <w:szCs w:val="21"/>
                      <w:highlight w:val="none"/>
                    </w:rPr>
                  </w:pPr>
                </w:p>
              </w:tc>
            </w:tr>
            <w:tr w14:paraId="549C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2973DC48">
                  <w:pPr>
                    <w:adjustRightInd w:val="0"/>
                    <w:snapToGrid w:val="0"/>
                    <w:spacing w:line="300" w:lineRule="exact"/>
                    <w:jc w:val="center"/>
                    <w:rPr>
                      <w:bCs/>
                      <w:color w:val="auto"/>
                      <w:kern w:val="0"/>
                      <w:szCs w:val="21"/>
                      <w:highlight w:val="none"/>
                    </w:rPr>
                  </w:pPr>
                  <w:r>
                    <w:rPr>
                      <w:bCs/>
                      <w:color w:val="auto"/>
                      <w:kern w:val="0"/>
                      <w:szCs w:val="21"/>
                      <w:highlight w:val="none"/>
                    </w:rPr>
                    <w:t>6</w:t>
                  </w:r>
                </w:p>
              </w:tc>
              <w:tc>
                <w:tcPr>
                  <w:tcW w:w="888" w:type="pct"/>
                  <w:vAlign w:val="center"/>
                </w:tcPr>
                <w:p w14:paraId="1419F66A">
                  <w:pPr>
                    <w:adjustRightInd w:val="0"/>
                    <w:snapToGrid w:val="0"/>
                    <w:spacing w:line="300" w:lineRule="exact"/>
                    <w:jc w:val="center"/>
                    <w:rPr>
                      <w:bCs/>
                      <w:color w:val="auto"/>
                      <w:kern w:val="0"/>
                      <w:szCs w:val="21"/>
                      <w:highlight w:val="none"/>
                    </w:rPr>
                  </w:pPr>
                  <w:r>
                    <w:rPr>
                      <w:bCs/>
                      <w:color w:val="auto"/>
                      <w:kern w:val="0"/>
                      <w:szCs w:val="21"/>
                      <w:highlight w:val="none"/>
                    </w:rPr>
                    <w:t>6#散户居民</w:t>
                  </w:r>
                </w:p>
              </w:tc>
              <w:tc>
                <w:tcPr>
                  <w:tcW w:w="394" w:type="pct"/>
                  <w:vAlign w:val="center"/>
                </w:tcPr>
                <w:p w14:paraId="09D42DBC">
                  <w:pPr>
                    <w:adjustRightInd w:val="0"/>
                    <w:snapToGrid w:val="0"/>
                    <w:spacing w:line="300" w:lineRule="exact"/>
                    <w:jc w:val="center"/>
                    <w:rPr>
                      <w:bCs/>
                      <w:color w:val="auto"/>
                      <w:kern w:val="0"/>
                      <w:szCs w:val="21"/>
                      <w:highlight w:val="none"/>
                    </w:rPr>
                  </w:pPr>
                  <w:r>
                    <w:rPr>
                      <w:bCs/>
                      <w:color w:val="auto"/>
                      <w:kern w:val="0"/>
                      <w:szCs w:val="21"/>
                      <w:highlight w:val="none"/>
                    </w:rPr>
                    <w:t>+214</w:t>
                  </w:r>
                </w:p>
              </w:tc>
              <w:tc>
                <w:tcPr>
                  <w:tcW w:w="404" w:type="pct"/>
                  <w:vAlign w:val="center"/>
                </w:tcPr>
                <w:p w14:paraId="5F7E47CD">
                  <w:pPr>
                    <w:adjustRightInd w:val="0"/>
                    <w:snapToGrid w:val="0"/>
                    <w:spacing w:line="300" w:lineRule="exact"/>
                    <w:jc w:val="center"/>
                    <w:rPr>
                      <w:bCs/>
                      <w:color w:val="auto"/>
                      <w:kern w:val="0"/>
                      <w:szCs w:val="21"/>
                      <w:highlight w:val="none"/>
                    </w:rPr>
                  </w:pPr>
                  <w:r>
                    <w:rPr>
                      <w:bCs/>
                      <w:color w:val="auto"/>
                      <w:kern w:val="0"/>
                      <w:szCs w:val="21"/>
                      <w:highlight w:val="none"/>
                    </w:rPr>
                    <w:t>+366</w:t>
                  </w:r>
                </w:p>
              </w:tc>
              <w:tc>
                <w:tcPr>
                  <w:tcW w:w="385" w:type="pct"/>
                  <w:vAlign w:val="center"/>
                </w:tcPr>
                <w:p w14:paraId="6A39B30E">
                  <w:pPr>
                    <w:adjustRightInd w:val="0"/>
                    <w:snapToGrid w:val="0"/>
                    <w:spacing w:line="300" w:lineRule="exact"/>
                    <w:jc w:val="center"/>
                    <w:rPr>
                      <w:bCs/>
                      <w:color w:val="auto"/>
                      <w:kern w:val="0"/>
                      <w:szCs w:val="21"/>
                      <w:highlight w:val="none"/>
                    </w:rPr>
                  </w:pPr>
                  <w:r>
                    <w:rPr>
                      <w:bCs/>
                      <w:color w:val="auto"/>
                      <w:kern w:val="0"/>
                      <w:szCs w:val="21"/>
                      <w:highlight w:val="none"/>
                    </w:rPr>
                    <w:t>NE</w:t>
                  </w:r>
                </w:p>
              </w:tc>
              <w:tc>
                <w:tcPr>
                  <w:tcW w:w="1175" w:type="pct"/>
                  <w:vAlign w:val="center"/>
                </w:tcPr>
                <w:p w14:paraId="16E48F4E">
                  <w:pPr>
                    <w:adjustRightInd w:val="0"/>
                    <w:snapToGrid w:val="0"/>
                    <w:spacing w:line="300" w:lineRule="exact"/>
                    <w:jc w:val="center"/>
                    <w:rPr>
                      <w:bCs/>
                      <w:color w:val="auto"/>
                      <w:kern w:val="0"/>
                      <w:szCs w:val="21"/>
                      <w:highlight w:val="none"/>
                    </w:rPr>
                  </w:pPr>
                  <w:r>
                    <w:rPr>
                      <w:bCs/>
                      <w:color w:val="auto"/>
                      <w:kern w:val="0"/>
                      <w:szCs w:val="21"/>
                      <w:highlight w:val="none"/>
                    </w:rPr>
                    <w:t>378</w:t>
                  </w:r>
                </w:p>
              </w:tc>
              <w:tc>
                <w:tcPr>
                  <w:tcW w:w="977" w:type="pct"/>
                  <w:vAlign w:val="center"/>
                </w:tcPr>
                <w:p w14:paraId="36678F12">
                  <w:pPr>
                    <w:adjustRightInd w:val="0"/>
                    <w:snapToGrid w:val="0"/>
                    <w:spacing w:line="300" w:lineRule="exact"/>
                    <w:jc w:val="center"/>
                    <w:rPr>
                      <w:bCs/>
                      <w:color w:val="auto"/>
                      <w:kern w:val="0"/>
                      <w:szCs w:val="21"/>
                      <w:highlight w:val="none"/>
                    </w:rPr>
                  </w:pPr>
                  <w:r>
                    <w:rPr>
                      <w:bCs/>
                      <w:color w:val="auto"/>
                      <w:kern w:val="0"/>
                      <w:szCs w:val="21"/>
                      <w:highlight w:val="none"/>
                    </w:rPr>
                    <w:t>居民，约20人</w:t>
                  </w:r>
                </w:p>
              </w:tc>
              <w:tc>
                <w:tcPr>
                  <w:tcW w:w="510" w:type="pct"/>
                  <w:vMerge w:val="continue"/>
                  <w:vAlign w:val="center"/>
                </w:tcPr>
                <w:p w14:paraId="56C8F5EF">
                  <w:pPr>
                    <w:adjustRightInd w:val="0"/>
                    <w:snapToGrid w:val="0"/>
                    <w:spacing w:line="300" w:lineRule="exact"/>
                    <w:jc w:val="center"/>
                    <w:rPr>
                      <w:bCs/>
                      <w:color w:val="auto"/>
                      <w:kern w:val="0"/>
                      <w:szCs w:val="21"/>
                      <w:highlight w:val="none"/>
                    </w:rPr>
                  </w:pPr>
                </w:p>
              </w:tc>
            </w:tr>
            <w:tr w14:paraId="4E8A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09369846">
                  <w:pPr>
                    <w:adjustRightInd w:val="0"/>
                    <w:snapToGrid w:val="0"/>
                    <w:spacing w:line="300" w:lineRule="exact"/>
                    <w:jc w:val="center"/>
                    <w:rPr>
                      <w:bCs/>
                      <w:color w:val="auto"/>
                      <w:kern w:val="0"/>
                      <w:szCs w:val="21"/>
                      <w:highlight w:val="none"/>
                    </w:rPr>
                  </w:pPr>
                  <w:r>
                    <w:rPr>
                      <w:bCs/>
                      <w:color w:val="auto"/>
                      <w:kern w:val="0"/>
                      <w:szCs w:val="21"/>
                      <w:highlight w:val="none"/>
                    </w:rPr>
                    <w:t>7</w:t>
                  </w:r>
                </w:p>
              </w:tc>
              <w:tc>
                <w:tcPr>
                  <w:tcW w:w="888" w:type="pct"/>
                  <w:vAlign w:val="center"/>
                </w:tcPr>
                <w:p w14:paraId="786CFE4F">
                  <w:pPr>
                    <w:adjustRightInd w:val="0"/>
                    <w:snapToGrid w:val="0"/>
                    <w:spacing w:line="300" w:lineRule="exact"/>
                    <w:jc w:val="center"/>
                    <w:rPr>
                      <w:bCs/>
                      <w:color w:val="auto"/>
                      <w:kern w:val="0"/>
                      <w:szCs w:val="21"/>
                      <w:highlight w:val="none"/>
                    </w:rPr>
                  </w:pPr>
                  <w:r>
                    <w:rPr>
                      <w:bCs/>
                      <w:color w:val="auto"/>
                      <w:kern w:val="0"/>
                      <w:szCs w:val="21"/>
                      <w:highlight w:val="none"/>
                    </w:rPr>
                    <w:t>7#散户居民</w:t>
                  </w:r>
                </w:p>
              </w:tc>
              <w:tc>
                <w:tcPr>
                  <w:tcW w:w="394" w:type="pct"/>
                  <w:vAlign w:val="center"/>
                </w:tcPr>
                <w:p w14:paraId="7B19D1FF">
                  <w:pPr>
                    <w:adjustRightInd w:val="0"/>
                    <w:snapToGrid w:val="0"/>
                    <w:spacing w:line="300" w:lineRule="exact"/>
                    <w:jc w:val="center"/>
                    <w:rPr>
                      <w:bCs/>
                      <w:color w:val="auto"/>
                      <w:kern w:val="0"/>
                      <w:szCs w:val="21"/>
                      <w:highlight w:val="none"/>
                    </w:rPr>
                  </w:pPr>
                  <w:r>
                    <w:rPr>
                      <w:bCs/>
                      <w:color w:val="auto"/>
                      <w:kern w:val="0"/>
                      <w:szCs w:val="21"/>
                      <w:highlight w:val="none"/>
                    </w:rPr>
                    <w:t>-30</w:t>
                  </w:r>
                </w:p>
              </w:tc>
              <w:tc>
                <w:tcPr>
                  <w:tcW w:w="404" w:type="pct"/>
                  <w:vAlign w:val="center"/>
                </w:tcPr>
                <w:p w14:paraId="04597B3C">
                  <w:pPr>
                    <w:adjustRightInd w:val="0"/>
                    <w:snapToGrid w:val="0"/>
                    <w:spacing w:line="300" w:lineRule="exact"/>
                    <w:jc w:val="center"/>
                    <w:rPr>
                      <w:bCs/>
                      <w:color w:val="auto"/>
                      <w:kern w:val="0"/>
                      <w:szCs w:val="21"/>
                      <w:highlight w:val="none"/>
                    </w:rPr>
                  </w:pPr>
                  <w:r>
                    <w:rPr>
                      <w:bCs/>
                      <w:color w:val="auto"/>
                      <w:kern w:val="0"/>
                      <w:szCs w:val="21"/>
                      <w:highlight w:val="none"/>
                    </w:rPr>
                    <w:t>+342</w:t>
                  </w:r>
                </w:p>
              </w:tc>
              <w:tc>
                <w:tcPr>
                  <w:tcW w:w="385" w:type="pct"/>
                  <w:vAlign w:val="center"/>
                </w:tcPr>
                <w:p w14:paraId="23DB44A4">
                  <w:pPr>
                    <w:adjustRightInd w:val="0"/>
                    <w:snapToGrid w:val="0"/>
                    <w:spacing w:line="300" w:lineRule="exact"/>
                    <w:jc w:val="center"/>
                    <w:rPr>
                      <w:bCs/>
                      <w:color w:val="auto"/>
                      <w:kern w:val="0"/>
                      <w:szCs w:val="21"/>
                      <w:highlight w:val="none"/>
                    </w:rPr>
                  </w:pPr>
                  <w:r>
                    <w:rPr>
                      <w:bCs/>
                      <w:color w:val="auto"/>
                      <w:kern w:val="0"/>
                      <w:szCs w:val="21"/>
                      <w:highlight w:val="none"/>
                    </w:rPr>
                    <w:t>N</w:t>
                  </w:r>
                </w:p>
              </w:tc>
              <w:tc>
                <w:tcPr>
                  <w:tcW w:w="1175" w:type="pct"/>
                  <w:vAlign w:val="center"/>
                </w:tcPr>
                <w:p w14:paraId="01539E60">
                  <w:pPr>
                    <w:adjustRightInd w:val="0"/>
                    <w:snapToGrid w:val="0"/>
                    <w:spacing w:line="300" w:lineRule="exact"/>
                    <w:jc w:val="center"/>
                    <w:rPr>
                      <w:bCs/>
                      <w:color w:val="auto"/>
                      <w:kern w:val="0"/>
                      <w:szCs w:val="21"/>
                      <w:highlight w:val="none"/>
                    </w:rPr>
                  </w:pPr>
                  <w:r>
                    <w:rPr>
                      <w:bCs/>
                      <w:color w:val="auto"/>
                      <w:kern w:val="0"/>
                      <w:szCs w:val="21"/>
                      <w:highlight w:val="none"/>
                    </w:rPr>
                    <w:t>307</w:t>
                  </w:r>
                </w:p>
              </w:tc>
              <w:tc>
                <w:tcPr>
                  <w:tcW w:w="977" w:type="pct"/>
                  <w:vAlign w:val="center"/>
                </w:tcPr>
                <w:p w14:paraId="35FF3230">
                  <w:pPr>
                    <w:adjustRightInd w:val="0"/>
                    <w:snapToGrid w:val="0"/>
                    <w:spacing w:line="300" w:lineRule="exact"/>
                    <w:jc w:val="center"/>
                    <w:rPr>
                      <w:bCs/>
                      <w:color w:val="auto"/>
                      <w:kern w:val="0"/>
                      <w:szCs w:val="21"/>
                      <w:highlight w:val="none"/>
                    </w:rPr>
                  </w:pPr>
                  <w:r>
                    <w:rPr>
                      <w:bCs/>
                      <w:color w:val="auto"/>
                      <w:kern w:val="0"/>
                      <w:szCs w:val="21"/>
                      <w:highlight w:val="none"/>
                    </w:rPr>
                    <w:t>居民，约18人</w:t>
                  </w:r>
                </w:p>
              </w:tc>
              <w:tc>
                <w:tcPr>
                  <w:tcW w:w="510" w:type="pct"/>
                  <w:vMerge w:val="continue"/>
                  <w:vAlign w:val="center"/>
                </w:tcPr>
                <w:p w14:paraId="00814AD3">
                  <w:pPr>
                    <w:adjustRightInd w:val="0"/>
                    <w:snapToGrid w:val="0"/>
                    <w:spacing w:line="300" w:lineRule="exact"/>
                    <w:jc w:val="center"/>
                    <w:rPr>
                      <w:bCs/>
                      <w:color w:val="auto"/>
                      <w:kern w:val="0"/>
                      <w:szCs w:val="21"/>
                      <w:highlight w:val="none"/>
                    </w:rPr>
                  </w:pPr>
                </w:p>
              </w:tc>
            </w:tr>
            <w:tr w14:paraId="4FAE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 w:type="pct"/>
                  <w:vAlign w:val="center"/>
                </w:tcPr>
                <w:p w14:paraId="7772820E">
                  <w:pPr>
                    <w:adjustRightInd w:val="0"/>
                    <w:snapToGrid w:val="0"/>
                    <w:spacing w:line="300" w:lineRule="exact"/>
                    <w:jc w:val="center"/>
                    <w:rPr>
                      <w:bCs/>
                      <w:color w:val="auto"/>
                      <w:kern w:val="0"/>
                      <w:szCs w:val="21"/>
                      <w:highlight w:val="none"/>
                    </w:rPr>
                  </w:pPr>
                  <w:r>
                    <w:rPr>
                      <w:bCs/>
                      <w:color w:val="auto"/>
                      <w:kern w:val="0"/>
                      <w:szCs w:val="21"/>
                      <w:highlight w:val="none"/>
                    </w:rPr>
                    <w:t>8</w:t>
                  </w:r>
                </w:p>
              </w:tc>
              <w:tc>
                <w:tcPr>
                  <w:tcW w:w="888" w:type="pct"/>
                  <w:vAlign w:val="center"/>
                </w:tcPr>
                <w:p w14:paraId="5F3C1C12">
                  <w:pPr>
                    <w:adjustRightInd w:val="0"/>
                    <w:snapToGrid w:val="0"/>
                    <w:spacing w:line="300" w:lineRule="exact"/>
                    <w:jc w:val="center"/>
                    <w:rPr>
                      <w:bCs/>
                      <w:color w:val="auto"/>
                      <w:kern w:val="0"/>
                      <w:szCs w:val="21"/>
                      <w:highlight w:val="none"/>
                    </w:rPr>
                  </w:pPr>
                  <w:r>
                    <w:rPr>
                      <w:bCs/>
                      <w:color w:val="auto"/>
                      <w:kern w:val="0"/>
                      <w:szCs w:val="21"/>
                      <w:highlight w:val="none"/>
                    </w:rPr>
                    <w:t>8#散户居民</w:t>
                  </w:r>
                </w:p>
              </w:tc>
              <w:tc>
                <w:tcPr>
                  <w:tcW w:w="394" w:type="pct"/>
                  <w:vAlign w:val="center"/>
                </w:tcPr>
                <w:p w14:paraId="154C3032">
                  <w:pPr>
                    <w:adjustRightInd w:val="0"/>
                    <w:snapToGrid w:val="0"/>
                    <w:spacing w:line="300" w:lineRule="exact"/>
                    <w:jc w:val="center"/>
                    <w:rPr>
                      <w:bCs/>
                      <w:color w:val="auto"/>
                      <w:kern w:val="0"/>
                      <w:szCs w:val="21"/>
                      <w:highlight w:val="none"/>
                    </w:rPr>
                  </w:pPr>
                  <w:r>
                    <w:rPr>
                      <w:bCs/>
                      <w:color w:val="auto"/>
                      <w:kern w:val="0"/>
                      <w:szCs w:val="21"/>
                      <w:highlight w:val="none"/>
                    </w:rPr>
                    <w:t>-198</w:t>
                  </w:r>
                </w:p>
              </w:tc>
              <w:tc>
                <w:tcPr>
                  <w:tcW w:w="404" w:type="pct"/>
                  <w:vAlign w:val="center"/>
                </w:tcPr>
                <w:p w14:paraId="72DDDC0C">
                  <w:pPr>
                    <w:adjustRightInd w:val="0"/>
                    <w:snapToGrid w:val="0"/>
                    <w:spacing w:line="300" w:lineRule="exact"/>
                    <w:jc w:val="center"/>
                    <w:rPr>
                      <w:bCs/>
                      <w:color w:val="auto"/>
                      <w:kern w:val="0"/>
                      <w:szCs w:val="21"/>
                      <w:highlight w:val="none"/>
                    </w:rPr>
                  </w:pPr>
                  <w:r>
                    <w:rPr>
                      <w:bCs/>
                      <w:color w:val="auto"/>
                      <w:kern w:val="0"/>
                      <w:szCs w:val="21"/>
                      <w:highlight w:val="none"/>
                    </w:rPr>
                    <w:t>+342</w:t>
                  </w:r>
                </w:p>
              </w:tc>
              <w:tc>
                <w:tcPr>
                  <w:tcW w:w="385" w:type="pct"/>
                  <w:vAlign w:val="center"/>
                </w:tcPr>
                <w:p w14:paraId="133D492B">
                  <w:pPr>
                    <w:adjustRightInd w:val="0"/>
                    <w:snapToGrid w:val="0"/>
                    <w:spacing w:line="300" w:lineRule="exact"/>
                    <w:jc w:val="center"/>
                    <w:rPr>
                      <w:bCs/>
                      <w:color w:val="auto"/>
                      <w:kern w:val="0"/>
                      <w:szCs w:val="21"/>
                      <w:highlight w:val="none"/>
                    </w:rPr>
                  </w:pPr>
                  <w:r>
                    <w:rPr>
                      <w:bCs/>
                      <w:color w:val="auto"/>
                      <w:kern w:val="0"/>
                      <w:szCs w:val="21"/>
                      <w:highlight w:val="none"/>
                    </w:rPr>
                    <w:t>NW</w:t>
                  </w:r>
                </w:p>
              </w:tc>
              <w:tc>
                <w:tcPr>
                  <w:tcW w:w="1175" w:type="pct"/>
                  <w:vAlign w:val="center"/>
                </w:tcPr>
                <w:p w14:paraId="2AA9FEDB">
                  <w:pPr>
                    <w:adjustRightInd w:val="0"/>
                    <w:snapToGrid w:val="0"/>
                    <w:spacing w:line="300" w:lineRule="exact"/>
                    <w:jc w:val="center"/>
                    <w:rPr>
                      <w:bCs/>
                      <w:color w:val="auto"/>
                      <w:kern w:val="0"/>
                      <w:szCs w:val="21"/>
                      <w:highlight w:val="none"/>
                    </w:rPr>
                  </w:pPr>
                  <w:r>
                    <w:rPr>
                      <w:bCs/>
                      <w:color w:val="auto"/>
                      <w:kern w:val="0"/>
                      <w:szCs w:val="21"/>
                      <w:highlight w:val="none"/>
                    </w:rPr>
                    <w:t>309</w:t>
                  </w:r>
                </w:p>
              </w:tc>
              <w:tc>
                <w:tcPr>
                  <w:tcW w:w="977" w:type="pct"/>
                  <w:vAlign w:val="center"/>
                </w:tcPr>
                <w:p w14:paraId="24EDFC43">
                  <w:pPr>
                    <w:adjustRightInd w:val="0"/>
                    <w:snapToGrid w:val="0"/>
                    <w:spacing w:line="300" w:lineRule="exact"/>
                    <w:jc w:val="center"/>
                    <w:rPr>
                      <w:bCs/>
                      <w:color w:val="auto"/>
                      <w:kern w:val="0"/>
                      <w:szCs w:val="21"/>
                      <w:highlight w:val="none"/>
                    </w:rPr>
                  </w:pPr>
                  <w:r>
                    <w:rPr>
                      <w:bCs/>
                      <w:color w:val="auto"/>
                      <w:kern w:val="0"/>
                      <w:szCs w:val="21"/>
                      <w:highlight w:val="none"/>
                    </w:rPr>
                    <w:t>居民，约30人</w:t>
                  </w:r>
                </w:p>
              </w:tc>
              <w:tc>
                <w:tcPr>
                  <w:tcW w:w="510" w:type="pct"/>
                  <w:vMerge w:val="continue"/>
                  <w:vAlign w:val="center"/>
                </w:tcPr>
                <w:p w14:paraId="13870169">
                  <w:pPr>
                    <w:adjustRightInd w:val="0"/>
                    <w:snapToGrid w:val="0"/>
                    <w:spacing w:line="300" w:lineRule="exact"/>
                    <w:jc w:val="center"/>
                    <w:rPr>
                      <w:bCs/>
                      <w:color w:val="auto"/>
                      <w:kern w:val="0"/>
                      <w:szCs w:val="21"/>
                      <w:highlight w:val="none"/>
                    </w:rPr>
                  </w:pPr>
                </w:p>
              </w:tc>
            </w:tr>
            <w:tr w14:paraId="5EA7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770719AA">
                  <w:pPr>
                    <w:adjustRightInd w:val="0"/>
                    <w:snapToGrid w:val="0"/>
                    <w:spacing w:line="300" w:lineRule="exact"/>
                    <w:jc w:val="center"/>
                    <w:rPr>
                      <w:bCs/>
                      <w:color w:val="auto"/>
                      <w:kern w:val="0"/>
                      <w:szCs w:val="21"/>
                      <w:highlight w:val="none"/>
                    </w:rPr>
                  </w:pPr>
                  <w:r>
                    <w:rPr>
                      <w:bCs/>
                      <w:color w:val="auto"/>
                      <w:kern w:val="0"/>
                      <w:szCs w:val="21"/>
                      <w:highlight w:val="none"/>
                    </w:rPr>
                    <w:t>9</w:t>
                  </w:r>
                </w:p>
              </w:tc>
              <w:tc>
                <w:tcPr>
                  <w:tcW w:w="888" w:type="pct"/>
                  <w:vAlign w:val="center"/>
                </w:tcPr>
                <w:p w14:paraId="09862479">
                  <w:pPr>
                    <w:adjustRightInd w:val="0"/>
                    <w:snapToGrid w:val="0"/>
                    <w:spacing w:line="300" w:lineRule="exact"/>
                    <w:jc w:val="center"/>
                    <w:rPr>
                      <w:bCs/>
                      <w:color w:val="auto"/>
                      <w:kern w:val="0"/>
                      <w:szCs w:val="21"/>
                      <w:highlight w:val="none"/>
                    </w:rPr>
                  </w:pPr>
                  <w:r>
                    <w:rPr>
                      <w:bCs/>
                      <w:color w:val="auto"/>
                      <w:kern w:val="0"/>
                      <w:szCs w:val="21"/>
                      <w:highlight w:val="none"/>
                    </w:rPr>
                    <w:t>9#散户居民</w:t>
                  </w:r>
                </w:p>
              </w:tc>
              <w:tc>
                <w:tcPr>
                  <w:tcW w:w="394" w:type="pct"/>
                  <w:vAlign w:val="center"/>
                </w:tcPr>
                <w:p w14:paraId="4D8784C3">
                  <w:pPr>
                    <w:adjustRightInd w:val="0"/>
                    <w:snapToGrid w:val="0"/>
                    <w:spacing w:line="300" w:lineRule="exact"/>
                    <w:jc w:val="center"/>
                    <w:rPr>
                      <w:bCs/>
                      <w:color w:val="auto"/>
                      <w:kern w:val="0"/>
                      <w:szCs w:val="21"/>
                      <w:highlight w:val="none"/>
                    </w:rPr>
                  </w:pPr>
                  <w:r>
                    <w:rPr>
                      <w:bCs/>
                      <w:color w:val="auto"/>
                      <w:kern w:val="0"/>
                      <w:szCs w:val="21"/>
                      <w:highlight w:val="none"/>
                    </w:rPr>
                    <w:t>-170</w:t>
                  </w:r>
                </w:p>
              </w:tc>
              <w:tc>
                <w:tcPr>
                  <w:tcW w:w="404" w:type="pct"/>
                  <w:vAlign w:val="center"/>
                </w:tcPr>
                <w:p w14:paraId="61442823">
                  <w:pPr>
                    <w:adjustRightInd w:val="0"/>
                    <w:snapToGrid w:val="0"/>
                    <w:spacing w:line="300" w:lineRule="exact"/>
                    <w:jc w:val="center"/>
                    <w:rPr>
                      <w:bCs/>
                      <w:color w:val="auto"/>
                      <w:kern w:val="0"/>
                      <w:szCs w:val="21"/>
                      <w:highlight w:val="none"/>
                    </w:rPr>
                  </w:pPr>
                  <w:r>
                    <w:rPr>
                      <w:bCs/>
                      <w:color w:val="auto"/>
                      <w:kern w:val="0"/>
                      <w:szCs w:val="21"/>
                      <w:highlight w:val="none"/>
                    </w:rPr>
                    <w:t>+419</w:t>
                  </w:r>
                </w:p>
              </w:tc>
              <w:tc>
                <w:tcPr>
                  <w:tcW w:w="385" w:type="pct"/>
                  <w:vAlign w:val="center"/>
                </w:tcPr>
                <w:p w14:paraId="2FD9BE7B">
                  <w:pPr>
                    <w:adjustRightInd w:val="0"/>
                    <w:snapToGrid w:val="0"/>
                    <w:spacing w:line="300" w:lineRule="exact"/>
                    <w:jc w:val="center"/>
                    <w:rPr>
                      <w:bCs/>
                      <w:color w:val="auto"/>
                      <w:kern w:val="0"/>
                      <w:szCs w:val="21"/>
                      <w:highlight w:val="none"/>
                    </w:rPr>
                  </w:pPr>
                  <w:r>
                    <w:rPr>
                      <w:bCs/>
                      <w:color w:val="auto"/>
                      <w:kern w:val="0"/>
                      <w:szCs w:val="21"/>
                      <w:highlight w:val="none"/>
                    </w:rPr>
                    <w:t>NW</w:t>
                  </w:r>
                </w:p>
              </w:tc>
              <w:tc>
                <w:tcPr>
                  <w:tcW w:w="1175" w:type="pct"/>
                  <w:vAlign w:val="center"/>
                </w:tcPr>
                <w:p w14:paraId="50809E1D">
                  <w:pPr>
                    <w:adjustRightInd w:val="0"/>
                    <w:snapToGrid w:val="0"/>
                    <w:spacing w:line="300" w:lineRule="exact"/>
                    <w:jc w:val="center"/>
                    <w:rPr>
                      <w:bCs/>
                      <w:color w:val="auto"/>
                      <w:kern w:val="0"/>
                      <w:szCs w:val="21"/>
                      <w:highlight w:val="none"/>
                    </w:rPr>
                  </w:pPr>
                  <w:r>
                    <w:rPr>
                      <w:bCs/>
                      <w:color w:val="auto"/>
                      <w:kern w:val="0"/>
                      <w:szCs w:val="21"/>
                      <w:highlight w:val="none"/>
                    </w:rPr>
                    <w:t>435</w:t>
                  </w:r>
                </w:p>
              </w:tc>
              <w:tc>
                <w:tcPr>
                  <w:tcW w:w="977" w:type="pct"/>
                  <w:vAlign w:val="center"/>
                </w:tcPr>
                <w:p w14:paraId="112B2F71">
                  <w:pPr>
                    <w:adjustRightInd w:val="0"/>
                    <w:snapToGrid w:val="0"/>
                    <w:spacing w:line="300" w:lineRule="exact"/>
                    <w:jc w:val="center"/>
                    <w:rPr>
                      <w:bCs/>
                      <w:color w:val="auto"/>
                      <w:kern w:val="0"/>
                      <w:szCs w:val="21"/>
                      <w:highlight w:val="none"/>
                    </w:rPr>
                  </w:pPr>
                  <w:r>
                    <w:rPr>
                      <w:bCs/>
                      <w:color w:val="auto"/>
                      <w:kern w:val="0"/>
                      <w:szCs w:val="21"/>
                      <w:highlight w:val="none"/>
                    </w:rPr>
                    <w:t>居民，约6人</w:t>
                  </w:r>
                </w:p>
              </w:tc>
              <w:tc>
                <w:tcPr>
                  <w:tcW w:w="510" w:type="pct"/>
                  <w:vMerge w:val="continue"/>
                  <w:vAlign w:val="center"/>
                </w:tcPr>
                <w:p w14:paraId="03C1D005">
                  <w:pPr>
                    <w:adjustRightInd w:val="0"/>
                    <w:snapToGrid w:val="0"/>
                    <w:spacing w:line="300" w:lineRule="exact"/>
                    <w:jc w:val="center"/>
                    <w:rPr>
                      <w:bCs/>
                      <w:color w:val="auto"/>
                      <w:kern w:val="0"/>
                      <w:szCs w:val="21"/>
                      <w:highlight w:val="none"/>
                    </w:rPr>
                  </w:pPr>
                </w:p>
              </w:tc>
            </w:tr>
            <w:tr w14:paraId="2895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 w:type="pct"/>
                  <w:vAlign w:val="center"/>
                </w:tcPr>
                <w:p w14:paraId="3630922B">
                  <w:pPr>
                    <w:adjustRightInd w:val="0"/>
                    <w:snapToGrid w:val="0"/>
                    <w:spacing w:line="300" w:lineRule="exact"/>
                    <w:jc w:val="center"/>
                    <w:rPr>
                      <w:bCs/>
                      <w:color w:val="auto"/>
                      <w:kern w:val="0"/>
                      <w:szCs w:val="21"/>
                      <w:highlight w:val="none"/>
                    </w:rPr>
                  </w:pPr>
                  <w:r>
                    <w:rPr>
                      <w:bCs/>
                      <w:color w:val="auto"/>
                      <w:kern w:val="0"/>
                      <w:szCs w:val="21"/>
                      <w:highlight w:val="none"/>
                    </w:rPr>
                    <w:t>10</w:t>
                  </w:r>
                </w:p>
              </w:tc>
              <w:tc>
                <w:tcPr>
                  <w:tcW w:w="888" w:type="pct"/>
                  <w:vAlign w:val="center"/>
                </w:tcPr>
                <w:p w14:paraId="0AF09536">
                  <w:pPr>
                    <w:adjustRightInd w:val="0"/>
                    <w:snapToGrid w:val="0"/>
                    <w:spacing w:line="300" w:lineRule="exact"/>
                    <w:jc w:val="center"/>
                    <w:rPr>
                      <w:bCs/>
                      <w:color w:val="auto"/>
                      <w:kern w:val="0"/>
                      <w:szCs w:val="21"/>
                      <w:highlight w:val="none"/>
                    </w:rPr>
                  </w:pPr>
                  <w:r>
                    <w:rPr>
                      <w:bCs/>
                      <w:color w:val="auto"/>
                      <w:kern w:val="0"/>
                      <w:szCs w:val="21"/>
                      <w:highlight w:val="none"/>
                    </w:rPr>
                    <w:t>10#散户居民</w:t>
                  </w:r>
                </w:p>
              </w:tc>
              <w:tc>
                <w:tcPr>
                  <w:tcW w:w="394" w:type="pct"/>
                  <w:vAlign w:val="center"/>
                </w:tcPr>
                <w:p w14:paraId="1F9BF347">
                  <w:pPr>
                    <w:adjustRightInd w:val="0"/>
                    <w:snapToGrid w:val="0"/>
                    <w:spacing w:line="300" w:lineRule="exact"/>
                    <w:jc w:val="center"/>
                    <w:rPr>
                      <w:bCs/>
                      <w:color w:val="auto"/>
                      <w:kern w:val="0"/>
                      <w:szCs w:val="21"/>
                      <w:highlight w:val="none"/>
                    </w:rPr>
                  </w:pPr>
                  <w:r>
                    <w:rPr>
                      <w:bCs/>
                      <w:color w:val="auto"/>
                      <w:kern w:val="0"/>
                      <w:szCs w:val="21"/>
                      <w:highlight w:val="none"/>
                    </w:rPr>
                    <w:t>+3</w:t>
                  </w:r>
                </w:p>
              </w:tc>
              <w:tc>
                <w:tcPr>
                  <w:tcW w:w="404" w:type="pct"/>
                  <w:vAlign w:val="center"/>
                </w:tcPr>
                <w:p w14:paraId="21B5CDB1">
                  <w:pPr>
                    <w:adjustRightInd w:val="0"/>
                    <w:snapToGrid w:val="0"/>
                    <w:spacing w:line="300" w:lineRule="exact"/>
                    <w:jc w:val="center"/>
                    <w:rPr>
                      <w:bCs/>
                      <w:color w:val="auto"/>
                      <w:kern w:val="0"/>
                      <w:szCs w:val="21"/>
                      <w:highlight w:val="none"/>
                    </w:rPr>
                  </w:pPr>
                  <w:r>
                    <w:rPr>
                      <w:bCs/>
                      <w:color w:val="auto"/>
                      <w:kern w:val="0"/>
                      <w:szCs w:val="21"/>
                      <w:highlight w:val="none"/>
                    </w:rPr>
                    <w:t>+555</w:t>
                  </w:r>
                </w:p>
              </w:tc>
              <w:tc>
                <w:tcPr>
                  <w:tcW w:w="385" w:type="pct"/>
                  <w:vAlign w:val="center"/>
                </w:tcPr>
                <w:p w14:paraId="2A86E9EF">
                  <w:pPr>
                    <w:adjustRightInd w:val="0"/>
                    <w:snapToGrid w:val="0"/>
                    <w:spacing w:line="300" w:lineRule="exact"/>
                    <w:jc w:val="center"/>
                    <w:rPr>
                      <w:bCs/>
                      <w:color w:val="auto"/>
                      <w:kern w:val="0"/>
                      <w:szCs w:val="21"/>
                      <w:highlight w:val="none"/>
                    </w:rPr>
                  </w:pPr>
                  <w:r>
                    <w:rPr>
                      <w:bCs/>
                      <w:color w:val="auto"/>
                      <w:kern w:val="0"/>
                      <w:szCs w:val="21"/>
                      <w:highlight w:val="none"/>
                    </w:rPr>
                    <w:t>N</w:t>
                  </w:r>
                </w:p>
              </w:tc>
              <w:tc>
                <w:tcPr>
                  <w:tcW w:w="1175" w:type="pct"/>
                  <w:vAlign w:val="center"/>
                </w:tcPr>
                <w:p w14:paraId="0A3188FF">
                  <w:pPr>
                    <w:adjustRightInd w:val="0"/>
                    <w:snapToGrid w:val="0"/>
                    <w:spacing w:line="300" w:lineRule="exact"/>
                    <w:jc w:val="center"/>
                    <w:rPr>
                      <w:bCs/>
                      <w:color w:val="auto"/>
                      <w:kern w:val="0"/>
                      <w:szCs w:val="21"/>
                      <w:highlight w:val="none"/>
                    </w:rPr>
                  </w:pPr>
                  <w:r>
                    <w:rPr>
                      <w:bCs/>
                      <w:color w:val="auto"/>
                      <w:kern w:val="0"/>
                      <w:szCs w:val="21"/>
                      <w:highlight w:val="none"/>
                    </w:rPr>
                    <w:t>517</w:t>
                  </w:r>
                </w:p>
              </w:tc>
              <w:tc>
                <w:tcPr>
                  <w:tcW w:w="977" w:type="pct"/>
                  <w:vAlign w:val="center"/>
                </w:tcPr>
                <w:p w14:paraId="4D6E3946">
                  <w:pPr>
                    <w:adjustRightInd w:val="0"/>
                    <w:snapToGrid w:val="0"/>
                    <w:spacing w:line="300" w:lineRule="exact"/>
                    <w:jc w:val="center"/>
                    <w:rPr>
                      <w:bCs/>
                      <w:color w:val="auto"/>
                      <w:kern w:val="0"/>
                      <w:szCs w:val="21"/>
                      <w:highlight w:val="none"/>
                    </w:rPr>
                  </w:pPr>
                  <w:r>
                    <w:rPr>
                      <w:bCs/>
                      <w:color w:val="auto"/>
                      <w:kern w:val="0"/>
                      <w:szCs w:val="21"/>
                      <w:highlight w:val="none"/>
                    </w:rPr>
                    <w:t>居民，约12人</w:t>
                  </w:r>
                </w:p>
              </w:tc>
              <w:tc>
                <w:tcPr>
                  <w:tcW w:w="510" w:type="pct"/>
                  <w:vMerge w:val="continue"/>
                  <w:vAlign w:val="center"/>
                </w:tcPr>
                <w:p w14:paraId="2A2215B2">
                  <w:pPr>
                    <w:adjustRightInd w:val="0"/>
                    <w:snapToGrid w:val="0"/>
                    <w:spacing w:line="300" w:lineRule="exact"/>
                    <w:jc w:val="center"/>
                    <w:rPr>
                      <w:bCs/>
                      <w:color w:val="auto"/>
                      <w:kern w:val="0"/>
                      <w:szCs w:val="21"/>
                      <w:highlight w:val="none"/>
                    </w:rPr>
                  </w:pPr>
                </w:p>
              </w:tc>
            </w:tr>
            <w:tr w14:paraId="41AE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1D454A16">
                  <w:pPr>
                    <w:adjustRightInd w:val="0"/>
                    <w:snapToGrid w:val="0"/>
                    <w:spacing w:line="300" w:lineRule="exact"/>
                    <w:jc w:val="center"/>
                    <w:rPr>
                      <w:bCs/>
                      <w:color w:val="auto"/>
                      <w:kern w:val="0"/>
                      <w:szCs w:val="21"/>
                      <w:highlight w:val="none"/>
                    </w:rPr>
                  </w:pPr>
                  <w:r>
                    <w:rPr>
                      <w:bCs/>
                      <w:color w:val="auto"/>
                      <w:kern w:val="0"/>
                      <w:szCs w:val="21"/>
                      <w:highlight w:val="none"/>
                    </w:rPr>
                    <w:t>11</w:t>
                  </w:r>
                </w:p>
              </w:tc>
              <w:tc>
                <w:tcPr>
                  <w:tcW w:w="888" w:type="pct"/>
                  <w:vAlign w:val="center"/>
                </w:tcPr>
                <w:p w14:paraId="36048F8A">
                  <w:pPr>
                    <w:adjustRightInd w:val="0"/>
                    <w:snapToGrid w:val="0"/>
                    <w:spacing w:line="300" w:lineRule="exact"/>
                    <w:jc w:val="center"/>
                    <w:rPr>
                      <w:bCs/>
                      <w:color w:val="auto"/>
                      <w:kern w:val="0"/>
                      <w:szCs w:val="21"/>
                      <w:highlight w:val="none"/>
                    </w:rPr>
                  </w:pPr>
                  <w:r>
                    <w:rPr>
                      <w:bCs/>
                      <w:color w:val="auto"/>
                      <w:kern w:val="0"/>
                      <w:szCs w:val="21"/>
                      <w:highlight w:val="none"/>
                    </w:rPr>
                    <w:t>11#散户居民</w:t>
                  </w:r>
                </w:p>
              </w:tc>
              <w:tc>
                <w:tcPr>
                  <w:tcW w:w="394" w:type="pct"/>
                  <w:vAlign w:val="center"/>
                </w:tcPr>
                <w:p w14:paraId="5C5BCCD2">
                  <w:pPr>
                    <w:adjustRightInd w:val="0"/>
                    <w:snapToGrid w:val="0"/>
                    <w:spacing w:line="300" w:lineRule="exact"/>
                    <w:jc w:val="center"/>
                    <w:rPr>
                      <w:bCs/>
                      <w:color w:val="auto"/>
                      <w:kern w:val="0"/>
                      <w:szCs w:val="21"/>
                      <w:highlight w:val="none"/>
                    </w:rPr>
                  </w:pPr>
                  <w:r>
                    <w:rPr>
                      <w:bCs/>
                      <w:color w:val="auto"/>
                      <w:kern w:val="0"/>
                      <w:szCs w:val="21"/>
                      <w:highlight w:val="none"/>
                    </w:rPr>
                    <w:t>-357</w:t>
                  </w:r>
                </w:p>
              </w:tc>
              <w:tc>
                <w:tcPr>
                  <w:tcW w:w="404" w:type="pct"/>
                  <w:vAlign w:val="center"/>
                </w:tcPr>
                <w:p w14:paraId="414EADB1">
                  <w:pPr>
                    <w:adjustRightInd w:val="0"/>
                    <w:snapToGrid w:val="0"/>
                    <w:spacing w:line="300" w:lineRule="exact"/>
                    <w:jc w:val="center"/>
                    <w:rPr>
                      <w:bCs/>
                      <w:color w:val="auto"/>
                      <w:kern w:val="0"/>
                      <w:szCs w:val="21"/>
                      <w:highlight w:val="none"/>
                    </w:rPr>
                  </w:pPr>
                  <w:r>
                    <w:rPr>
                      <w:bCs/>
                      <w:color w:val="auto"/>
                      <w:kern w:val="0"/>
                      <w:szCs w:val="21"/>
                      <w:highlight w:val="none"/>
                    </w:rPr>
                    <w:t>+261</w:t>
                  </w:r>
                </w:p>
              </w:tc>
              <w:tc>
                <w:tcPr>
                  <w:tcW w:w="385" w:type="pct"/>
                  <w:vAlign w:val="center"/>
                </w:tcPr>
                <w:p w14:paraId="5F89E622">
                  <w:pPr>
                    <w:adjustRightInd w:val="0"/>
                    <w:snapToGrid w:val="0"/>
                    <w:spacing w:line="300" w:lineRule="exact"/>
                    <w:jc w:val="center"/>
                    <w:rPr>
                      <w:bCs/>
                      <w:color w:val="auto"/>
                      <w:kern w:val="0"/>
                      <w:szCs w:val="21"/>
                      <w:highlight w:val="none"/>
                    </w:rPr>
                  </w:pPr>
                  <w:r>
                    <w:rPr>
                      <w:bCs/>
                      <w:color w:val="auto"/>
                      <w:kern w:val="0"/>
                      <w:szCs w:val="21"/>
                      <w:highlight w:val="none"/>
                    </w:rPr>
                    <w:t>NW</w:t>
                  </w:r>
                </w:p>
              </w:tc>
              <w:tc>
                <w:tcPr>
                  <w:tcW w:w="1175" w:type="pct"/>
                  <w:vAlign w:val="center"/>
                </w:tcPr>
                <w:p w14:paraId="5CCDCA42">
                  <w:pPr>
                    <w:adjustRightInd w:val="0"/>
                    <w:snapToGrid w:val="0"/>
                    <w:spacing w:line="300" w:lineRule="exact"/>
                    <w:jc w:val="center"/>
                    <w:rPr>
                      <w:bCs/>
                      <w:color w:val="auto"/>
                      <w:kern w:val="0"/>
                      <w:szCs w:val="21"/>
                      <w:highlight w:val="none"/>
                    </w:rPr>
                  </w:pPr>
                  <w:r>
                    <w:rPr>
                      <w:bCs/>
                      <w:color w:val="auto"/>
                      <w:kern w:val="0"/>
                      <w:szCs w:val="21"/>
                      <w:highlight w:val="none"/>
                    </w:rPr>
                    <w:t>237</w:t>
                  </w:r>
                </w:p>
              </w:tc>
              <w:tc>
                <w:tcPr>
                  <w:tcW w:w="977" w:type="pct"/>
                  <w:vAlign w:val="center"/>
                </w:tcPr>
                <w:p w14:paraId="514F8B6A">
                  <w:pPr>
                    <w:adjustRightInd w:val="0"/>
                    <w:snapToGrid w:val="0"/>
                    <w:spacing w:line="300" w:lineRule="exact"/>
                    <w:jc w:val="center"/>
                    <w:rPr>
                      <w:bCs/>
                      <w:color w:val="auto"/>
                      <w:kern w:val="0"/>
                      <w:szCs w:val="21"/>
                      <w:highlight w:val="none"/>
                    </w:rPr>
                  </w:pPr>
                  <w:r>
                    <w:rPr>
                      <w:bCs/>
                      <w:color w:val="auto"/>
                      <w:kern w:val="0"/>
                      <w:szCs w:val="21"/>
                      <w:highlight w:val="none"/>
                    </w:rPr>
                    <w:t>居民，约120人</w:t>
                  </w:r>
                </w:p>
              </w:tc>
              <w:tc>
                <w:tcPr>
                  <w:tcW w:w="510" w:type="pct"/>
                  <w:vMerge w:val="continue"/>
                  <w:vAlign w:val="center"/>
                </w:tcPr>
                <w:p w14:paraId="79916D8F">
                  <w:pPr>
                    <w:adjustRightInd w:val="0"/>
                    <w:snapToGrid w:val="0"/>
                    <w:spacing w:line="300" w:lineRule="exact"/>
                    <w:jc w:val="center"/>
                    <w:rPr>
                      <w:bCs/>
                      <w:color w:val="auto"/>
                      <w:kern w:val="0"/>
                      <w:szCs w:val="21"/>
                      <w:highlight w:val="none"/>
                    </w:rPr>
                  </w:pPr>
                </w:p>
              </w:tc>
            </w:tr>
            <w:tr w14:paraId="1119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25263928">
                  <w:pPr>
                    <w:adjustRightInd w:val="0"/>
                    <w:snapToGrid w:val="0"/>
                    <w:spacing w:line="300" w:lineRule="exact"/>
                    <w:jc w:val="center"/>
                    <w:rPr>
                      <w:bCs/>
                      <w:color w:val="auto"/>
                      <w:kern w:val="0"/>
                      <w:szCs w:val="21"/>
                      <w:highlight w:val="none"/>
                    </w:rPr>
                  </w:pPr>
                  <w:r>
                    <w:rPr>
                      <w:bCs/>
                      <w:color w:val="auto"/>
                      <w:kern w:val="0"/>
                      <w:szCs w:val="21"/>
                      <w:highlight w:val="none"/>
                    </w:rPr>
                    <w:t>12</w:t>
                  </w:r>
                </w:p>
              </w:tc>
              <w:tc>
                <w:tcPr>
                  <w:tcW w:w="888" w:type="pct"/>
                  <w:vAlign w:val="center"/>
                </w:tcPr>
                <w:p w14:paraId="7A5E949C">
                  <w:pPr>
                    <w:adjustRightInd w:val="0"/>
                    <w:snapToGrid w:val="0"/>
                    <w:spacing w:line="300" w:lineRule="exact"/>
                    <w:jc w:val="center"/>
                    <w:rPr>
                      <w:bCs/>
                      <w:color w:val="auto"/>
                      <w:kern w:val="0"/>
                      <w:szCs w:val="21"/>
                      <w:highlight w:val="none"/>
                    </w:rPr>
                  </w:pPr>
                  <w:r>
                    <w:rPr>
                      <w:bCs/>
                      <w:color w:val="auto"/>
                      <w:kern w:val="0"/>
                      <w:szCs w:val="21"/>
                      <w:highlight w:val="none"/>
                    </w:rPr>
                    <w:t>12#散户居民</w:t>
                  </w:r>
                </w:p>
              </w:tc>
              <w:tc>
                <w:tcPr>
                  <w:tcW w:w="394" w:type="pct"/>
                  <w:vAlign w:val="center"/>
                </w:tcPr>
                <w:p w14:paraId="3326CF74">
                  <w:pPr>
                    <w:adjustRightInd w:val="0"/>
                    <w:snapToGrid w:val="0"/>
                    <w:spacing w:line="300" w:lineRule="exact"/>
                    <w:jc w:val="center"/>
                    <w:rPr>
                      <w:bCs/>
                      <w:color w:val="auto"/>
                      <w:kern w:val="0"/>
                      <w:szCs w:val="21"/>
                      <w:highlight w:val="none"/>
                    </w:rPr>
                  </w:pPr>
                  <w:r>
                    <w:rPr>
                      <w:bCs/>
                      <w:color w:val="auto"/>
                      <w:kern w:val="0"/>
                      <w:szCs w:val="21"/>
                      <w:highlight w:val="none"/>
                    </w:rPr>
                    <w:t>-496</w:t>
                  </w:r>
                </w:p>
              </w:tc>
              <w:tc>
                <w:tcPr>
                  <w:tcW w:w="404" w:type="pct"/>
                  <w:vAlign w:val="center"/>
                </w:tcPr>
                <w:p w14:paraId="5B4D0354">
                  <w:pPr>
                    <w:adjustRightInd w:val="0"/>
                    <w:snapToGrid w:val="0"/>
                    <w:spacing w:line="300" w:lineRule="exact"/>
                    <w:jc w:val="center"/>
                    <w:rPr>
                      <w:bCs/>
                      <w:color w:val="auto"/>
                      <w:kern w:val="0"/>
                      <w:szCs w:val="21"/>
                      <w:highlight w:val="none"/>
                    </w:rPr>
                  </w:pPr>
                  <w:r>
                    <w:rPr>
                      <w:bCs/>
                      <w:color w:val="auto"/>
                      <w:kern w:val="0"/>
                      <w:szCs w:val="21"/>
                      <w:highlight w:val="none"/>
                    </w:rPr>
                    <w:t>+42</w:t>
                  </w:r>
                </w:p>
              </w:tc>
              <w:tc>
                <w:tcPr>
                  <w:tcW w:w="385" w:type="pct"/>
                  <w:vAlign w:val="center"/>
                </w:tcPr>
                <w:p w14:paraId="3F4A9027">
                  <w:pPr>
                    <w:adjustRightInd w:val="0"/>
                    <w:snapToGrid w:val="0"/>
                    <w:spacing w:line="300" w:lineRule="exact"/>
                    <w:jc w:val="center"/>
                    <w:rPr>
                      <w:bCs/>
                      <w:color w:val="auto"/>
                      <w:kern w:val="0"/>
                      <w:szCs w:val="21"/>
                      <w:highlight w:val="none"/>
                    </w:rPr>
                  </w:pPr>
                  <w:r>
                    <w:rPr>
                      <w:bCs/>
                      <w:color w:val="auto"/>
                      <w:kern w:val="0"/>
                      <w:szCs w:val="21"/>
                      <w:highlight w:val="none"/>
                    </w:rPr>
                    <w:t>W</w:t>
                  </w:r>
                </w:p>
              </w:tc>
              <w:tc>
                <w:tcPr>
                  <w:tcW w:w="1175" w:type="pct"/>
                  <w:vAlign w:val="center"/>
                </w:tcPr>
                <w:p w14:paraId="3DFDD9BA">
                  <w:pPr>
                    <w:adjustRightInd w:val="0"/>
                    <w:snapToGrid w:val="0"/>
                    <w:spacing w:line="300" w:lineRule="exact"/>
                    <w:jc w:val="center"/>
                    <w:rPr>
                      <w:bCs/>
                      <w:color w:val="auto"/>
                      <w:kern w:val="0"/>
                      <w:szCs w:val="21"/>
                      <w:highlight w:val="none"/>
                    </w:rPr>
                  </w:pPr>
                  <w:r>
                    <w:rPr>
                      <w:bCs/>
                      <w:color w:val="auto"/>
                      <w:kern w:val="0"/>
                      <w:szCs w:val="21"/>
                      <w:highlight w:val="none"/>
                    </w:rPr>
                    <w:t>430</w:t>
                  </w:r>
                </w:p>
              </w:tc>
              <w:tc>
                <w:tcPr>
                  <w:tcW w:w="977" w:type="pct"/>
                  <w:vAlign w:val="center"/>
                </w:tcPr>
                <w:p w14:paraId="236B75B9">
                  <w:pPr>
                    <w:adjustRightInd w:val="0"/>
                    <w:snapToGrid w:val="0"/>
                    <w:spacing w:line="300" w:lineRule="exact"/>
                    <w:jc w:val="center"/>
                    <w:rPr>
                      <w:bCs/>
                      <w:color w:val="auto"/>
                      <w:kern w:val="0"/>
                      <w:szCs w:val="21"/>
                      <w:highlight w:val="none"/>
                    </w:rPr>
                  </w:pPr>
                  <w:r>
                    <w:rPr>
                      <w:bCs/>
                      <w:color w:val="auto"/>
                      <w:kern w:val="0"/>
                      <w:szCs w:val="21"/>
                      <w:highlight w:val="none"/>
                    </w:rPr>
                    <w:t>居民，约36人</w:t>
                  </w:r>
                </w:p>
              </w:tc>
              <w:tc>
                <w:tcPr>
                  <w:tcW w:w="510" w:type="pct"/>
                  <w:vMerge w:val="continue"/>
                  <w:vAlign w:val="center"/>
                </w:tcPr>
                <w:p w14:paraId="51FB4A24">
                  <w:pPr>
                    <w:adjustRightInd w:val="0"/>
                    <w:snapToGrid w:val="0"/>
                    <w:spacing w:line="300" w:lineRule="exact"/>
                    <w:jc w:val="center"/>
                    <w:rPr>
                      <w:bCs/>
                      <w:color w:val="auto"/>
                      <w:kern w:val="0"/>
                      <w:szCs w:val="21"/>
                      <w:highlight w:val="none"/>
                    </w:rPr>
                  </w:pPr>
                </w:p>
              </w:tc>
            </w:tr>
            <w:tr w14:paraId="5D3E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6896520B">
                  <w:pPr>
                    <w:adjustRightInd w:val="0"/>
                    <w:snapToGrid w:val="0"/>
                    <w:spacing w:line="300" w:lineRule="exact"/>
                    <w:jc w:val="center"/>
                    <w:rPr>
                      <w:bCs/>
                      <w:color w:val="auto"/>
                      <w:kern w:val="0"/>
                      <w:szCs w:val="21"/>
                      <w:highlight w:val="none"/>
                    </w:rPr>
                  </w:pPr>
                  <w:r>
                    <w:rPr>
                      <w:bCs/>
                      <w:color w:val="auto"/>
                      <w:kern w:val="0"/>
                      <w:szCs w:val="21"/>
                      <w:highlight w:val="none"/>
                    </w:rPr>
                    <w:t>13</w:t>
                  </w:r>
                </w:p>
              </w:tc>
              <w:tc>
                <w:tcPr>
                  <w:tcW w:w="888" w:type="pct"/>
                  <w:vAlign w:val="center"/>
                </w:tcPr>
                <w:p w14:paraId="71277283">
                  <w:pPr>
                    <w:adjustRightInd w:val="0"/>
                    <w:snapToGrid w:val="0"/>
                    <w:spacing w:line="300" w:lineRule="exact"/>
                    <w:jc w:val="center"/>
                    <w:rPr>
                      <w:bCs/>
                      <w:color w:val="auto"/>
                      <w:kern w:val="0"/>
                      <w:szCs w:val="21"/>
                      <w:highlight w:val="none"/>
                    </w:rPr>
                  </w:pPr>
                  <w:r>
                    <w:rPr>
                      <w:bCs/>
                      <w:color w:val="auto"/>
                      <w:kern w:val="0"/>
                      <w:szCs w:val="21"/>
                      <w:highlight w:val="none"/>
                    </w:rPr>
                    <w:t>13#散户居民</w:t>
                  </w:r>
                </w:p>
              </w:tc>
              <w:tc>
                <w:tcPr>
                  <w:tcW w:w="394" w:type="pct"/>
                  <w:vAlign w:val="center"/>
                </w:tcPr>
                <w:p w14:paraId="42C5F4CF">
                  <w:pPr>
                    <w:adjustRightInd w:val="0"/>
                    <w:snapToGrid w:val="0"/>
                    <w:spacing w:line="300" w:lineRule="exact"/>
                    <w:jc w:val="center"/>
                    <w:rPr>
                      <w:bCs/>
                      <w:color w:val="auto"/>
                      <w:kern w:val="0"/>
                      <w:szCs w:val="21"/>
                      <w:highlight w:val="none"/>
                    </w:rPr>
                  </w:pPr>
                  <w:r>
                    <w:rPr>
                      <w:bCs/>
                      <w:color w:val="auto"/>
                      <w:kern w:val="0"/>
                      <w:szCs w:val="21"/>
                      <w:highlight w:val="none"/>
                    </w:rPr>
                    <w:t>-10</w:t>
                  </w:r>
                </w:p>
              </w:tc>
              <w:tc>
                <w:tcPr>
                  <w:tcW w:w="404" w:type="pct"/>
                  <w:vAlign w:val="center"/>
                </w:tcPr>
                <w:p w14:paraId="0D7B3985">
                  <w:pPr>
                    <w:adjustRightInd w:val="0"/>
                    <w:snapToGrid w:val="0"/>
                    <w:spacing w:line="300" w:lineRule="exact"/>
                    <w:jc w:val="center"/>
                    <w:rPr>
                      <w:bCs/>
                      <w:color w:val="auto"/>
                      <w:kern w:val="0"/>
                      <w:szCs w:val="21"/>
                      <w:highlight w:val="none"/>
                    </w:rPr>
                  </w:pPr>
                  <w:r>
                    <w:rPr>
                      <w:bCs/>
                      <w:color w:val="auto"/>
                      <w:kern w:val="0"/>
                      <w:szCs w:val="21"/>
                      <w:highlight w:val="none"/>
                    </w:rPr>
                    <w:t>+241</w:t>
                  </w:r>
                </w:p>
              </w:tc>
              <w:tc>
                <w:tcPr>
                  <w:tcW w:w="385" w:type="pct"/>
                  <w:vAlign w:val="center"/>
                </w:tcPr>
                <w:p w14:paraId="2CA7CBAA">
                  <w:pPr>
                    <w:adjustRightInd w:val="0"/>
                    <w:snapToGrid w:val="0"/>
                    <w:spacing w:line="300" w:lineRule="exact"/>
                    <w:jc w:val="center"/>
                    <w:rPr>
                      <w:bCs/>
                      <w:color w:val="auto"/>
                      <w:kern w:val="0"/>
                      <w:szCs w:val="21"/>
                      <w:highlight w:val="none"/>
                    </w:rPr>
                  </w:pPr>
                  <w:r>
                    <w:rPr>
                      <w:bCs/>
                      <w:color w:val="auto"/>
                      <w:kern w:val="0"/>
                      <w:szCs w:val="21"/>
                      <w:highlight w:val="none"/>
                    </w:rPr>
                    <w:t>N</w:t>
                  </w:r>
                </w:p>
              </w:tc>
              <w:tc>
                <w:tcPr>
                  <w:tcW w:w="1175" w:type="pct"/>
                  <w:vAlign w:val="center"/>
                </w:tcPr>
                <w:p w14:paraId="23233116">
                  <w:pPr>
                    <w:adjustRightInd w:val="0"/>
                    <w:snapToGrid w:val="0"/>
                    <w:spacing w:line="300" w:lineRule="exact"/>
                    <w:jc w:val="center"/>
                    <w:rPr>
                      <w:bCs/>
                      <w:color w:val="auto"/>
                      <w:kern w:val="0"/>
                      <w:szCs w:val="21"/>
                      <w:highlight w:val="none"/>
                    </w:rPr>
                  </w:pPr>
                  <w:r>
                    <w:rPr>
                      <w:bCs/>
                      <w:color w:val="auto"/>
                      <w:kern w:val="0"/>
                      <w:szCs w:val="21"/>
                      <w:highlight w:val="none"/>
                    </w:rPr>
                    <w:t>224</w:t>
                  </w:r>
                </w:p>
              </w:tc>
              <w:tc>
                <w:tcPr>
                  <w:tcW w:w="977" w:type="pct"/>
                  <w:vAlign w:val="center"/>
                </w:tcPr>
                <w:p w14:paraId="7600D25F">
                  <w:pPr>
                    <w:adjustRightInd w:val="0"/>
                    <w:snapToGrid w:val="0"/>
                    <w:spacing w:line="300" w:lineRule="exact"/>
                    <w:jc w:val="center"/>
                    <w:rPr>
                      <w:bCs/>
                      <w:color w:val="auto"/>
                      <w:kern w:val="0"/>
                      <w:szCs w:val="21"/>
                      <w:highlight w:val="none"/>
                    </w:rPr>
                  </w:pPr>
                  <w:r>
                    <w:rPr>
                      <w:bCs/>
                      <w:color w:val="auto"/>
                      <w:kern w:val="0"/>
                      <w:szCs w:val="21"/>
                      <w:highlight w:val="none"/>
                    </w:rPr>
                    <w:t>居民，约4人</w:t>
                  </w:r>
                </w:p>
              </w:tc>
              <w:tc>
                <w:tcPr>
                  <w:tcW w:w="510" w:type="pct"/>
                  <w:vMerge w:val="continue"/>
                  <w:vAlign w:val="center"/>
                </w:tcPr>
                <w:p w14:paraId="477DA7CF">
                  <w:pPr>
                    <w:adjustRightInd w:val="0"/>
                    <w:snapToGrid w:val="0"/>
                    <w:spacing w:line="300" w:lineRule="exact"/>
                    <w:jc w:val="center"/>
                    <w:rPr>
                      <w:bCs/>
                      <w:color w:val="auto"/>
                      <w:kern w:val="0"/>
                      <w:szCs w:val="21"/>
                      <w:highlight w:val="none"/>
                    </w:rPr>
                  </w:pPr>
                </w:p>
              </w:tc>
            </w:tr>
            <w:tr w14:paraId="204C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 w:type="pct"/>
                  <w:vAlign w:val="center"/>
                </w:tcPr>
                <w:p w14:paraId="5FA484F3">
                  <w:pPr>
                    <w:adjustRightInd w:val="0"/>
                    <w:snapToGrid w:val="0"/>
                    <w:spacing w:line="300" w:lineRule="exact"/>
                    <w:jc w:val="center"/>
                    <w:rPr>
                      <w:bCs/>
                      <w:color w:val="auto"/>
                      <w:kern w:val="0"/>
                      <w:szCs w:val="21"/>
                      <w:highlight w:val="none"/>
                    </w:rPr>
                  </w:pPr>
                  <w:r>
                    <w:rPr>
                      <w:bCs/>
                      <w:color w:val="auto"/>
                      <w:kern w:val="0"/>
                      <w:szCs w:val="21"/>
                      <w:highlight w:val="none"/>
                    </w:rPr>
                    <w:t>14</w:t>
                  </w:r>
                </w:p>
              </w:tc>
              <w:tc>
                <w:tcPr>
                  <w:tcW w:w="888" w:type="pct"/>
                  <w:vAlign w:val="center"/>
                </w:tcPr>
                <w:p w14:paraId="220A4183">
                  <w:pPr>
                    <w:adjustRightInd w:val="0"/>
                    <w:snapToGrid w:val="0"/>
                    <w:spacing w:line="300" w:lineRule="exact"/>
                    <w:jc w:val="center"/>
                    <w:rPr>
                      <w:bCs/>
                      <w:color w:val="auto"/>
                      <w:kern w:val="0"/>
                      <w:szCs w:val="21"/>
                      <w:highlight w:val="none"/>
                    </w:rPr>
                  </w:pPr>
                  <w:r>
                    <w:rPr>
                      <w:bCs/>
                      <w:color w:val="auto"/>
                      <w:kern w:val="0"/>
                      <w:szCs w:val="21"/>
                      <w:highlight w:val="none"/>
                    </w:rPr>
                    <w:t>14#散户居民</w:t>
                  </w:r>
                </w:p>
              </w:tc>
              <w:tc>
                <w:tcPr>
                  <w:tcW w:w="394" w:type="pct"/>
                  <w:vAlign w:val="center"/>
                </w:tcPr>
                <w:p w14:paraId="674097D5">
                  <w:pPr>
                    <w:adjustRightInd w:val="0"/>
                    <w:snapToGrid w:val="0"/>
                    <w:spacing w:line="300" w:lineRule="exact"/>
                    <w:jc w:val="center"/>
                    <w:rPr>
                      <w:bCs/>
                      <w:color w:val="auto"/>
                      <w:kern w:val="0"/>
                      <w:szCs w:val="21"/>
                      <w:highlight w:val="none"/>
                    </w:rPr>
                  </w:pPr>
                  <w:r>
                    <w:rPr>
                      <w:bCs/>
                      <w:color w:val="auto"/>
                      <w:kern w:val="0"/>
                      <w:szCs w:val="21"/>
                      <w:highlight w:val="none"/>
                    </w:rPr>
                    <w:t>0</w:t>
                  </w:r>
                </w:p>
              </w:tc>
              <w:tc>
                <w:tcPr>
                  <w:tcW w:w="404" w:type="pct"/>
                  <w:vAlign w:val="center"/>
                </w:tcPr>
                <w:p w14:paraId="59FEF555">
                  <w:pPr>
                    <w:adjustRightInd w:val="0"/>
                    <w:snapToGrid w:val="0"/>
                    <w:spacing w:line="300" w:lineRule="exact"/>
                    <w:jc w:val="center"/>
                    <w:rPr>
                      <w:bCs/>
                      <w:color w:val="auto"/>
                      <w:kern w:val="0"/>
                      <w:szCs w:val="21"/>
                      <w:highlight w:val="none"/>
                    </w:rPr>
                  </w:pPr>
                  <w:r>
                    <w:rPr>
                      <w:bCs/>
                      <w:color w:val="auto"/>
                      <w:kern w:val="0"/>
                      <w:szCs w:val="21"/>
                      <w:highlight w:val="none"/>
                    </w:rPr>
                    <w:t>-287</w:t>
                  </w:r>
                </w:p>
              </w:tc>
              <w:tc>
                <w:tcPr>
                  <w:tcW w:w="385" w:type="pct"/>
                  <w:vAlign w:val="center"/>
                </w:tcPr>
                <w:p w14:paraId="6B7812E8">
                  <w:pPr>
                    <w:adjustRightInd w:val="0"/>
                    <w:snapToGrid w:val="0"/>
                    <w:spacing w:line="300" w:lineRule="exact"/>
                    <w:jc w:val="center"/>
                    <w:rPr>
                      <w:bCs/>
                      <w:color w:val="auto"/>
                      <w:kern w:val="0"/>
                      <w:szCs w:val="21"/>
                      <w:highlight w:val="none"/>
                    </w:rPr>
                  </w:pPr>
                  <w:r>
                    <w:rPr>
                      <w:bCs/>
                      <w:color w:val="auto"/>
                      <w:kern w:val="0"/>
                      <w:szCs w:val="21"/>
                      <w:highlight w:val="none"/>
                    </w:rPr>
                    <w:t>S</w:t>
                  </w:r>
                </w:p>
              </w:tc>
              <w:tc>
                <w:tcPr>
                  <w:tcW w:w="1175" w:type="pct"/>
                  <w:vAlign w:val="center"/>
                </w:tcPr>
                <w:p w14:paraId="3E28BA15">
                  <w:pPr>
                    <w:adjustRightInd w:val="0"/>
                    <w:snapToGrid w:val="0"/>
                    <w:spacing w:line="300" w:lineRule="exact"/>
                    <w:jc w:val="center"/>
                    <w:rPr>
                      <w:bCs/>
                      <w:color w:val="auto"/>
                      <w:kern w:val="0"/>
                      <w:szCs w:val="21"/>
                      <w:highlight w:val="none"/>
                    </w:rPr>
                  </w:pPr>
                  <w:r>
                    <w:rPr>
                      <w:bCs/>
                      <w:color w:val="auto"/>
                      <w:kern w:val="0"/>
                      <w:szCs w:val="21"/>
                      <w:highlight w:val="none"/>
                    </w:rPr>
                    <w:t>239</w:t>
                  </w:r>
                </w:p>
              </w:tc>
              <w:tc>
                <w:tcPr>
                  <w:tcW w:w="977" w:type="pct"/>
                  <w:vAlign w:val="center"/>
                </w:tcPr>
                <w:p w14:paraId="309E53D3">
                  <w:pPr>
                    <w:adjustRightInd w:val="0"/>
                    <w:snapToGrid w:val="0"/>
                    <w:spacing w:line="300" w:lineRule="exact"/>
                    <w:jc w:val="center"/>
                    <w:rPr>
                      <w:bCs/>
                      <w:color w:val="auto"/>
                      <w:kern w:val="0"/>
                      <w:szCs w:val="21"/>
                      <w:highlight w:val="none"/>
                    </w:rPr>
                  </w:pPr>
                  <w:r>
                    <w:rPr>
                      <w:bCs/>
                      <w:color w:val="auto"/>
                      <w:kern w:val="0"/>
                      <w:szCs w:val="21"/>
                      <w:highlight w:val="none"/>
                    </w:rPr>
                    <w:t>居民，约39人</w:t>
                  </w:r>
                </w:p>
              </w:tc>
              <w:tc>
                <w:tcPr>
                  <w:tcW w:w="510" w:type="pct"/>
                  <w:vMerge w:val="continue"/>
                  <w:vAlign w:val="center"/>
                </w:tcPr>
                <w:p w14:paraId="07A38004">
                  <w:pPr>
                    <w:adjustRightInd w:val="0"/>
                    <w:snapToGrid w:val="0"/>
                    <w:spacing w:line="300" w:lineRule="exact"/>
                    <w:jc w:val="center"/>
                    <w:rPr>
                      <w:bCs/>
                      <w:color w:val="auto"/>
                      <w:kern w:val="0"/>
                      <w:szCs w:val="21"/>
                      <w:highlight w:val="none"/>
                    </w:rPr>
                  </w:pPr>
                </w:p>
              </w:tc>
            </w:tr>
            <w:tr w14:paraId="7DA8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6BC0FB45">
                  <w:pPr>
                    <w:adjustRightInd w:val="0"/>
                    <w:snapToGrid w:val="0"/>
                    <w:spacing w:line="300" w:lineRule="exact"/>
                    <w:jc w:val="center"/>
                    <w:rPr>
                      <w:bCs/>
                      <w:color w:val="auto"/>
                      <w:kern w:val="0"/>
                      <w:szCs w:val="21"/>
                      <w:highlight w:val="none"/>
                    </w:rPr>
                  </w:pPr>
                  <w:r>
                    <w:rPr>
                      <w:bCs/>
                      <w:color w:val="auto"/>
                      <w:kern w:val="0"/>
                      <w:szCs w:val="21"/>
                      <w:highlight w:val="none"/>
                    </w:rPr>
                    <w:t>15</w:t>
                  </w:r>
                </w:p>
              </w:tc>
              <w:tc>
                <w:tcPr>
                  <w:tcW w:w="888" w:type="pct"/>
                  <w:vAlign w:val="center"/>
                </w:tcPr>
                <w:p w14:paraId="7E4478D1">
                  <w:pPr>
                    <w:adjustRightInd w:val="0"/>
                    <w:snapToGrid w:val="0"/>
                    <w:spacing w:line="300" w:lineRule="exact"/>
                    <w:jc w:val="center"/>
                    <w:rPr>
                      <w:bCs/>
                      <w:color w:val="auto"/>
                      <w:kern w:val="0"/>
                      <w:szCs w:val="21"/>
                      <w:highlight w:val="none"/>
                    </w:rPr>
                  </w:pPr>
                  <w:r>
                    <w:rPr>
                      <w:bCs/>
                      <w:color w:val="auto"/>
                      <w:kern w:val="0"/>
                      <w:szCs w:val="21"/>
                      <w:highlight w:val="none"/>
                    </w:rPr>
                    <w:t>15#散户居民</w:t>
                  </w:r>
                </w:p>
              </w:tc>
              <w:tc>
                <w:tcPr>
                  <w:tcW w:w="394" w:type="pct"/>
                  <w:vAlign w:val="center"/>
                </w:tcPr>
                <w:p w14:paraId="6DBAE075">
                  <w:pPr>
                    <w:adjustRightInd w:val="0"/>
                    <w:snapToGrid w:val="0"/>
                    <w:spacing w:line="300" w:lineRule="exact"/>
                    <w:jc w:val="center"/>
                    <w:rPr>
                      <w:bCs/>
                      <w:color w:val="auto"/>
                      <w:kern w:val="0"/>
                      <w:szCs w:val="21"/>
                      <w:highlight w:val="none"/>
                    </w:rPr>
                  </w:pPr>
                  <w:r>
                    <w:rPr>
                      <w:bCs/>
                      <w:color w:val="auto"/>
                      <w:kern w:val="0"/>
                      <w:szCs w:val="21"/>
                      <w:highlight w:val="none"/>
                    </w:rPr>
                    <w:t>+240</w:t>
                  </w:r>
                </w:p>
              </w:tc>
              <w:tc>
                <w:tcPr>
                  <w:tcW w:w="404" w:type="pct"/>
                  <w:vAlign w:val="center"/>
                </w:tcPr>
                <w:p w14:paraId="0BF2F8C0">
                  <w:pPr>
                    <w:adjustRightInd w:val="0"/>
                    <w:snapToGrid w:val="0"/>
                    <w:spacing w:line="300" w:lineRule="exact"/>
                    <w:jc w:val="center"/>
                    <w:rPr>
                      <w:bCs/>
                      <w:color w:val="auto"/>
                      <w:kern w:val="0"/>
                      <w:szCs w:val="21"/>
                      <w:highlight w:val="none"/>
                    </w:rPr>
                  </w:pPr>
                  <w:r>
                    <w:rPr>
                      <w:bCs/>
                      <w:color w:val="auto"/>
                      <w:kern w:val="0"/>
                      <w:szCs w:val="21"/>
                      <w:highlight w:val="none"/>
                    </w:rPr>
                    <w:t>-480</w:t>
                  </w:r>
                </w:p>
              </w:tc>
              <w:tc>
                <w:tcPr>
                  <w:tcW w:w="385" w:type="pct"/>
                  <w:vAlign w:val="center"/>
                </w:tcPr>
                <w:p w14:paraId="222DF9D3">
                  <w:pPr>
                    <w:adjustRightInd w:val="0"/>
                    <w:snapToGrid w:val="0"/>
                    <w:spacing w:line="300" w:lineRule="exact"/>
                    <w:jc w:val="center"/>
                    <w:rPr>
                      <w:bCs/>
                      <w:color w:val="auto"/>
                      <w:kern w:val="0"/>
                      <w:szCs w:val="21"/>
                      <w:highlight w:val="none"/>
                    </w:rPr>
                  </w:pPr>
                  <w:r>
                    <w:rPr>
                      <w:bCs/>
                      <w:color w:val="auto"/>
                      <w:kern w:val="0"/>
                      <w:szCs w:val="21"/>
                      <w:highlight w:val="none"/>
                    </w:rPr>
                    <w:t>SE</w:t>
                  </w:r>
                </w:p>
              </w:tc>
              <w:tc>
                <w:tcPr>
                  <w:tcW w:w="1175" w:type="pct"/>
                  <w:vAlign w:val="center"/>
                </w:tcPr>
                <w:p w14:paraId="73212E6F">
                  <w:pPr>
                    <w:adjustRightInd w:val="0"/>
                    <w:snapToGrid w:val="0"/>
                    <w:spacing w:line="300" w:lineRule="exact"/>
                    <w:jc w:val="center"/>
                    <w:rPr>
                      <w:bCs/>
                      <w:color w:val="auto"/>
                      <w:kern w:val="0"/>
                      <w:szCs w:val="21"/>
                      <w:highlight w:val="none"/>
                    </w:rPr>
                  </w:pPr>
                  <w:r>
                    <w:rPr>
                      <w:bCs/>
                      <w:color w:val="auto"/>
                      <w:kern w:val="0"/>
                      <w:szCs w:val="21"/>
                      <w:highlight w:val="none"/>
                    </w:rPr>
                    <w:t>505</w:t>
                  </w:r>
                </w:p>
              </w:tc>
              <w:tc>
                <w:tcPr>
                  <w:tcW w:w="977" w:type="pct"/>
                  <w:vAlign w:val="center"/>
                </w:tcPr>
                <w:p w14:paraId="5DC88A6F">
                  <w:pPr>
                    <w:adjustRightInd w:val="0"/>
                    <w:snapToGrid w:val="0"/>
                    <w:spacing w:line="300" w:lineRule="exact"/>
                    <w:jc w:val="center"/>
                    <w:rPr>
                      <w:bCs/>
                      <w:color w:val="auto"/>
                      <w:kern w:val="0"/>
                      <w:szCs w:val="21"/>
                      <w:highlight w:val="none"/>
                    </w:rPr>
                  </w:pPr>
                  <w:r>
                    <w:rPr>
                      <w:bCs/>
                      <w:color w:val="auto"/>
                      <w:kern w:val="0"/>
                      <w:szCs w:val="21"/>
                      <w:highlight w:val="none"/>
                    </w:rPr>
                    <w:t>居民，约12人</w:t>
                  </w:r>
                </w:p>
              </w:tc>
              <w:tc>
                <w:tcPr>
                  <w:tcW w:w="510" w:type="pct"/>
                  <w:vMerge w:val="continue"/>
                  <w:vAlign w:val="center"/>
                </w:tcPr>
                <w:p w14:paraId="5EFCD6F3">
                  <w:pPr>
                    <w:adjustRightInd w:val="0"/>
                    <w:snapToGrid w:val="0"/>
                    <w:spacing w:line="300" w:lineRule="exact"/>
                    <w:jc w:val="center"/>
                    <w:rPr>
                      <w:bCs/>
                      <w:color w:val="auto"/>
                      <w:kern w:val="0"/>
                      <w:szCs w:val="21"/>
                      <w:highlight w:val="none"/>
                    </w:rPr>
                  </w:pPr>
                </w:p>
              </w:tc>
            </w:tr>
            <w:tr w14:paraId="2AD6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 w:type="pct"/>
                  <w:vAlign w:val="center"/>
                </w:tcPr>
                <w:p w14:paraId="2CC183E1">
                  <w:pPr>
                    <w:adjustRightInd w:val="0"/>
                    <w:snapToGrid w:val="0"/>
                    <w:spacing w:line="300" w:lineRule="exact"/>
                    <w:jc w:val="center"/>
                    <w:rPr>
                      <w:bCs/>
                      <w:color w:val="auto"/>
                      <w:kern w:val="0"/>
                      <w:szCs w:val="21"/>
                      <w:highlight w:val="none"/>
                    </w:rPr>
                  </w:pPr>
                  <w:r>
                    <w:rPr>
                      <w:bCs/>
                      <w:color w:val="auto"/>
                      <w:kern w:val="0"/>
                      <w:szCs w:val="21"/>
                      <w:highlight w:val="none"/>
                    </w:rPr>
                    <w:t>16</w:t>
                  </w:r>
                </w:p>
              </w:tc>
              <w:tc>
                <w:tcPr>
                  <w:tcW w:w="888" w:type="pct"/>
                  <w:vAlign w:val="center"/>
                </w:tcPr>
                <w:p w14:paraId="3C81FA3F">
                  <w:pPr>
                    <w:adjustRightInd w:val="0"/>
                    <w:snapToGrid w:val="0"/>
                    <w:spacing w:line="300" w:lineRule="exact"/>
                    <w:jc w:val="center"/>
                    <w:rPr>
                      <w:bCs/>
                      <w:color w:val="auto"/>
                      <w:kern w:val="0"/>
                      <w:szCs w:val="21"/>
                      <w:highlight w:val="none"/>
                    </w:rPr>
                  </w:pPr>
                  <w:r>
                    <w:rPr>
                      <w:bCs/>
                      <w:color w:val="auto"/>
                      <w:kern w:val="0"/>
                      <w:szCs w:val="21"/>
                      <w:highlight w:val="none"/>
                    </w:rPr>
                    <w:t>16#散户居民</w:t>
                  </w:r>
                </w:p>
              </w:tc>
              <w:tc>
                <w:tcPr>
                  <w:tcW w:w="394" w:type="pct"/>
                  <w:vAlign w:val="center"/>
                </w:tcPr>
                <w:p w14:paraId="1E61FFEF">
                  <w:pPr>
                    <w:adjustRightInd w:val="0"/>
                    <w:snapToGrid w:val="0"/>
                    <w:spacing w:line="300" w:lineRule="exact"/>
                    <w:jc w:val="center"/>
                    <w:rPr>
                      <w:bCs/>
                      <w:color w:val="auto"/>
                      <w:kern w:val="0"/>
                      <w:szCs w:val="21"/>
                      <w:highlight w:val="none"/>
                    </w:rPr>
                  </w:pPr>
                  <w:r>
                    <w:rPr>
                      <w:bCs/>
                      <w:color w:val="auto"/>
                      <w:kern w:val="0"/>
                      <w:szCs w:val="21"/>
                      <w:highlight w:val="none"/>
                    </w:rPr>
                    <w:t>-124</w:t>
                  </w:r>
                </w:p>
              </w:tc>
              <w:tc>
                <w:tcPr>
                  <w:tcW w:w="404" w:type="pct"/>
                  <w:vAlign w:val="center"/>
                </w:tcPr>
                <w:p w14:paraId="486148A7">
                  <w:pPr>
                    <w:adjustRightInd w:val="0"/>
                    <w:snapToGrid w:val="0"/>
                    <w:spacing w:line="300" w:lineRule="exact"/>
                    <w:jc w:val="center"/>
                    <w:rPr>
                      <w:bCs/>
                      <w:color w:val="auto"/>
                      <w:kern w:val="0"/>
                      <w:szCs w:val="21"/>
                      <w:highlight w:val="none"/>
                    </w:rPr>
                  </w:pPr>
                  <w:r>
                    <w:rPr>
                      <w:bCs/>
                      <w:color w:val="auto"/>
                      <w:kern w:val="0"/>
                      <w:szCs w:val="21"/>
                      <w:highlight w:val="none"/>
                    </w:rPr>
                    <w:t>-161</w:t>
                  </w:r>
                </w:p>
              </w:tc>
              <w:tc>
                <w:tcPr>
                  <w:tcW w:w="385" w:type="pct"/>
                  <w:vAlign w:val="center"/>
                </w:tcPr>
                <w:p w14:paraId="74B304EC">
                  <w:pPr>
                    <w:adjustRightInd w:val="0"/>
                    <w:snapToGrid w:val="0"/>
                    <w:spacing w:line="300" w:lineRule="exact"/>
                    <w:jc w:val="center"/>
                    <w:rPr>
                      <w:bCs/>
                      <w:color w:val="auto"/>
                      <w:kern w:val="0"/>
                      <w:szCs w:val="21"/>
                      <w:highlight w:val="none"/>
                    </w:rPr>
                  </w:pPr>
                  <w:r>
                    <w:rPr>
                      <w:bCs/>
                      <w:color w:val="auto"/>
                      <w:kern w:val="0"/>
                      <w:szCs w:val="21"/>
                      <w:highlight w:val="none"/>
                    </w:rPr>
                    <w:t>SW</w:t>
                  </w:r>
                </w:p>
              </w:tc>
              <w:tc>
                <w:tcPr>
                  <w:tcW w:w="1175" w:type="pct"/>
                  <w:vAlign w:val="center"/>
                </w:tcPr>
                <w:p w14:paraId="0BB57F08">
                  <w:pPr>
                    <w:adjustRightInd w:val="0"/>
                    <w:snapToGrid w:val="0"/>
                    <w:spacing w:line="300" w:lineRule="exact"/>
                    <w:jc w:val="center"/>
                    <w:rPr>
                      <w:bCs/>
                      <w:color w:val="auto"/>
                      <w:kern w:val="0"/>
                      <w:szCs w:val="21"/>
                      <w:highlight w:val="none"/>
                    </w:rPr>
                  </w:pPr>
                  <w:r>
                    <w:rPr>
                      <w:bCs/>
                      <w:color w:val="auto"/>
                      <w:kern w:val="0"/>
                      <w:szCs w:val="21"/>
                      <w:highlight w:val="none"/>
                    </w:rPr>
                    <w:t>162</w:t>
                  </w:r>
                </w:p>
              </w:tc>
              <w:tc>
                <w:tcPr>
                  <w:tcW w:w="977" w:type="pct"/>
                  <w:vAlign w:val="center"/>
                </w:tcPr>
                <w:p w14:paraId="17C23162">
                  <w:pPr>
                    <w:adjustRightInd w:val="0"/>
                    <w:snapToGrid w:val="0"/>
                    <w:spacing w:line="300" w:lineRule="exact"/>
                    <w:jc w:val="center"/>
                    <w:rPr>
                      <w:bCs/>
                      <w:color w:val="auto"/>
                      <w:kern w:val="0"/>
                      <w:szCs w:val="21"/>
                      <w:highlight w:val="none"/>
                    </w:rPr>
                  </w:pPr>
                  <w:r>
                    <w:rPr>
                      <w:bCs/>
                      <w:color w:val="auto"/>
                      <w:kern w:val="0"/>
                      <w:szCs w:val="21"/>
                      <w:highlight w:val="none"/>
                    </w:rPr>
                    <w:t>居民，约12人</w:t>
                  </w:r>
                </w:p>
              </w:tc>
              <w:tc>
                <w:tcPr>
                  <w:tcW w:w="510" w:type="pct"/>
                  <w:vMerge w:val="continue"/>
                  <w:vAlign w:val="center"/>
                </w:tcPr>
                <w:p w14:paraId="23B3DFFB">
                  <w:pPr>
                    <w:adjustRightInd w:val="0"/>
                    <w:snapToGrid w:val="0"/>
                    <w:spacing w:line="300" w:lineRule="exact"/>
                    <w:jc w:val="center"/>
                    <w:rPr>
                      <w:bCs/>
                      <w:color w:val="auto"/>
                      <w:kern w:val="0"/>
                      <w:szCs w:val="21"/>
                      <w:highlight w:val="none"/>
                    </w:rPr>
                  </w:pPr>
                </w:p>
              </w:tc>
            </w:tr>
            <w:tr w14:paraId="4EF1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294F9E59">
                  <w:pPr>
                    <w:adjustRightInd w:val="0"/>
                    <w:snapToGrid w:val="0"/>
                    <w:spacing w:line="300" w:lineRule="exact"/>
                    <w:jc w:val="center"/>
                    <w:rPr>
                      <w:bCs/>
                      <w:color w:val="auto"/>
                      <w:kern w:val="0"/>
                      <w:szCs w:val="21"/>
                      <w:highlight w:val="none"/>
                    </w:rPr>
                  </w:pPr>
                  <w:r>
                    <w:rPr>
                      <w:bCs/>
                      <w:color w:val="auto"/>
                      <w:kern w:val="0"/>
                      <w:szCs w:val="21"/>
                      <w:highlight w:val="none"/>
                    </w:rPr>
                    <w:t>17</w:t>
                  </w:r>
                </w:p>
              </w:tc>
              <w:tc>
                <w:tcPr>
                  <w:tcW w:w="888" w:type="pct"/>
                  <w:vAlign w:val="center"/>
                </w:tcPr>
                <w:p w14:paraId="54F339F0">
                  <w:pPr>
                    <w:adjustRightInd w:val="0"/>
                    <w:snapToGrid w:val="0"/>
                    <w:spacing w:line="300" w:lineRule="exact"/>
                    <w:jc w:val="center"/>
                    <w:rPr>
                      <w:bCs/>
                      <w:color w:val="auto"/>
                      <w:kern w:val="0"/>
                      <w:szCs w:val="21"/>
                      <w:highlight w:val="none"/>
                    </w:rPr>
                  </w:pPr>
                  <w:r>
                    <w:rPr>
                      <w:bCs/>
                      <w:color w:val="auto"/>
                      <w:kern w:val="0"/>
                      <w:szCs w:val="21"/>
                      <w:highlight w:val="none"/>
                    </w:rPr>
                    <w:t>17#散户居民</w:t>
                  </w:r>
                </w:p>
              </w:tc>
              <w:tc>
                <w:tcPr>
                  <w:tcW w:w="394" w:type="pct"/>
                  <w:vAlign w:val="center"/>
                </w:tcPr>
                <w:p w14:paraId="701A40D2">
                  <w:pPr>
                    <w:adjustRightInd w:val="0"/>
                    <w:snapToGrid w:val="0"/>
                    <w:spacing w:line="300" w:lineRule="exact"/>
                    <w:jc w:val="center"/>
                    <w:rPr>
                      <w:bCs/>
                      <w:color w:val="auto"/>
                      <w:kern w:val="0"/>
                      <w:szCs w:val="21"/>
                      <w:highlight w:val="none"/>
                    </w:rPr>
                  </w:pPr>
                  <w:r>
                    <w:rPr>
                      <w:bCs/>
                      <w:color w:val="auto"/>
                      <w:kern w:val="0"/>
                      <w:szCs w:val="21"/>
                      <w:highlight w:val="none"/>
                    </w:rPr>
                    <w:t>-12</w:t>
                  </w:r>
                </w:p>
              </w:tc>
              <w:tc>
                <w:tcPr>
                  <w:tcW w:w="404" w:type="pct"/>
                  <w:vAlign w:val="center"/>
                </w:tcPr>
                <w:p w14:paraId="3435E70F">
                  <w:pPr>
                    <w:adjustRightInd w:val="0"/>
                    <w:snapToGrid w:val="0"/>
                    <w:spacing w:line="300" w:lineRule="exact"/>
                    <w:jc w:val="center"/>
                    <w:rPr>
                      <w:bCs/>
                      <w:color w:val="auto"/>
                      <w:kern w:val="0"/>
                      <w:szCs w:val="21"/>
                      <w:highlight w:val="none"/>
                    </w:rPr>
                  </w:pPr>
                  <w:r>
                    <w:rPr>
                      <w:bCs/>
                      <w:color w:val="auto"/>
                      <w:kern w:val="0"/>
                      <w:szCs w:val="21"/>
                      <w:highlight w:val="none"/>
                    </w:rPr>
                    <w:t>-105</w:t>
                  </w:r>
                </w:p>
              </w:tc>
              <w:tc>
                <w:tcPr>
                  <w:tcW w:w="385" w:type="pct"/>
                  <w:vAlign w:val="center"/>
                </w:tcPr>
                <w:p w14:paraId="045031A6">
                  <w:pPr>
                    <w:adjustRightInd w:val="0"/>
                    <w:snapToGrid w:val="0"/>
                    <w:spacing w:line="300" w:lineRule="exact"/>
                    <w:jc w:val="center"/>
                    <w:rPr>
                      <w:bCs/>
                      <w:color w:val="auto"/>
                      <w:kern w:val="0"/>
                      <w:szCs w:val="21"/>
                      <w:highlight w:val="none"/>
                    </w:rPr>
                  </w:pPr>
                  <w:r>
                    <w:rPr>
                      <w:bCs/>
                      <w:color w:val="auto"/>
                      <w:kern w:val="0"/>
                      <w:szCs w:val="21"/>
                      <w:highlight w:val="none"/>
                    </w:rPr>
                    <w:t>S</w:t>
                  </w:r>
                </w:p>
              </w:tc>
              <w:tc>
                <w:tcPr>
                  <w:tcW w:w="1175" w:type="pct"/>
                  <w:vAlign w:val="center"/>
                </w:tcPr>
                <w:p w14:paraId="3ACC987E">
                  <w:pPr>
                    <w:adjustRightInd w:val="0"/>
                    <w:snapToGrid w:val="0"/>
                    <w:spacing w:line="300" w:lineRule="exact"/>
                    <w:jc w:val="center"/>
                    <w:rPr>
                      <w:bCs/>
                      <w:color w:val="auto"/>
                      <w:kern w:val="0"/>
                      <w:szCs w:val="21"/>
                      <w:highlight w:val="none"/>
                    </w:rPr>
                  </w:pPr>
                  <w:r>
                    <w:rPr>
                      <w:bCs/>
                      <w:color w:val="auto"/>
                      <w:kern w:val="0"/>
                      <w:szCs w:val="21"/>
                      <w:highlight w:val="none"/>
                    </w:rPr>
                    <w:t>67</w:t>
                  </w:r>
                </w:p>
              </w:tc>
              <w:tc>
                <w:tcPr>
                  <w:tcW w:w="977" w:type="pct"/>
                  <w:vAlign w:val="center"/>
                </w:tcPr>
                <w:p w14:paraId="1BEE5FE4">
                  <w:pPr>
                    <w:adjustRightInd w:val="0"/>
                    <w:snapToGrid w:val="0"/>
                    <w:spacing w:line="300" w:lineRule="exact"/>
                    <w:jc w:val="center"/>
                    <w:rPr>
                      <w:bCs/>
                      <w:color w:val="auto"/>
                      <w:kern w:val="0"/>
                      <w:szCs w:val="21"/>
                      <w:highlight w:val="none"/>
                    </w:rPr>
                  </w:pPr>
                  <w:r>
                    <w:rPr>
                      <w:bCs/>
                      <w:color w:val="auto"/>
                      <w:kern w:val="0"/>
                      <w:szCs w:val="21"/>
                      <w:highlight w:val="none"/>
                    </w:rPr>
                    <w:t>居民，约9人</w:t>
                  </w:r>
                </w:p>
              </w:tc>
              <w:tc>
                <w:tcPr>
                  <w:tcW w:w="510" w:type="pct"/>
                  <w:vMerge w:val="continue"/>
                  <w:vAlign w:val="center"/>
                </w:tcPr>
                <w:p w14:paraId="7B02FF9D">
                  <w:pPr>
                    <w:adjustRightInd w:val="0"/>
                    <w:snapToGrid w:val="0"/>
                    <w:spacing w:line="300" w:lineRule="exact"/>
                    <w:jc w:val="center"/>
                    <w:rPr>
                      <w:bCs/>
                      <w:color w:val="auto"/>
                      <w:kern w:val="0"/>
                      <w:szCs w:val="21"/>
                      <w:highlight w:val="none"/>
                    </w:rPr>
                  </w:pPr>
                </w:p>
              </w:tc>
            </w:tr>
            <w:tr w14:paraId="6190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65206798">
                  <w:pPr>
                    <w:adjustRightInd w:val="0"/>
                    <w:snapToGrid w:val="0"/>
                    <w:spacing w:line="300" w:lineRule="exact"/>
                    <w:jc w:val="center"/>
                    <w:rPr>
                      <w:bCs/>
                      <w:color w:val="auto"/>
                      <w:kern w:val="0"/>
                      <w:szCs w:val="21"/>
                      <w:highlight w:val="none"/>
                    </w:rPr>
                  </w:pPr>
                  <w:r>
                    <w:rPr>
                      <w:bCs/>
                      <w:color w:val="auto"/>
                      <w:kern w:val="0"/>
                      <w:szCs w:val="21"/>
                      <w:highlight w:val="none"/>
                    </w:rPr>
                    <w:t>18</w:t>
                  </w:r>
                </w:p>
              </w:tc>
              <w:tc>
                <w:tcPr>
                  <w:tcW w:w="888" w:type="pct"/>
                  <w:vAlign w:val="center"/>
                </w:tcPr>
                <w:p w14:paraId="65B3E938">
                  <w:pPr>
                    <w:adjustRightInd w:val="0"/>
                    <w:snapToGrid w:val="0"/>
                    <w:spacing w:line="300" w:lineRule="exact"/>
                    <w:jc w:val="center"/>
                    <w:rPr>
                      <w:bCs/>
                      <w:color w:val="auto"/>
                      <w:kern w:val="0"/>
                      <w:szCs w:val="21"/>
                      <w:highlight w:val="none"/>
                    </w:rPr>
                  </w:pPr>
                  <w:r>
                    <w:rPr>
                      <w:bCs/>
                      <w:color w:val="auto"/>
                      <w:kern w:val="0"/>
                      <w:szCs w:val="21"/>
                      <w:highlight w:val="none"/>
                    </w:rPr>
                    <w:t>18#散户居民</w:t>
                  </w:r>
                </w:p>
              </w:tc>
              <w:tc>
                <w:tcPr>
                  <w:tcW w:w="394" w:type="pct"/>
                  <w:vAlign w:val="center"/>
                </w:tcPr>
                <w:p w14:paraId="0E41590A">
                  <w:pPr>
                    <w:adjustRightInd w:val="0"/>
                    <w:snapToGrid w:val="0"/>
                    <w:spacing w:line="300" w:lineRule="exact"/>
                    <w:jc w:val="center"/>
                    <w:rPr>
                      <w:bCs/>
                      <w:color w:val="auto"/>
                      <w:kern w:val="0"/>
                      <w:szCs w:val="21"/>
                      <w:highlight w:val="none"/>
                    </w:rPr>
                  </w:pPr>
                  <w:r>
                    <w:rPr>
                      <w:bCs/>
                      <w:color w:val="auto"/>
                      <w:kern w:val="0"/>
                      <w:szCs w:val="21"/>
                      <w:highlight w:val="none"/>
                    </w:rPr>
                    <w:t>+116</w:t>
                  </w:r>
                </w:p>
              </w:tc>
              <w:tc>
                <w:tcPr>
                  <w:tcW w:w="404" w:type="pct"/>
                  <w:vAlign w:val="center"/>
                </w:tcPr>
                <w:p w14:paraId="4923ABB7">
                  <w:pPr>
                    <w:adjustRightInd w:val="0"/>
                    <w:snapToGrid w:val="0"/>
                    <w:spacing w:line="300" w:lineRule="exact"/>
                    <w:jc w:val="center"/>
                    <w:rPr>
                      <w:bCs/>
                      <w:color w:val="auto"/>
                      <w:kern w:val="0"/>
                      <w:szCs w:val="21"/>
                      <w:highlight w:val="none"/>
                    </w:rPr>
                  </w:pPr>
                  <w:r>
                    <w:rPr>
                      <w:bCs/>
                      <w:color w:val="auto"/>
                      <w:kern w:val="0"/>
                      <w:szCs w:val="21"/>
                      <w:highlight w:val="none"/>
                    </w:rPr>
                    <w:t>-388</w:t>
                  </w:r>
                </w:p>
              </w:tc>
              <w:tc>
                <w:tcPr>
                  <w:tcW w:w="385" w:type="pct"/>
                  <w:vAlign w:val="center"/>
                </w:tcPr>
                <w:p w14:paraId="474C7806">
                  <w:pPr>
                    <w:adjustRightInd w:val="0"/>
                    <w:snapToGrid w:val="0"/>
                    <w:spacing w:line="300" w:lineRule="exact"/>
                    <w:jc w:val="center"/>
                    <w:rPr>
                      <w:bCs/>
                      <w:color w:val="auto"/>
                      <w:kern w:val="0"/>
                      <w:szCs w:val="21"/>
                      <w:highlight w:val="none"/>
                    </w:rPr>
                  </w:pPr>
                  <w:r>
                    <w:rPr>
                      <w:bCs/>
                      <w:color w:val="auto"/>
                      <w:kern w:val="0"/>
                      <w:szCs w:val="21"/>
                      <w:highlight w:val="none"/>
                    </w:rPr>
                    <w:t>SE</w:t>
                  </w:r>
                </w:p>
              </w:tc>
              <w:tc>
                <w:tcPr>
                  <w:tcW w:w="1175" w:type="pct"/>
                  <w:vAlign w:val="center"/>
                </w:tcPr>
                <w:p w14:paraId="3DCB6D0A">
                  <w:pPr>
                    <w:adjustRightInd w:val="0"/>
                    <w:snapToGrid w:val="0"/>
                    <w:spacing w:line="300" w:lineRule="exact"/>
                    <w:jc w:val="center"/>
                    <w:rPr>
                      <w:bCs/>
                      <w:color w:val="auto"/>
                      <w:kern w:val="0"/>
                      <w:szCs w:val="21"/>
                      <w:highlight w:val="none"/>
                    </w:rPr>
                  </w:pPr>
                  <w:r>
                    <w:rPr>
                      <w:bCs/>
                      <w:color w:val="auto"/>
                      <w:kern w:val="0"/>
                      <w:szCs w:val="21"/>
                      <w:highlight w:val="none"/>
                    </w:rPr>
                    <w:t>376</w:t>
                  </w:r>
                </w:p>
              </w:tc>
              <w:tc>
                <w:tcPr>
                  <w:tcW w:w="977" w:type="pct"/>
                  <w:vAlign w:val="center"/>
                </w:tcPr>
                <w:p w14:paraId="17B12CA5">
                  <w:pPr>
                    <w:adjustRightInd w:val="0"/>
                    <w:snapToGrid w:val="0"/>
                    <w:spacing w:line="300" w:lineRule="exact"/>
                    <w:jc w:val="center"/>
                    <w:rPr>
                      <w:bCs/>
                      <w:color w:val="auto"/>
                      <w:kern w:val="0"/>
                      <w:szCs w:val="21"/>
                      <w:highlight w:val="none"/>
                    </w:rPr>
                  </w:pPr>
                  <w:r>
                    <w:rPr>
                      <w:bCs/>
                      <w:color w:val="auto"/>
                      <w:kern w:val="0"/>
                      <w:szCs w:val="21"/>
                      <w:highlight w:val="none"/>
                    </w:rPr>
                    <w:t>居民，约12人</w:t>
                  </w:r>
                </w:p>
              </w:tc>
              <w:tc>
                <w:tcPr>
                  <w:tcW w:w="510" w:type="pct"/>
                  <w:vMerge w:val="continue"/>
                  <w:vAlign w:val="center"/>
                </w:tcPr>
                <w:p w14:paraId="38FC3349">
                  <w:pPr>
                    <w:adjustRightInd w:val="0"/>
                    <w:snapToGrid w:val="0"/>
                    <w:spacing w:line="300" w:lineRule="exact"/>
                    <w:jc w:val="center"/>
                    <w:rPr>
                      <w:bCs/>
                      <w:color w:val="auto"/>
                      <w:kern w:val="0"/>
                      <w:szCs w:val="21"/>
                      <w:highlight w:val="none"/>
                    </w:rPr>
                  </w:pPr>
                </w:p>
              </w:tc>
            </w:tr>
            <w:tr w14:paraId="37E2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 w:type="pct"/>
                  <w:vAlign w:val="center"/>
                </w:tcPr>
                <w:p w14:paraId="5732C445">
                  <w:pPr>
                    <w:adjustRightInd w:val="0"/>
                    <w:snapToGrid w:val="0"/>
                    <w:spacing w:line="300" w:lineRule="exact"/>
                    <w:jc w:val="center"/>
                    <w:rPr>
                      <w:bCs/>
                      <w:color w:val="auto"/>
                      <w:kern w:val="0"/>
                      <w:szCs w:val="21"/>
                      <w:highlight w:val="none"/>
                    </w:rPr>
                  </w:pPr>
                  <w:r>
                    <w:rPr>
                      <w:bCs/>
                      <w:color w:val="auto"/>
                      <w:kern w:val="0"/>
                      <w:szCs w:val="21"/>
                      <w:highlight w:val="none"/>
                    </w:rPr>
                    <w:t>19</w:t>
                  </w:r>
                </w:p>
              </w:tc>
              <w:tc>
                <w:tcPr>
                  <w:tcW w:w="888" w:type="pct"/>
                  <w:vAlign w:val="center"/>
                </w:tcPr>
                <w:p w14:paraId="71AE8E14">
                  <w:pPr>
                    <w:adjustRightInd w:val="0"/>
                    <w:snapToGrid w:val="0"/>
                    <w:spacing w:line="300" w:lineRule="exact"/>
                    <w:jc w:val="center"/>
                    <w:rPr>
                      <w:bCs/>
                      <w:color w:val="auto"/>
                      <w:kern w:val="0"/>
                      <w:szCs w:val="21"/>
                      <w:highlight w:val="none"/>
                    </w:rPr>
                  </w:pPr>
                  <w:r>
                    <w:rPr>
                      <w:bCs/>
                      <w:color w:val="auto"/>
                      <w:kern w:val="0"/>
                      <w:szCs w:val="21"/>
                      <w:highlight w:val="none"/>
                    </w:rPr>
                    <w:t>19#散户居民</w:t>
                  </w:r>
                </w:p>
              </w:tc>
              <w:tc>
                <w:tcPr>
                  <w:tcW w:w="394" w:type="pct"/>
                  <w:vAlign w:val="center"/>
                </w:tcPr>
                <w:p w14:paraId="5DCE0EAA">
                  <w:pPr>
                    <w:adjustRightInd w:val="0"/>
                    <w:snapToGrid w:val="0"/>
                    <w:spacing w:line="300" w:lineRule="exact"/>
                    <w:jc w:val="center"/>
                    <w:rPr>
                      <w:bCs/>
                      <w:color w:val="auto"/>
                      <w:kern w:val="0"/>
                      <w:szCs w:val="21"/>
                      <w:highlight w:val="none"/>
                    </w:rPr>
                  </w:pPr>
                  <w:r>
                    <w:rPr>
                      <w:bCs/>
                      <w:color w:val="auto"/>
                      <w:kern w:val="0"/>
                      <w:szCs w:val="21"/>
                      <w:highlight w:val="none"/>
                    </w:rPr>
                    <w:t>+72</w:t>
                  </w:r>
                </w:p>
              </w:tc>
              <w:tc>
                <w:tcPr>
                  <w:tcW w:w="404" w:type="pct"/>
                  <w:vAlign w:val="center"/>
                </w:tcPr>
                <w:p w14:paraId="209C646C">
                  <w:pPr>
                    <w:adjustRightInd w:val="0"/>
                    <w:snapToGrid w:val="0"/>
                    <w:spacing w:line="300" w:lineRule="exact"/>
                    <w:jc w:val="center"/>
                    <w:rPr>
                      <w:bCs/>
                      <w:color w:val="auto"/>
                      <w:kern w:val="0"/>
                      <w:szCs w:val="21"/>
                      <w:highlight w:val="none"/>
                    </w:rPr>
                  </w:pPr>
                  <w:r>
                    <w:rPr>
                      <w:bCs/>
                      <w:color w:val="auto"/>
                      <w:kern w:val="0"/>
                      <w:szCs w:val="21"/>
                      <w:highlight w:val="none"/>
                    </w:rPr>
                    <w:t>-484</w:t>
                  </w:r>
                </w:p>
              </w:tc>
              <w:tc>
                <w:tcPr>
                  <w:tcW w:w="385" w:type="pct"/>
                  <w:vAlign w:val="center"/>
                </w:tcPr>
                <w:p w14:paraId="4CB00965">
                  <w:pPr>
                    <w:adjustRightInd w:val="0"/>
                    <w:snapToGrid w:val="0"/>
                    <w:spacing w:line="300" w:lineRule="exact"/>
                    <w:jc w:val="center"/>
                    <w:rPr>
                      <w:bCs/>
                      <w:color w:val="auto"/>
                      <w:kern w:val="0"/>
                      <w:szCs w:val="21"/>
                      <w:highlight w:val="none"/>
                    </w:rPr>
                  </w:pPr>
                  <w:r>
                    <w:rPr>
                      <w:bCs/>
                      <w:color w:val="auto"/>
                      <w:kern w:val="0"/>
                      <w:szCs w:val="21"/>
                      <w:highlight w:val="none"/>
                    </w:rPr>
                    <w:t>SE</w:t>
                  </w:r>
                </w:p>
              </w:tc>
              <w:tc>
                <w:tcPr>
                  <w:tcW w:w="1175" w:type="pct"/>
                  <w:vAlign w:val="center"/>
                </w:tcPr>
                <w:p w14:paraId="30C7B4F7">
                  <w:pPr>
                    <w:adjustRightInd w:val="0"/>
                    <w:snapToGrid w:val="0"/>
                    <w:spacing w:line="300" w:lineRule="exact"/>
                    <w:jc w:val="center"/>
                    <w:rPr>
                      <w:bCs/>
                      <w:color w:val="auto"/>
                      <w:kern w:val="0"/>
                      <w:szCs w:val="21"/>
                      <w:highlight w:val="none"/>
                    </w:rPr>
                  </w:pPr>
                  <w:r>
                    <w:rPr>
                      <w:bCs/>
                      <w:color w:val="auto"/>
                      <w:kern w:val="0"/>
                      <w:szCs w:val="21"/>
                      <w:highlight w:val="none"/>
                    </w:rPr>
                    <w:t>470</w:t>
                  </w:r>
                </w:p>
              </w:tc>
              <w:tc>
                <w:tcPr>
                  <w:tcW w:w="977" w:type="pct"/>
                  <w:vAlign w:val="center"/>
                </w:tcPr>
                <w:p w14:paraId="00A5DBD3">
                  <w:pPr>
                    <w:adjustRightInd w:val="0"/>
                    <w:snapToGrid w:val="0"/>
                    <w:spacing w:line="300" w:lineRule="exact"/>
                    <w:jc w:val="center"/>
                    <w:rPr>
                      <w:bCs/>
                      <w:color w:val="auto"/>
                      <w:kern w:val="0"/>
                      <w:szCs w:val="21"/>
                      <w:highlight w:val="none"/>
                    </w:rPr>
                  </w:pPr>
                  <w:r>
                    <w:rPr>
                      <w:bCs/>
                      <w:color w:val="auto"/>
                      <w:kern w:val="0"/>
                      <w:szCs w:val="21"/>
                      <w:highlight w:val="none"/>
                    </w:rPr>
                    <w:t>居民，约4人</w:t>
                  </w:r>
                </w:p>
              </w:tc>
              <w:tc>
                <w:tcPr>
                  <w:tcW w:w="510" w:type="pct"/>
                  <w:vMerge w:val="continue"/>
                  <w:vAlign w:val="center"/>
                </w:tcPr>
                <w:p w14:paraId="3C7DFAAF">
                  <w:pPr>
                    <w:adjustRightInd w:val="0"/>
                    <w:snapToGrid w:val="0"/>
                    <w:spacing w:line="300" w:lineRule="exact"/>
                    <w:jc w:val="center"/>
                    <w:rPr>
                      <w:bCs/>
                      <w:color w:val="auto"/>
                      <w:kern w:val="0"/>
                      <w:szCs w:val="21"/>
                      <w:highlight w:val="none"/>
                    </w:rPr>
                  </w:pPr>
                </w:p>
              </w:tc>
            </w:tr>
            <w:tr w14:paraId="7240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14:paraId="38BFC58E">
                  <w:pPr>
                    <w:adjustRightInd w:val="0"/>
                    <w:snapToGrid w:val="0"/>
                    <w:spacing w:line="300" w:lineRule="exact"/>
                    <w:jc w:val="center"/>
                    <w:rPr>
                      <w:bCs/>
                      <w:color w:val="auto"/>
                      <w:kern w:val="0"/>
                      <w:szCs w:val="21"/>
                      <w:highlight w:val="none"/>
                    </w:rPr>
                  </w:pPr>
                  <w:r>
                    <w:rPr>
                      <w:bCs/>
                      <w:color w:val="auto"/>
                      <w:kern w:val="0"/>
                      <w:szCs w:val="21"/>
                      <w:highlight w:val="none"/>
                    </w:rPr>
                    <w:t>20</w:t>
                  </w:r>
                </w:p>
              </w:tc>
              <w:tc>
                <w:tcPr>
                  <w:tcW w:w="888" w:type="pct"/>
                  <w:vAlign w:val="center"/>
                </w:tcPr>
                <w:p w14:paraId="1E330AD1">
                  <w:pPr>
                    <w:adjustRightInd w:val="0"/>
                    <w:snapToGrid w:val="0"/>
                    <w:spacing w:line="300" w:lineRule="exact"/>
                    <w:jc w:val="center"/>
                    <w:rPr>
                      <w:bCs/>
                      <w:color w:val="auto"/>
                      <w:kern w:val="0"/>
                      <w:szCs w:val="21"/>
                      <w:highlight w:val="none"/>
                    </w:rPr>
                  </w:pPr>
                  <w:r>
                    <w:rPr>
                      <w:bCs/>
                      <w:color w:val="auto"/>
                      <w:kern w:val="0"/>
                      <w:szCs w:val="21"/>
                      <w:highlight w:val="none"/>
                    </w:rPr>
                    <w:t>20#散户居民</w:t>
                  </w:r>
                </w:p>
              </w:tc>
              <w:tc>
                <w:tcPr>
                  <w:tcW w:w="394" w:type="pct"/>
                  <w:vAlign w:val="center"/>
                </w:tcPr>
                <w:p w14:paraId="39D38B7C">
                  <w:pPr>
                    <w:adjustRightInd w:val="0"/>
                    <w:snapToGrid w:val="0"/>
                    <w:spacing w:line="300" w:lineRule="exact"/>
                    <w:jc w:val="center"/>
                    <w:rPr>
                      <w:bCs/>
                      <w:color w:val="auto"/>
                      <w:kern w:val="0"/>
                      <w:szCs w:val="21"/>
                      <w:highlight w:val="none"/>
                    </w:rPr>
                  </w:pPr>
                  <w:r>
                    <w:rPr>
                      <w:bCs/>
                      <w:color w:val="auto"/>
                      <w:kern w:val="0"/>
                      <w:szCs w:val="21"/>
                      <w:highlight w:val="none"/>
                    </w:rPr>
                    <w:t>+6</w:t>
                  </w:r>
                </w:p>
              </w:tc>
              <w:tc>
                <w:tcPr>
                  <w:tcW w:w="404" w:type="pct"/>
                  <w:vAlign w:val="center"/>
                </w:tcPr>
                <w:p w14:paraId="6628E191">
                  <w:pPr>
                    <w:adjustRightInd w:val="0"/>
                    <w:snapToGrid w:val="0"/>
                    <w:spacing w:line="300" w:lineRule="exact"/>
                    <w:jc w:val="center"/>
                    <w:rPr>
                      <w:bCs/>
                      <w:color w:val="auto"/>
                      <w:kern w:val="0"/>
                      <w:szCs w:val="21"/>
                      <w:highlight w:val="none"/>
                    </w:rPr>
                  </w:pPr>
                  <w:r>
                    <w:rPr>
                      <w:bCs/>
                      <w:color w:val="auto"/>
                      <w:kern w:val="0"/>
                      <w:szCs w:val="21"/>
                      <w:highlight w:val="none"/>
                    </w:rPr>
                    <w:t>-527</w:t>
                  </w:r>
                </w:p>
              </w:tc>
              <w:tc>
                <w:tcPr>
                  <w:tcW w:w="385" w:type="pct"/>
                  <w:vAlign w:val="center"/>
                </w:tcPr>
                <w:p w14:paraId="1FD1753D">
                  <w:pPr>
                    <w:adjustRightInd w:val="0"/>
                    <w:snapToGrid w:val="0"/>
                    <w:spacing w:line="300" w:lineRule="exact"/>
                    <w:jc w:val="center"/>
                    <w:rPr>
                      <w:bCs/>
                      <w:color w:val="auto"/>
                      <w:kern w:val="0"/>
                      <w:szCs w:val="21"/>
                      <w:highlight w:val="none"/>
                    </w:rPr>
                  </w:pPr>
                  <w:r>
                    <w:rPr>
                      <w:bCs/>
                      <w:color w:val="auto"/>
                      <w:kern w:val="0"/>
                      <w:szCs w:val="21"/>
                      <w:highlight w:val="none"/>
                    </w:rPr>
                    <w:t>S</w:t>
                  </w:r>
                </w:p>
              </w:tc>
              <w:tc>
                <w:tcPr>
                  <w:tcW w:w="1175" w:type="pct"/>
                  <w:vAlign w:val="center"/>
                </w:tcPr>
                <w:p w14:paraId="35AE66BF">
                  <w:pPr>
                    <w:adjustRightInd w:val="0"/>
                    <w:snapToGrid w:val="0"/>
                    <w:spacing w:line="300" w:lineRule="exact"/>
                    <w:jc w:val="center"/>
                    <w:rPr>
                      <w:bCs/>
                      <w:color w:val="auto"/>
                      <w:kern w:val="0"/>
                      <w:szCs w:val="21"/>
                      <w:highlight w:val="none"/>
                    </w:rPr>
                  </w:pPr>
                  <w:r>
                    <w:rPr>
                      <w:bCs/>
                      <w:color w:val="auto"/>
                      <w:kern w:val="0"/>
                      <w:szCs w:val="21"/>
                      <w:highlight w:val="none"/>
                    </w:rPr>
                    <w:t>493</w:t>
                  </w:r>
                </w:p>
              </w:tc>
              <w:tc>
                <w:tcPr>
                  <w:tcW w:w="977" w:type="pct"/>
                  <w:vAlign w:val="center"/>
                </w:tcPr>
                <w:p w14:paraId="3DEC51C6">
                  <w:pPr>
                    <w:adjustRightInd w:val="0"/>
                    <w:snapToGrid w:val="0"/>
                    <w:spacing w:line="300" w:lineRule="exact"/>
                    <w:jc w:val="center"/>
                    <w:rPr>
                      <w:bCs/>
                      <w:color w:val="auto"/>
                      <w:kern w:val="0"/>
                      <w:szCs w:val="21"/>
                      <w:highlight w:val="none"/>
                    </w:rPr>
                  </w:pPr>
                  <w:r>
                    <w:rPr>
                      <w:bCs/>
                      <w:color w:val="auto"/>
                      <w:kern w:val="0"/>
                      <w:szCs w:val="21"/>
                      <w:highlight w:val="none"/>
                    </w:rPr>
                    <w:t>居民，约8人</w:t>
                  </w:r>
                </w:p>
              </w:tc>
              <w:tc>
                <w:tcPr>
                  <w:tcW w:w="510" w:type="pct"/>
                  <w:vMerge w:val="continue"/>
                  <w:vAlign w:val="center"/>
                </w:tcPr>
                <w:p w14:paraId="2E249103">
                  <w:pPr>
                    <w:adjustRightInd w:val="0"/>
                    <w:snapToGrid w:val="0"/>
                    <w:spacing w:line="300" w:lineRule="exact"/>
                    <w:jc w:val="center"/>
                    <w:rPr>
                      <w:bCs/>
                      <w:color w:val="auto"/>
                      <w:kern w:val="0"/>
                      <w:szCs w:val="21"/>
                      <w:highlight w:val="none"/>
                    </w:rPr>
                  </w:pPr>
                </w:p>
              </w:tc>
            </w:tr>
            <w:tr w14:paraId="4ED1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8"/>
                  <w:vAlign w:val="center"/>
                </w:tcPr>
                <w:p w14:paraId="6F9DC975">
                  <w:pPr>
                    <w:adjustRightInd w:val="0"/>
                    <w:snapToGrid w:val="0"/>
                    <w:spacing w:line="300" w:lineRule="exact"/>
                    <w:rPr>
                      <w:bCs/>
                      <w:color w:val="auto"/>
                      <w:kern w:val="0"/>
                      <w:szCs w:val="21"/>
                      <w:highlight w:val="none"/>
                    </w:rPr>
                  </w:pPr>
                  <w:r>
                    <w:rPr>
                      <w:bCs/>
                      <w:color w:val="auto"/>
                      <w:kern w:val="0"/>
                      <w:szCs w:val="21"/>
                      <w:highlight w:val="none"/>
                    </w:rPr>
                    <w:t>备注：以厂</w:t>
                  </w:r>
                  <w:r>
                    <w:rPr>
                      <w:rFonts w:hint="eastAsia"/>
                      <w:bCs/>
                      <w:color w:val="auto"/>
                      <w:kern w:val="0"/>
                      <w:szCs w:val="21"/>
                      <w:highlight w:val="none"/>
                    </w:rPr>
                    <w:t>房</w:t>
                  </w:r>
                  <w:r>
                    <w:rPr>
                      <w:bCs/>
                      <w:color w:val="auto"/>
                      <w:kern w:val="0"/>
                      <w:szCs w:val="21"/>
                      <w:highlight w:val="none"/>
                    </w:rPr>
                    <w:t>中心为坐标原点。</w:t>
                  </w:r>
                </w:p>
              </w:tc>
            </w:tr>
          </w:tbl>
          <w:p w14:paraId="09CB4320">
            <w:pPr>
              <w:adjustRightInd w:val="0"/>
              <w:snapToGrid w:val="0"/>
              <w:rPr>
                <w:b/>
                <w:bCs/>
                <w:color w:val="auto"/>
                <w:kern w:val="0"/>
                <w:sz w:val="24"/>
                <w:highlight w:val="none"/>
              </w:rPr>
            </w:pPr>
          </w:p>
          <w:p w14:paraId="1BD92659">
            <w:pPr>
              <w:adjustRightInd w:val="0"/>
              <w:snapToGrid w:val="0"/>
              <w:spacing w:line="460" w:lineRule="exact"/>
              <w:rPr>
                <w:b/>
                <w:bCs/>
                <w:color w:val="auto"/>
                <w:kern w:val="0"/>
                <w:sz w:val="24"/>
                <w:highlight w:val="none"/>
              </w:rPr>
            </w:pPr>
            <w:r>
              <w:rPr>
                <w:b/>
                <w:bCs/>
                <w:color w:val="auto"/>
                <w:kern w:val="0"/>
                <w:sz w:val="24"/>
                <w:highlight w:val="none"/>
              </w:rPr>
              <w:t>3.2.2声环境保护目标</w:t>
            </w:r>
          </w:p>
          <w:p w14:paraId="0490AAD4">
            <w:pPr>
              <w:adjustRightInd w:val="0"/>
              <w:snapToGrid w:val="0"/>
              <w:spacing w:line="460" w:lineRule="exact"/>
              <w:ind w:firstLine="480" w:firstLineChars="200"/>
              <w:rPr>
                <w:color w:val="auto"/>
                <w:kern w:val="0"/>
                <w:sz w:val="24"/>
                <w:highlight w:val="none"/>
              </w:rPr>
            </w:pPr>
            <w:r>
              <w:rPr>
                <w:color w:val="auto"/>
                <w:kern w:val="0"/>
                <w:sz w:val="24"/>
                <w:highlight w:val="none"/>
              </w:rPr>
              <w:t>本项目厂界外50 m范围内无声环境保护目标。</w:t>
            </w:r>
          </w:p>
          <w:p w14:paraId="0B81725B">
            <w:pPr>
              <w:adjustRightInd w:val="0"/>
              <w:snapToGrid w:val="0"/>
              <w:spacing w:line="460" w:lineRule="exact"/>
              <w:rPr>
                <w:b/>
                <w:bCs/>
                <w:color w:val="auto"/>
                <w:kern w:val="0"/>
                <w:sz w:val="24"/>
                <w:highlight w:val="none"/>
              </w:rPr>
            </w:pPr>
            <w:r>
              <w:rPr>
                <w:b/>
                <w:bCs/>
                <w:color w:val="auto"/>
                <w:kern w:val="0"/>
                <w:sz w:val="24"/>
                <w:highlight w:val="none"/>
              </w:rPr>
              <w:t>3.2.3地下水环境保护目标</w:t>
            </w:r>
          </w:p>
          <w:p w14:paraId="138507B7">
            <w:pPr>
              <w:adjustRightInd w:val="0"/>
              <w:snapToGrid w:val="0"/>
              <w:spacing w:line="460" w:lineRule="exact"/>
              <w:ind w:firstLine="480" w:firstLineChars="200"/>
              <w:rPr>
                <w:color w:val="auto"/>
                <w:kern w:val="0"/>
                <w:sz w:val="24"/>
                <w:highlight w:val="none"/>
              </w:rPr>
            </w:pPr>
            <w:r>
              <w:rPr>
                <w:color w:val="auto"/>
                <w:kern w:val="0"/>
                <w:sz w:val="24"/>
                <w:highlight w:val="none"/>
              </w:rPr>
              <w:t>本项目厂界外500 m范围内无地下水集中式饮用水水源和热水、矿泉水、温泉等特殊地下水资源。故本项目不涉及地下水环境保护目标。</w:t>
            </w:r>
          </w:p>
          <w:p w14:paraId="09871AC3">
            <w:pPr>
              <w:adjustRightInd w:val="0"/>
              <w:snapToGrid w:val="0"/>
              <w:spacing w:line="460" w:lineRule="exact"/>
              <w:rPr>
                <w:b/>
                <w:bCs/>
                <w:color w:val="auto"/>
                <w:kern w:val="0"/>
                <w:sz w:val="24"/>
                <w:highlight w:val="none"/>
              </w:rPr>
            </w:pPr>
            <w:r>
              <w:rPr>
                <w:b/>
                <w:bCs/>
                <w:color w:val="auto"/>
                <w:kern w:val="0"/>
                <w:sz w:val="24"/>
                <w:highlight w:val="none"/>
              </w:rPr>
              <w:t>3.2.4生态环境保护目标</w:t>
            </w:r>
          </w:p>
          <w:p w14:paraId="2B2E2E66">
            <w:pPr>
              <w:adjustRightInd w:val="0"/>
              <w:snapToGrid w:val="0"/>
              <w:spacing w:line="460" w:lineRule="exact"/>
              <w:ind w:firstLine="480" w:firstLineChars="200"/>
              <w:rPr>
                <w:color w:val="auto"/>
                <w:sz w:val="24"/>
                <w:highlight w:val="none"/>
              </w:rPr>
            </w:pPr>
            <w:r>
              <w:rPr>
                <w:rFonts w:hint="eastAsia"/>
                <w:color w:val="auto"/>
                <w:sz w:val="24"/>
                <w:highlight w:val="none"/>
              </w:rPr>
              <w:t>本项目位于重庆市合川区龙市镇龙马大道7号，租用重庆市厨鼎食品有限公司1#闲置厂房</w:t>
            </w:r>
            <w:r>
              <w:rPr>
                <w:rFonts w:hint="eastAsia"/>
                <w:bCs/>
                <w:color w:val="auto"/>
                <w:sz w:val="24"/>
                <w:highlight w:val="none"/>
              </w:rPr>
              <w:t>1F和2F</w:t>
            </w:r>
            <w:r>
              <w:rPr>
                <w:rFonts w:hint="eastAsia"/>
                <w:color w:val="auto"/>
                <w:sz w:val="24"/>
                <w:highlight w:val="none"/>
              </w:rPr>
              <w:t>进行项目建设，无新增用地，故本项目不涉及生态环境保护目标。</w:t>
            </w:r>
          </w:p>
          <w:p w14:paraId="6EC61B6A">
            <w:pPr>
              <w:widowControl/>
              <w:spacing w:line="460" w:lineRule="exact"/>
              <w:jc w:val="left"/>
              <w:rPr>
                <w:b/>
                <w:bCs/>
                <w:color w:val="auto"/>
                <w:kern w:val="0"/>
                <w:sz w:val="24"/>
                <w:highlight w:val="none"/>
                <w:lang w:bidi="ar"/>
              </w:rPr>
            </w:pPr>
            <w:r>
              <w:rPr>
                <w:rFonts w:hint="eastAsia"/>
                <w:b/>
                <w:bCs/>
                <w:color w:val="auto"/>
                <w:sz w:val="24"/>
                <w:highlight w:val="none"/>
              </w:rPr>
              <w:t>3.2.5</w:t>
            </w:r>
            <w:r>
              <w:rPr>
                <w:b/>
                <w:bCs/>
                <w:color w:val="auto"/>
                <w:kern w:val="0"/>
                <w:sz w:val="24"/>
                <w:highlight w:val="none"/>
                <w:lang w:bidi="ar"/>
              </w:rPr>
              <w:t>项目周边情况</w:t>
            </w:r>
          </w:p>
          <w:p w14:paraId="11FAB364">
            <w:pPr>
              <w:widowControl/>
              <w:spacing w:line="460" w:lineRule="exact"/>
              <w:ind w:firstLine="480" w:firstLineChars="200"/>
              <w:jc w:val="left"/>
              <w:rPr>
                <w:rFonts w:hint="default" w:eastAsia="宋体"/>
                <w:bCs/>
                <w:color w:val="auto"/>
                <w:sz w:val="24"/>
                <w:highlight w:val="none"/>
                <w:lang w:val="en-US" w:eastAsia="zh-CN"/>
              </w:rPr>
            </w:pPr>
            <w:r>
              <w:rPr>
                <w:bCs/>
                <w:color w:val="auto"/>
                <w:sz w:val="24"/>
                <w:highlight w:val="none"/>
              </w:rPr>
              <w:t>本项目位于重庆市合川区龙市镇龙马大道7号，</w:t>
            </w:r>
            <w:r>
              <w:rPr>
                <w:rFonts w:hint="eastAsia"/>
                <w:bCs/>
                <w:color w:val="auto"/>
                <w:sz w:val="24"/>
                <w:highlight w:val="none"/>
              </w:rPr>
              <w:t>拟租赁重庆市厨鼎食品有限公司1#闲置厂房1F和2F进行建设。本</w:t>
            </w:r>
            <w:r>
              <w:rPr>
                <w:bCs/>
                <w:color w:val="auto"/>
                <w:sz w:val="24"/>
                <w:highlight w:val="none"/>
              </w:rPr>
              <w:t>项目东侧为重庆市厨鼎</w:t>
            </w:r>
            <w:r>
              <w:rPr>
                <w:rFonts w:hint="eastAsia"/>
                <w:bCs/>
                <w:color w:val="auto"/>
                <w:sz w:val="24"/>
                <w:highlight w:val="none"/>
              </w:rPr>
              <w:t>食品</w:t>
            </w:r>
            <w:r>
              <w:rPr>
                <w:bCs/>
                <w:color w:val="auto"/>
                <w:sz w:val="24"/>
                <w:highlight w:val="none"/>
              </w:rPr>
              <w:t>有限公司，东南侧为重庆</w:t>
            </w:r>
            <w:r>
              <w:rPr>
                <w:rFonts w:hint="eastAsia"/>
                <w:bCs/>
                <w:color w:val="auto"/>
                <w:sz w:val="24"/>
                <w:highlight w:val="none"/>
              </w:rPr>
              <w:t>市</w:t>
            </w:r>
            <w:r>
              <w:rPr>
                <w:bCs/>
                <w:color w:val="auto"/>
                <w:sz w:val="24"/>
                <w:highlight w:val="none"/>
              </w:rPr>
              <w:t>曾巧食品有限公司，厂区南侧为重庆市昀余庄食品有限公司，东北侧为龙市镇工业污水</w:t>
            </w:r>
            <w:r>
              <w:rPr>
                <w:rFonts w:hint="eastAsia"/>
                <w:bCs/>
                <w:color w:val="auto"/>
                <w:sz w:val="24"/>
                <w:highlight w:val="none"/>
              </w:rPr>
              <w:t>处理</w:t>
            </w:r>
            <w:r>
              <w:rPr>
                <w:bCs/>
                <w:color w:val="auto"/>
                <w:sz w:val="24"/>
                <w:highlight w:val="none"/>
              </w:rPr>
              <w:t>厂，西侧为工业拓展规划用地。</w:t>
            </w:r>
            <w:r>
              <w:rPr>
                <w:rFonts w:hint="eastAsia"/>
                <w:bCs/>
                <w:color w:val="auto"/>
                <w:sz w:val="24"/>
                <w:highlight w:val="none"/>
              </w:rPr>
              <w:t>具体方位与距离见表3.2-2。项目</w:t>
            </w:r>
            <w:r>
              <w:rPr>
                <w:rFonts w:hint="eastAsia"/>
                <w:bCs/>
                <w:color w:val="auto"/>
                <w:sz w:val="24"/>
                <w:highlight w:val="none"/>
                <w:lang w:val="en-US" w:eastAsia="zh-CN"/>
              </w:rPr>
              <w:t>周边100m内</w:t>
            </w:r>
            <w:r>
              <w:rPr>
                <w:rFonts w:hint="eastAsia"/>
                <w:bCs/>
                <w:color w:val="auto"/>
                <w:sz w:val="24"/>
                <w:highlight w:val="none"/>
              </w:rPr>
              <w:t>外环境关系图见附图4。</w:t>
            </w:r>
          </w:p>
          <w:p w14:paraId="42623F5C">
            <w:pPr>
              <w:widowControl/>
              <w:spacing w:line="460" w:lineRule="exact"/>
              <w:jc w:val="center"/>
              <w:rPr>
                <w:b/>
                <w:color w:val="auto"/>
                <w:sz w:val="24"/>
                <w:highlight w:val="none"/>
              </w:rPr>
            </w:pPr>
            <w:r>
              <w:rPr>
                <w:rFonts w:hint="eastAsia"/>
                <w:b/>
                <w:color w:val="auto"/>
                <w:sz w:val="24"/>
                <w:highlight w:val="none"/>
              </w:rPr>
              <w:t>表3.2-2  本项目外环境关系情况统计表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3065"/>
              <w:gridCol w:w="866"/>
              <w:gridCol w:w="3758"/>
            </w:tblGrid>
            <w:tr w14:paraId="7953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0" w:type="pct"/>
                  <w:shd w:val="clear" w:color="auto" w:fill="auto"/>
                  <w:vAlign w:val="center"/>
                </w:tcPr>
                <w:p w14:paraId="0E1D2931">
                  <w:pPr>
                    <w:widowControl/>
                    <w:jc w:val="center"/>
                    <w:rPr>
                      <w:rFonts w:ascii="宋体" w:hAnsi="宋体" w:cs="宋体"/>
                      <w:color w:val="auto"/>
                      <w:kern w:val="0"/>
                      <w:szCs w:val="21"/>
                      <w:highlight w:val="none"/>
                      <w:lang w:bidi="ar"/>
                    </w:rPr>
                  </w:pPr>
                  <w:r>
                    <w:rPr>
                      <w:rFonts w:ascii="宋体" w:hAnsi="宋体" w:cs="宋体"/>
                      <w:color w:val="auto"/>
                      <w:kern w:val="0"/>
                      <w:szCs w:val="21"/>
                      <w:highlight w:val="none"/>
                      <w:lang w:bidi="ar"/>
                    </w:rPr>
                    <w:t>序号</w:t>
                  </w:r>
                </w:p>
              </w:tc>
              <w:tc>
                <w:tcPr>
                  <w:tcW w:w="1833" w:type="pct"/>
                  <w:shd w:val="clear" w:color="auto" w:fill="auto"/>
                  <w:vAlign w:val="center"/>
                </w:tcPr>
                <w:p w14:paraId="1D805389">
                  <w:pPr>
                    <w:widowControl/>
                    <w:jc w:val="center"/>
                    <w:rPr>
                      <w:rFonts w:ascii="宋体" w:hAnsi="宋体" w:cs="宋体"/>
                      <w:color w:val="auto"/>
                      <w:kern w:val="0"/>
                      <w:szCs w:val="21"/>
                      <w:highlight w:val="none"/>
                      <w:lang w:bidi="ar"/>
                    </w:rPr>
                  </w:pPr>
                  <w:r>
                    <w:rPr>
                      <w:rFonts w:ascii="宋体" w:hAnsi="宋体" w:cs="宋体"/>
                      <w:color w:val="auto"/>
                      <w:kern w:val="0"/>
                      <w:szCs w:val="21"/>
                      <w:highlight w:val="none"/>
                      <w:lang w:bidi="ar"/>
                    </w:rPr>
                    <w:t>名称</w:t>
                  </w:r>
                </w:p>
              </w:tc>
              <w:tc>
                <w:tcPr>
                  <w:tcW w:w="518" w:type="pct"/>
                  <w:shd w:val="clear" w:color="auto" w:fill="auto"/>
                  <w:vAlign w:val="center"/>
                </w:tcPr>
                <w:p w14:paraId="77D58CF3">
                  <w:pPr>
                    <w:widowControl/>
                    <w:jc w:val="center"/>
                    <w:rPr>
                      <w:rFonts w:ascii="宋体" w:hAnsi="宋体" w:cs="宋体"/>
                      <w:color w:val="auto"/>
                      <w:kern w:val="0"/>
                      <w:szCs w:val="21"/>
                      <w:highlight w:val="none"/>
                      <w:lang w:bidi="ar"/>
                    </w:rPr>
                  </w:pPr>
                  <w:r>
                    <w:rPr>
                      <w:rFonts w:ascii="宋体" w:hAnsi="宋体" w:cs="宋体"/>
                      <w:color w:val="auto"/>
                      <w:kern w:val="0"/>
                      <w:szCs w:val="21"/>
                      <w:highlight w:val="none"/>
                      <w:lang w:bidi="ar"/>
                    </w:rPr>
                    <w:t>方位</w:t>
                  </w:r>
                </w:p>
              </w:tc>
              <w:tc>
                <w:tcPr>
                  <w:tcW w:w="2247" w:type="pct"/>
                  <w:shd w:val="clear" w:color="auto" w:fill="auto"/>
                  <w:vAlign w:val="center"/>
                </w:tcPr>
                <w:p w14:paraId="37D2C77E">
                  <w:pPr>
                    <w:widowControl/>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距离本项目</w:t>
                  </w:r>
                  <w:r>
                    <w:rPr>
                      <w:rFonts w:ascii="宋体" w:hAnsi="宋体" w:cs="宋体"/>
                      <w:color w:val="auto"/>
                      <w:kern w:val="0"/>
                      <w:szCs w:val="21"/>
                      <w:highlight w:val="none"/>
                      <w:lang w:bidi="ar"/>
                    </w:rPr>
                    <w:t>最近距离（m）</w:t>
                  </w:r>
                </w:p>
              </w:tc>
            </w:tr>
            <w:tr w14:paraId="31EC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vAlign w:val="center"/>
                </w:tcPr>
                <w:p w14:paraId="7E1C1D1B">
                  <w:pPr>
                    <w:adjustRightInd w:val="0"/>
                    <w:snapToGrid w:val="0"/>
                    <w:spacing w:line="300" w:lineRule="exact"/>
                    <w:jc w:val="center"/>
                    <w:rPr>
                      <w:bCs/>
                      <w:color w:val="auto"/>
                      <w:szCs w:val="21"/>
                      <w:highlight w:val="none"/>
                    </w:rPr>
                  </w:pPr>
                  <w:r>
                    <w:rPr>
                      <w:bCs/>
                      <w:color w:val="auto"/>
                      <w:kern w:val="0"/>
                      <w:szCs w:val="21"/>
                      <w:highlight w:val="none"/>
                    </w:rPr>
                    <w:t>1</w:t>
                  </w:r>
                </w:p>
              </w:tc>
              <w:tc>
                <w:tcPr>
                  <w:tcW w:w="1833" w:type="pct"/>
                  <w:vAlign w:val="center"/>
                </w:tcPr>
                <w:p w14:paraId="3DC6AB53">
                  <w:pPr>
                    <w:widowControl/>
                    <w:jc w:val="center"/>
                    <w:rPr>
                      <w:color w:val="auto"/>
                      <w:szCs w:val="21"/>
                      <w:highlight w:val="none"/>
                    </w:rPr>
                  </w:pPr>
                  <w:r>
                    <w:rPr>
                      <w:color w:val="auto"/>
                      <w:kern w:val="0"/>
                      <w:szCs w:val="21"/>
                      <w:highlight w:val="none"/>
                      <w:lang w:bidi="ar"/>
                    </w:rPr>
                    <w:t>重庆市厨鼎食品有限公司</w:t>
                  </w:r>
                  <w:r>
                    <w:rPr>
                      <w:rFonts w:hint="eastAsia"/>
                      <w:color w:val="auto"/>
                      <w:kern w:val="0"/>
                      <w:szCs w:val="21"/>
                      <w:highlight w:val="none"/>
                      <w:lang w:bidi="ar"/>
                    </w:rPr>
                    <w:t>2#厂房</w:t>
                  </w:r>
                </w:p>
              </w:tc>
              <w:tc>
                <w:tcPr>
                  <w:tcW w:w="518" w:type="pct"/>
                  <w:vAlign w:val="center"/>
                </w:tcPr>
                <w:p w14:paraId="40249E67">
                  <w:pPr>
                    <w:adjustRightInd w:val="0"/>
                    <w:snapToGrid w:val="0"/>
                    <w:spacing w:line="300" w:lineRule="exact"/>
                    <w:jc w:val="center"/>
                    <w:rPr>
                      <w:bCs/>
                      <w:color w:val="auto"/>
                      <w:szCs w:val="21"/>
                      <w:highlight w:val="none"/>
                    </w:rPr>
                  </w:pPr>
                  <w:r>
                    <w:rPr>
                      <w:rFonts w:hint="eastAsia"/>
                      <w:bCs/>
                      <w:color w:val="auto"/>
                      <w:szCs w:val="21"/>
                      <w:highlight w:val="none"/>
                    </w:rPr>
                    <w:t>E</w:t>
                  </w:r>
                </w:p>
              </w:tc>
              <w:tc>
                <w:tcPr>
                  <w:tcW w:w="2247" w:type="pct"/>
                  <w:vAlign w:val="center"/>
                </w:tcPr>
                <w:p w14:paraId="5E4134E6">
                  <w:pPr>
                    <w:adjustRightInd w:val="0"/>
                    <w:snapToGrid w:val="0"/>
                    <w:spacing w:line="300" w:lineRule="exact"/>
                    <w:jc w:val="center"/>
                    <w:rPr>
                      <w:bCs/>
                      <w:color w:val="auto"/>
                      <w:kern w:val="0"/>
                      <w:szCs w:val="21"/>
                      <w:highlight w:val="none"/>
                    </w:rPr>
                  </w:pPr>
                  <w:r>
                    <w:rPr>
                      <w:rFonts w:hint="eastAsia"/>
                      <w:bCs/>
                      <w:color w:val="auto"/>
                      <w:kern w:val="0"/>
                      <w:szCs w:val="21"/>
                      <w:highlight w:val="none"/>
                    </w:rPr>
                    <w:t>20</w:t>
                  </w:r>
                </w:p>
              </w:tc>
            </w:tr>
            <w:tr w14:paraId="06C9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vAlign w:val="center"/>
                </w:tcPr>
                <w:p w14:paraId="4E02D2E5">
                  <w:pPr>
                    <w:adjustRightInd w:val="0"/>
                    <w:snapToGrid w:val="0"/>
                    <w:spacing w:line="300" w:lineRule="exact"/>
                    <w:jc w:val="center"/>
                    <w:rPr>
                      <w:bCs/>
                      <w:color w:val="auto"/>
                      <w:kern w:val="0"/>
                      <w:szCs w:val="21"/>
                      <w:highlight w:val="none"/>
                    </w:rPr>
                  </w:pPr>
                  <w:r>
                    <w:rPr>
                      <w:rFonts w:hint="eastAsia"/>
                      <w:bCs/>
                      <w:color w:val="auto"/>
                      <w:kern w:val="0"/>
                      <w:szCs w:val="21"/>
                      <w:highlight w:val="none"/>
                    </w:rPr>
                    <w:t>2</w:t>
                  </w:r>
                </w:p>
              </w:tc>
              <w:tc>
                <w:tcPr>
                  <w:tcW w:w="1833" w:type="pct"/>
                  <w:shd w:val="clear" w:color="auto" w:fill="auto"/>
                  <w:vAlign w:val="center"/>
                </w:tcPr>
                <w:p w14:paraId="6BBD82CB">
                  <w:pPr>
                    <w:widowControl/>
                    <w:jc w:val="center"/>
                    <w:rPr>
                      <w:color w:val="auto"/>
                      <w:szCs w:val="21"/>
                      <w:highlight w:val="none"/>
                    </w:rPr>
                  </w:pPr>
                  <w:r>
                    <w:rPr>
                      <w:rFonts w:hint="eastAsia" w:ascii="宋体" w:hAnsi="宋体" w:cs="宋体"/>
                      <w:color w:val="auto"/>
                      <w:kern w:val="0"/>
                      <w:szCs w:val="21"/>
                      <w:highlight w:val="none"/>
                      <w:lang w:bidi="ar"/>
                    </w:rPr>
                    <w:t>重庆市曾巧食品有限公司</w:t>
                  </w:r>
                </w:p>
              </w:tc>
              <w:tc>
                <w:tcPr>
                  <w:tcW w:w="518" w:type="pct"/>
                  <w:shd w:val="clear" w:color="auto" w:fill="auto"/>
                  <w:vAlign w:val="center"/>
                </w:tcPr>
                <w:p w14:paraId="45128C43">
                  <w:pPr>
                    <w:adjustRightInd w:val="0"/>
                    <w:snapToGrid w:val="0"/>
                    <w:spacing w:line="300" w:lineRule="exact"/>
                    <w:jc w:val="center"/>
                    <w:rPr>
                      <w:bCs/>
                      <w:color w:val="auto"/>
                      <w:szCs w:val="21"/>
                      <w:highlight w:val="none"/>
                    </w:rPr>
                  </w:pPr>
                  <w:r>
                    <w:rPr>
                      <w:rFonts w:hint="eastAsia"/>
                      <w:bCs/>
                      <w:color w:val="auto"/>
                      <w:szCs w:val="21"/>
                      <w:highlight w:val="none"/>
                    </w:rPr>
                    <w:t>SE</w:t>
                  </w:r>
                </w:p>
              </w:tc>
              <w:tc>
                <w:tcPr>
                  <w:tcW w:w="2247" w:type="pct"/>
                  <w:shd w:val="clear" w:color="auto" w:fill="auto"/>
                  <w:vAlign w:val="center"/>
                </w:tcPr>
                <w:p w14:paraId="518DD380">
                  <w:pPr>
                    <w:adjustRightInd w:val="0"/>
                    <w:snapToGrid w:val="0"/>
                    <w:spacing w:line="300" w:lineRule="exact"/>
                    <w:jc w:val="center"/>
                    <w:rPr>
                      <w:bCs/>
                      <w:color w:val="auto"/>
                      <w:kern w:val="0"/>
                      <w:szCs w:val="21"/>
                      <w:highlight w:val="none"/>
                    </w:rPr>
                  </w:pPr>
                  <w:r>
                    <w:rPr>
                      <w:rFonts w:hint="eastAsia"/>
                      <w:bCs/>
                      <w:color w:val="auto"/>
                      <w:kern w:val="0"/>
                      <w:szCs w:val="21"/>
                      <w:highlight w:val="none"/>
                    </w:rPr>
                    <w:t>50</w:t>
                  </w:r>
                </w:p>
              </w:tc>
            </w:tr>
            <w:tr w14:paraId="4320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vAlign w:val="center"/>
                </w:tcPr>
                <w:p w14:paraId="6EAF069A">
                  <w:pPr>
                    <w:adjustRightInd w:val="0"/>
                    <w:snapToGrid w:val="0"/>
                    <w:spacing w:line="300" w:lineRule="exact"/>
                    <w:jc w:val="center"/>
                    <w:rPr>
                      <w:bCs/>
                      <w:color w:val="auto"/>
                      <w:kern w:val="0"/>
                      <w:szCs w:val="21"/>
                      <w:highlight w:val="none"/>
                    </w:rPr>
                  </w:pPr>
                  <w:r>
                    <w:rPr>
                      <w:rFonts w:hint="eastAsia"/>
                      <w:bCs/>
                      <w:color w:val="auto"/>
                      <w:kern w:val="0"/>
                      <w:szCs w:val="21"/>
                      <w:highlight w:val="none"/>
                    </w:rPr>
                    <w:t>3</w:t>
                  </w:r>
                </w:p>
              </w:tc>
              <w:tc>
                <w:tcPr>
                  <w:tcW w:w="1833" w:type="pct"/>
                  <w:shd w:val="clear" w:color="auto" w:fill="auto"/>
                  <w:vAlign w:val="center"/>
                </w:tcPr>
                <w:p w14:paraId="0B313CAE">
                  <w:pPr>
                    <w:widowControl/>
                    <w:jc w:val="center"/>
                    <w:rPr>
                      <w:bCs/>
                      <w:color w:val="auto"/>
                      <w:szCs w:val="21"/>
                      <w:highlight w:val="none"/>
                    </w:rPr>
                  </w:pPr>
                  <w:r>
                    <w:rPr>
                      <w:rFonts w:hint="eastAsia" w:ascii="宋体" w:hAnsi="宋体" w:cs="宋体"/>
                      <w:bCs/>
                      <w:color w:val="auto"/>
                      <w:kern w:val="0"/>
                      <w:szCs w:val="21"/>
                      <w:highlight w:val="none"/>
                      <w:lang w:bidi="ar"/>
                    </w:rPr>
                    <w:t>重庆市昀余庄食品有限公司</w:t>
                  </w:r>
                </w:p>
              </w:tc>
              <w:tc>
                <w:tcPr>
                  <w:tcW w:w="518" w:type="pct"/>
                  <w:shd w:val="clear" w:color="auto" w:fill="auto"/>
                  <w:vAlign w:val="center"/>
                </w:tcPr>
                <w:p w14:paraId="6D439BEB">
                  <w:pPr>
                    <w:adjustRightInd w:val="0"/>
                    <w:snapToGrid w:val="0"/>
                    <w:spacing w:line="300" w:lineRule="exact"/>
                    <w:jc w:val="center"/>
                    <w:rPr>
                      <w:bCs/>
                      <w:color w:val="auto"/>
                      <w:szCs w:val="21"/>
                      <w:highlight w:val="none"/>
                    </w:rPr>
                  </w:pPr>
                  <w:r>
                    <w:rPr>
                      <w:rFonts w:hint="eastAsia"/>
                      <w:bCs/>
                      <w:color w:val="auto"/>
                      <w:szCs w:val="21"/>
                      <w:highlight w:val="none"/>
                    </w:rPr>
                    <w:t>S</w:t>
                  </w:r>
                </w:p>
              </w:tc>
              <w:tc>
                <w:tcPr>
                  <w:tcW w:w="2247" w:type="pct"/>
                  <w:shd w:val="clear" w:color="auto" w:fill="auto"/>
                  <w:vAlign w:val="center"/>
                </w:tcPr>
                <w:p w14:paraId="0F6E476F">
                  <w:pPr>
                    <w:adjustRightInd w:val="0"/>
                    <w:snapToGrid w:val="0"/>
                    <w:spacing w:line="300" w:lineRule="exact"/>
                    <w:jc w:val="center"/>
                    <w:rPr>
                      <w:bCs/>
                      <w:color w:val="auto"/>
                      <w:kern w:val="0"/>
                      <w:szCs w:val="21"/>
                      <w:highlight w:val="none"/>
                    </w:rPr>
                  </w:pPr>
                  <w:r>
                    <w:rPr>
                      <w:rFonts w:hint="eastAsia"/>
                      <w:bCs/>
                      <w:color w:val="auto"/>
                      <w:kern w:val="0"/>
                      <w:szCs w:val="21"/>
                      <w:highlight w:val="none"/>
                    </w:rPr>
                    <w:t>55</w:t>
                  </w:r>
                </w:p>
              </w:tc>
            </w:tr>
            <w:tr w14:paraId="4D2A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vAlign w:val="center"/>
                </w:tcPr>
                <w:p w14:paraId="086BD92A">
                  <w:pPr>
                    <w:adjustRightInd w:val="0"/>
                    <w:snapToGrid w:val="0"/>
                    <w:spacing w:line="300" w:lineRule="exact"/>
                    <w:jc w:val="center"/>
                    <w:rPr>
                      <w:rFonts w:hint="eastAsia" w:eastAsia="宋体"/>
                      <w:bCs/>
                      <w:color w:val="auto"/>
                      <w:kern w:val="0"/>
                      <w:szCs w:val="21"/>
                      <w:highlight w:val="none"/>
                      <w:lang w:eastAsia="zh-CN"/>
                    </w:rPr>
                  </w:pPr>
                  <w:r>
                    <w:rPr>
                      <w:rFonts w:hint="eastAsia"/>
                      <w:bCs/>
                      <w:color w:val="auto"/>
                      <w:kern w:val="0"/>
                      <w:szCs w:val="21"/>
                      <w:highlight w:val="none"/>
                      <w:lang w:val="en-US" w:eastAsia="zh-CN"/>
                    </w:rPr>
                    <w:t>4</w:t>
                  </w:r>
                </w:p>
              </w:tc>
              <w:tc>
                <w:tcPr>
                  <w:tcW w:w="1833" w:type="pct"/>
                  <w:shd w:val="clear" w:color="auto" w:fill="auto"/>
                  <w:vAlign w:val="center"/>
                </w:tcPr>
                <w:p w14:paraId="550B5964">
                  <w:pPr>
                    <w:adjustRightInd w:val="0"/>
                    <w:snapToGrid w:val="0"/>
                    <w:spacing w:line="300" w:lineRule="exact"/>
                    <w:jc w:val="center"/>
                    <w:rPr>
                      <w:color w:val="auto"/>
                      <w:szCs w:val="21"/>
                      <w:highlight w:val="none"/>
                    </w:rPr>
                  </w:pPr>
                  <w:r>
                    <w:rPr>
                      <w:rFonts w:hint="eastAsia"/>
                      <w:color w:val="auto"/>
                      <w:szCs w:val="21"/>
                      <w:highlight w:val="none"/>
                    </w:rPr>
                    <w:t>龙市镇工业污水处理厂</w:t>
                  </w:r>
                </w:p>
              </w:tc>
              <w:tc>
                <w:tcPr>
                  <w:tcW w:w="518" w:type="pct"/>
                  <w:shd w:val="clear" w:color="auto" w:fill="auto"/>
                  <w:vAlign w:val="center"/>
                </w:tcPr>
                <w:p w14:paraId="32F6642F">
                  <w:pPr>
                    <w:adjustRightInd w:val="0"/>
                    <w:snapToGrid w:val="0"/>
                    <w:spacing w:line="300" w:lineRule="exact"/>
                    <w:jc w:val="center"/>
                    <w:rPr>
                      <w:bCs/>
                      <w:color w:val="auto"/>
                      <w:szCs w:val="21"/>
                      <w:highlight w:val="none"/>
                    </w:rPr>
                  </w:pPr>
                  <w:r>
                    <w:rPr>
                      <w:rFonts w:hint="eastAsia"/>
                      <w:bCs/>
                      <w:color w:val="auto"/>
                      <w:szCs w:val="21"/>
                      <w:highlight w:val="none"/>
                    </w:rPr>
                    <w:t>NE</w:t>
                  </w:r>
                </w:p>
              </w:tc>
              <w:tc>
                <w:tcPr>
                  <w:tcW w:w="2247" w:type="pct"/>
                  <w:shd w:val="clear" w:color="auto" w:fill="auto"/>
                  <w:vAlign w:val="center"/>
                </w:tcPr>
                <w:p w14:paraId="388050D9">
                  <w:pPr>
                    <w:adjustRightInd w:val="0"/>
                    <w:snapToGrid w:val="0"/>
                    <w:spacing w:line="300" w:lineRule="exact"/>
                    <w:jc w:val="center"/>
                    <w:rPr>
                      <w:bCs/>
                      <w:color w:val="auto"/>
                      <w:kern w:val="0"/>
                      <w:szCs w:val="21"/>
                      <w:highlight w:val="none"/>
                    </w:rPr>
                  </w:pPr>
                  <w:r>
                    <w:rPr>
                      <w:rFonts w:hint="eastAsia"/>
                      <w:bCs/>
                      <w:color w:val="auto"/>
                      <w:kern w:val="0"/>
                      <w:szCs w:val="21"/>
                      <w:highlight w:val="none"/>
                    </w:rPr>
                    <w:t>35</w:t>
                  </w:r>
                </w:p>
              </w:tc>
            </w:tr>
            <w:tr w14:paraId="1D30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vAlign w:val="center"/>
                </w:tcPr>
                <w:p w14:paraId="26614B74">
                  <w:pPr>
                    <w:adjustRightInd w:val="0"/>
                    <w:snapToGrid w:val="0"/>
                    <w:spacing w:line="300" w:lineRule="exact"/>
                    <w:jc w:val="center"/>
                    <w:rPr>
                      <w:rFonts w:hint="eastAsia" w:eastAsia="宋体"/>
                      <w:bCs/>
                      <w:color w:val="auto"/>
                      <w:kern w:val="0"/>
                      <w:szCs w:val="21"/>
                      <w:highlight w:val="none"/>
                      <w:lang w:eastAsia="zh-CN"/>
                    </w:rPr>
                  </w:pPr>
                  <w:r>
                    <w:rPr>
                      <w:rFonts w:hint="eastAsia"/>
                      <w:bCs/>
                      <w:color w:val="auto"/>
                      <w:kern w:val="0"/>
                      <w:szCs w:val="21"/>
                      <w:highlight w:val="none"/>
                      <w:lang w:val="en-US" w:eastAsia="zh-CN"/>
                    </w:rPr>
                    <w:t>5</w:t>
                  </w:r>
                </w:p>
              </w:tc>
              <w:tc>
                <w:tcPr>
                  <w:tcW w:w="1833" w:type="pct"/>
                  <w:shd w:val="clear" w:color="auto" w:fill="auto"/>
                  <w:vAlign w:val="center"/>
                </w:tcPr>
                <w:p w14:paraId="3225D205">
                  <w:pPr>
                    <w:adjustRightInd w:val="0"/>
                    <w:snapToGrid w:val="0"/>
                    <w:spacing w:line="300" w:lineRule="exact"/>
                    <w:jc w:val="center"/>
                    <w:rPr>
                      <w:color w:val="auto"/>
                      <w:szCs w:val="21"/>
                      <w:highlight w:val="none"/>
                    </w:rPr>
                  </w:pPr>
                  <w:r>
                    <w:rPr>
                      <w:rFonts w:hint="eastAsia"/>
                      <w:color w:val="auto"/>
                      <w:szCs w:val="21"/>
                      <w:highlight w:val="none"/>
                    </w:rPr>
                    <w:t>工业拓展规划用地</w:t>
                  </w:r>
                </w:p>
              </w:tc>
              <w:tc>
                <w:tcPr>
                  <w:tcW w:w="518" w:type="pct"/>
                  <w:shd w:val="clear" w:color="auto" w:fill="auto"/>
                  <w:vAlign w:val="center"/>
                </w:tcPr>
                <w:p w14:paraId="1F67AFB6">
                  <w:pPr>
                    <w:adjustRightInd w:val="0"/>
                    <w:snapToGrid w:val="0"/>
                    <w:spacing w:line="300" w:lineRule="exact"/>
                    <w:jc w:val="center"/>
                    <w:rPr>
                      <w:bCs/>
                      <w:color w:val="auto"/>
                      <w:szCs w:val="21"/>
                      <w:highlight w:val="none"/>
                    </w:rPr>
                  </w:pPr>
                  <w:r>
                    <w:rPr>
                      <w:rFonts w:hint="eastAsia"/>
                      <w:bCs/>
                      <w:color w:val="auto"/>
                      <w:szCs w:val="21"/>
                      <w:highlight w:val="none"/>
                    </w:rPr>
                    <w:t>W</w:t>
                  </w:r>
                </w:p>
              </w:tc>
              <w:tc>
                <w:tcPr>
                  <w:tcW w:w="2247" w:type="pct"/>
                  <w:shd w:val="clear" w:color="auto" w:fill="auto"/>
                  <w:vAlign w:val="center"/>
                </w:tcPr>
                <w:p w14:paraId="2FD68DC0">
                  <w:pPr>
                    <w:adjustRightInd w:val="0"/>
                    <w:snapToGrid w:val="0"/>
                    <w:spacing w:line="300" w:lineRule="exact"/>
                    <w:jc w:val="center"/>
                    <w:rPr>
                      <w:bCs/>
                      <w:color w:val="auto"/>
                      <w:kern w:val="0"/>
                      <w:szCs w:val="21"/>
                      <w:highlight w:val="none"/>
                    </w:rPr>
                  </w:pPr>
                  <w:r>
                    <w:rPr>
                      <w:rFonts w:hint="eastAsia"/>
                      <w:bCs/>
                      <w:color w:val="auto"/>
                      <w:kern w:val="0"/>
                      <w:szCs w:val="21"/>
                      <w:highlight w:val="none"/>
                    </w:rPr>
                    <w:t>紧邻</w:t>
                  </w:r>
                </w:p>
              </w:tc>
            </w:tr>
          </w:tbl>
          <w:p w14:paraId="31B68E13">
            <w:pPr>
              <w:widowControl/>
              <w:spacing w:line="460" w:lineRule="exact"/>
              <w:ind w:firstLine="480" w:firstLineChars="200"/>
              <w:jc w:val="left"/>
              <w:rPr>
                <w:rFonts w:hint="eastAsia"/>
                <w:color w:val="auto"/>
                <w:sz w:val="24"/>
                <w:highlight w:val="none"/>
                <w:lang w:val="en-US" w:eastAsia="zh-CN"/>
              </w:rPr>
            </w:pPr>
            <w:r>
              <w:rPr>
                <w:rFonts w:hint="eastAsia"/>
                <w:color w:val="auto"/>
                <w:sz w:val="24"/>
                <w:highlight w:val="none"/>
                <w:lang w:val="en-US" w:eastAsia="zh-CN"/>
              </w:rPr>
              <w:t>由上表可知，除龙市镇工业污水处理厂外其余企业均为食品加工企业，对本项目生产加工无明显制约作用。</w:t>
            </w:r>
          </w:p>
          <w:p w14:paraId="3B005810">
            <w:pPr>
              <w:widowControl/>
              <w:spacing w:line="460" w:lineRule="exact"/>
              <w:ind w:firstLine="480" w:firstLineChars="200"/>
              <w:jc w:val="left"/>
              <w:rPr>
                <w:rFonts w:hint="eastAsia"/>
                <w:color w:val="auto"/>
                <w:sz w:val="24"/>
                <w:highlight w:val="none"/>
                <w:lang w:val="en-US" w:eastAsia="zh-CN"/>
              </w:rPr>
            </w:pPr>
            <w:r>
              <w:rPr>
                <w:rFonts w:hint="eastAsia"/>
                <w:color w:val="auto"/>
                <w:sz w:val="24"/>
                <w:highlight w:val="none"/>
              </w:rPr>
              <w:t>本项目厂界距离东北侧</w:t>
            </w:r>
            <w:r>
              <w:rPr>
                <w:bCs/>
                <w:color w:val="auto"/>
                <w:sz w:val="24"/>
                <w:highlight w:val="none"/>
              </w:rPr>
              <w:t>龙市镇工业污水</w:t>
            </w:r>
            <w:r>
              <w:rPr>
                <w:rFonts w:hint="eastAsia"/>
                <w:bCs/>
                <w:color w:val="auto"/>
                <w:sz w:val="24"/>
                <w:highlight w:val="none"/>
              </w:rPr>
              <w:t>处理</w:t>
            </w:r>
            <w:r>
              <w:rPr>
                <w:bCs/>
                <w:color w:val="auto"/>
                <w:sz w:val="24"/>
                <w:highlight w:val="none"/>
              </w:rPr>
              <w:t>厂</w:t>
            </w:r>
            <w:r>
              <w:rPr>
                <w:rFonts w:hint="eastAsia"/>
                <w:bCs/>
                <w:color w:val="auto"/>
                <w:sz w:val="24"/>
                <w:highlight w:val="none"/>
              </w:rPr>
              <w:t>厂界最近距离为35m，</w:t>
            </w:r>
            <w:r>
              <w:rPr>
                <w:rFonts w:hint="eastAsia"/>
                <w:bCs/>
                <w:color w:val="auto"/>
                <w:sz w:val="24"/>
                <w:highlight w:val="none"/>
                <w:lang w:val="en-US" w:eastAsia="zh-CN"/>
              </w:rPr>
              <w:t>由表1.8-1可知，除污泥消化池外其余污水构筑物与本项目厂界距离均大于50m。龙市镇工业污水处理厂污泥消化池设置为全密闭，无无组织臭气逸出，污泥消化池</w:t>
            </w:r>
            <w:r>
              <w:rPr>
                <w:color w:val="auto"/>
                <w:sz w:val="24"/>
                <w:highlight w:val="none"/>
              </w:rPr>
              <w:t>产生的臭气经收集管道收集后导入臭气净化系统进行脱臭，经除臭后由15</w:t>
            </w:r>
            <w:r>
              <w:rPr>
                <w:rFonts w:hint="eastAsia"/>
                <w:color w:val="auto"/>
                <w:sz w:val="24"/>
                <w:highlight w:val="none"/>
                <w:lang w:val="en-US" w:eastAsia="zh-CN"/>
              </w:rPr>
              <w:t xml:space="preserve"> </w:t>
            </w:r>
            <w:r>
              <w:rPr>
                <w:color w:val="auto"/>
                <w:sz w:val="24"/>
                <w:highlight w:val="none"/>
              </w:rPr>
              <w:t>m排气筒高空(</w:t>
            </w:r>
            <w:r>
              <w:rPr>
                <w:rFonts w:hint="eastAsia"/>
                <w:color w:val="auto"/>
                <w:sz w:val="24"/>
                <w:highlight w:val="none"/>
              </w:rPr>
              <w:t>1#</w:t>
            </w:r>
            <w:r>
              <w:rPr>
                <w:color w:val="auto"/>
                <w:sz w:val="24"/>
                <w:highlight w:val="none"/>
              </w:rPr>
              <w:t>排气筒)排出</w:t>
            </w:r>
            <w:r>
              <w:rPr>
                <w:rFonts w:hint="eastAsia"/>
                <w:color w:val="auto"/>
                <w:sz w:val="24"/>
                <w:highlight w:val="none"/>
                <w:lang w:eastAsia="zh-CN"/>
              </w:rPr>
              <w:t>，</w:t>
            </w:r>
            <w:r>
              <w:rPr>
                <w:rFonts w:hint="eastAsia"/>
                <w:color w:val="auto"/>
                <w:sz w:val="24"/>
                <w:highlight w:val="none"/>
                <w:lang w:val="en-US" w:eastAsia="zh-CN"/>
              </w:rPr>
              <w:t>1#排放筒与本项目厂界距离大于50 m。</w:t>
            </w:r>
          </w:p>
          <w:p w14:paraId="575F8A1F">
            <w:pPr>
              <w:keepNext w:val="0"/>
              <w:keepLines w:val="0"/>
              <w:pageBreakBefore w:val="0"/>
              <w:widowControl/>
              <w:kinsoku/>
              <w:wordWrap/>
              <w:overflowPunct/>
              <w:topLinePunct w:val="0"/>
              <w:autoSpaceDE/>
              <w:autoSpaceDN/>
              <w:bidi w:val="0"/>
              <w:adjustRightInd/>
              <w:snapToGrid/>
              <w:spacing w:line="460" w:lineRule="exact"/>
              <w:ind w:firstLine="480" w:firstLineChars="200"/>
              <w:jc w:val="both"/>
              <w:textAlignment w:val="auto"/>
              <w:rPr>
                <w:rFonts w:ascii="宋体" w:hAnsi="宋体" w:cs="宋体"/>
                <w:b/>
                <w:bCs/>
                <w:color w:val="auto"/>
                <w:sz w:val="24"/>
                <w:highlight w:val="none"/>
              </w:rPr>
            </w:pPr>
            <w:r>
              <w:rPr>
                <w:rFonts w:hint="eastAsia"/>
                <w:bCs/>
                <w:color w:val="auto"/>
                <w:sz w:val="24"/>
                <w:highlight w:val="none"/>
                <w:lang w:val="en-US" w:eastAsia="zh-CN"/>
              </w:rPr>
              <w:t>故龙市镇工业污水处理厂污水构筑物与本项目厂界距离均</w:t>
            </w:r>
            <w:r>
              <w:rPr>
                <w:rFonts w:hint="eastAsia"/>
                <w:bCs/>
                <w:color w:val="auto"/>
                <w:sz w:val="24"/>
                <w:highlight w:val="none"/>
              </w:rPr>
              <w:t>满足</w:t>
            </w:r>
            <w:r>
              <w:rPr>
                <w:rFonts w:hint="eastAsia" w:hAnsi="宋体"/>
                <w:color w:val="auto"/>
                <w:sz w:val="24"/>
                <w:highlight w:val="none"/>
              </w:rPr>
              <w:t>《重庆市合川区龙市镇控制性详细规划环境影响报告书》及审查意</w:t>
            </w:r>
            <w:r>
              <w:rPr>
                <w:rFonts w:hint="eastAsia"/>
                <w:bCs/>
                <w:color w:val="auto"/>
                <w:sz w:val="24"/>
                <w:highlight w:val="none"/>
              </w:rPr>
              <w:t>见中提出保证</w:t>
            </w:r>
            <w:r>
              <w:rPr>
                <w:bCs/>
                <w:color w:val="auto"/>
                <w:sz w:val="24"/>
                <w:highlight w:val="none"/>
              </w:rPr>
              <w:t>龙市镇工业污水</w:t>
            </w:r>
            <w:r>
              <w:rPr>
                <w:rFonts w:hint="eastAsia"/>
                <w:bCs/>
                <w:color w:val="auto"/>
                <w:sz w:val="24"/>
                <w:highlight w:val="none"/>
              </w:rPr>
              <w:t>处理</w:t>
            </w:r>
            <w:r>
              <w:rPr>
                <w:bCs/>
                <w:color w:val="auto"/>
                <w:sz w:val="24"/>
                <w:highlight w:val="none"/>
              </w:rPr>
              <w:t>厂</w:t>
            </w:r>
            <w:r>
              <w:rPr>
                <w:rFonts w:hint="eastAsia"/>
                <w:bCs/>
                <w:color w:val="auto"/>
                <w:sz w:val="24"/>
                <w:highlight w:val="none"/>
              </w:rPr>
              <w:t>主要臭气污染建构筑物与食品企业留</w:t>
            </w:r>
            <w:r>
              <w:rPr>
                <w:rFonts w:hint="eastAsia"/>
                <w:bCs/>
                <w:color w:val="auto"/>
                <w:sz w:val="24"/>
                <w:highlight w:val="none"/>
                <w:lang w:val="en-US" w:eastAsia="zh-CN"/>
              </w:rPr>
              <w:t>有</w:t>
            </w:r>
            <w:r>
              <w:rPr>
                <w:rFonts w:hint="eastAsia"/>
                <w:bCs/>
                <w:color w:val="auto"/>
                <w:sz w:val="24"/>
                <w:highlight w:val="none"/>
              </w:rPr>
              <w:t>50</w:t>
            </w:r>
            <w:r>
              <w:rPr>
                <w:rFonts w:hint="eastAsia"/>
                <w:bCs/>
                <w:color w:val="auto"/>
                <w:sz w:val="24"/>
                <w:highlight w:val="none"/>
                <w:lang w:val="en-US" w:eastAsia="zh-CN"/>
              </w:rPr>
              <w:t xml:space="preserve"> m</w:t>
            </w:r>
            <w:r>
              <w:rPr>
                <w:rFonts w:hint="eastAsia"/>
                <w:bCs/>
                <w:color w:val="auto"/>
                <w:sz w:val="24"/>
                <w:highlight w:val="none"/>
              </w:rPr>
              <w:t>的安全距离要求。</w:t>
            </w:r>
          </w:p>
          <w:p w14:paraId="7673F7B6">
            <w:pPr>
              <w:widowControl/>
              <w:spacing w:line="460" w:lineRule="exact"/>
              <w:ind w:firstLine="480" w:firstLineChars="200"/>
              <w:jc w:val="left"/>
              <w:rPr>
                <w:rFonts w:hint="eastAsia"/>
                <w:bCs/>
                <w:color w:val="auto"/>
                <w:sz w:val="24"/>
                <w:highlight w:val="none"/>
                <w:lang w:val="en-US" w:eastAsia="zh-CN"/>
              </w:rPr>
            </w:pPr>
            <w:r>
              <w:rPr>
                <w:rFonts w:hint="eastAsia"/>
                <w:bCs/>
                <w:color w:val="auto"/>
                <w:sz w:val="24"/>
                <w:highlight w:val="none"/>
                <w:lang w:val="en-US" w:eastAsia="zh-CN"/>
              </w:rPr>
              <w:t>由此可得，本项目厂界外100m范围内企业对本项目生产建设无明显制约作用。</w:t>
            </w:r>
          </w:p>
          <w:p w14:paraId="100EBD0E">
            <w:pPr>
              <w:pStyle w:val="3"/>
              <w:rPr>
                <w:color w:val="auto"/>
                <w:highlight w:val="none"/>
              </w:rPr>
            </w:pPr>
          </w:p>
        </w:tc>
      </w:tr>
      <w:tr w14:paraId="2E85B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tcMar>
              <w:left w:w="28" w:type="dxa"/>
              <w:right w:w="28" w:type="dxa"/>
            </w:tcMar>
            <w:vAlign w:val="center"/>
          </w:tcPr>
          <w:p w14:paraId="439D72E4">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污染</w:t>
            </w:r>
          </w:p>
          <w:p w14:paraId="32A4DD44">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物排</w:t>
            </w:r>
          </w:p>
          <w:p w14:paraId="72819E2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放控</w:t>
            </w:r>
          </w:p>
          <w:p w14:paraId="10500BFB">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制标</w:t>
            </w:r>
          </w:p>
          <w:p w14:paraId="533DC9D6">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587" w:type="dxa"/>
          </w:tcPr>
          <w:p w14:paraId="16CC47DA">
            <w:pPr>
              <w:adjustRightInd w:val="0"/>
              <w:snapToGrid w:val="0"/>
              <w:spacing w:line="460" w:lineRule="exact"/>
              <w:rPr>
                <w:b/>
                <w:bCs/>
                <w:color w:val="auto"/>
                <w:kern w:val="0"/>
                <w:sz w:val="24"/>
                <w:highlight w:val="none"/>
              </w:rPr>
            </w:pPr>
            <w:r>
              <w:rPr>
                <w:b/>
                <w:bCs/>
                <w:color w:val="auto"/>
                <w:kern w:val="0"/>
                <w:sz w:val="24"/>
                <w:highlight w:val="none"/>
              </w:rPr>
              <w:t>3.3污染物排放标准</w:t>
            </w:r>
          </w:p>
          <w:p w14:paraId="35D8AB19">
            <w:pPr>
              <w:adjustRightInd w:val="0"/>
              <w:snapToGrid w:val="0"/>
              <w:spacing w:line="460" w:lineRule="exact"/>
              <w:rPr>
                <w:b/>
                <w:bCs/>
                <w:color w:val="auto"/>
                <w:kern w:val="0"/>
                <w:sz w:val="24"/>
                <w:highlight w:val="none"/>
              </w:rPr>
            </w:pPr>
            <w:r>
              <w:rPr>
                <w:b/>
                <w:bCs/>
                <w:color w:val="auto"/>
                <w:kern w:val="0"/>
                <w:sz w:val="24"/>
                <w:highlight w:val="none"/>
              </w:rPr>
              <w:t>3.3.1废气排放标准</w:t>
            </w:r>
          </w:p>
          <w:p w14:paraId="4BC30CEE">
            <w:pPr>
              <w:adjustRightInd w:val="0"/>
              <w:snapToGrid w:val="0"/>
              <w:spacing w:line="460" w:lineRule="exact"/>
              <w:ind w:firstLine="480" w:firstLineChars="200"/>
              <w:rPr>
                <w:b/>
                <w:bCs/>
                <w:color w:val="auto"/>
                <w:kern w:val="0"/>
                <w:sz w:val="24"/>
                <w:highlight w:val="none"/>
              </w:rPr>
            </w:pPr>
            <w:r>
              <w:rPr>
                <w:rFonts w:hint="eastAsia"/>
                <w:color w:val="auto"/>
                <w:kern w:val="0"/>
                <w:sz w:val="24"/>
                <w:highlight w:val="none"/>
              </w:rPr>
              <w:t>本项目位于合川区，属于</w:t>
            </w:r>
            <w:r>
              <w:rPr>
                <w:color w:val="auto"/>
                <w:kern w:val="0"/>
                <w:sz w:val="24"/>
                <w:highlight w:val="none"/>
              </w:rPr>
              <w:t>《大气污染物综合排放标准》（DB 50/418-2016）</w:t>
            </w:r>
            <w:r>
              <w:rPr>
                <w:rFonts w:hint="eastAsia"/>
                <w:color w:val="auto"/>
                <w:kern w:val="0"/>
                <w:sz w:val="24"/>
                <w:highlight w:val="none"/>
              </w:rPr>
              <w:t>中的“影响区”。本项目</w:t>
            </w:r>
            <w:r>
              <w:rPr>
                <w:color w:val="auto"/>
                <w:kern w:val="0"/>
                <w:sz w:val="24"/>
                <w:highlight w:val="none"/>
              </w:rPr>
              <w:t>施工期及运营期产生的废气</w:t>
            </w:r>
            <w:r>
              <w:rPr>
                <w:rFonts w:hint="eastAsia"/>
                <w:color w:val="auto"/>
                <w:kern w:val="0"/>
                <w:sz w:val="24"/>
                <w:highlight w:val="none"/>
              </w:rPr>
              <w:t>颗粒物</w:t>
            </w:r>
            <w:r>
              <w:rPr>
                <w:color w:val="auto"/>
                <w:kern w:val="0"/>
                <w:sz w:val="24"/>
                <w:highlight w:val="none"/>
              </w:rPr>
              <w:t>执行《大气污染物综合排放标准》（DB 50/418-2016）</w:t>
            </w:r>
            <w:r>
              <w:rPr>
                <w:rFonts w:hint="eastAsia"/>
                <w:color w:val="auto"/>
                <w:kern w:val="0"/>
                <w:sz w:val="24"/>
                <w:highlight w:val="none"/>
              </w:rPr>
              <w:t>表1中影响区标准</w:t>
            </w:r>
            <w:r>
              <w:rPr>
                <w:color w:val="auto"/>
                <w:kern w:val="0"/>
                <w:sz w:val="24"/>
                <w:highlight w:val="none"/>
              </w:rPr>
              <w:t>。</w:t>
            </w:r>
            <w:r>
              <w:rPr>
                <w:rFonts w:hint="eastAsia"/>
                <w:color w:val="auto"/>
                <w:kern w:val="0"/>
                <w:sz w:val="24"/>
                <w:highlight w:val="none"/>
              </w:rPr>
              <w:t>本项目</w:t>
            </w:r>
            <w:r>
              <w:rPr>
                <w:rFonts w:hAnsi="宋体"/>
                <w:color w:val="auto"/>
                <w:sz w:val="24"/>
                <w:szCs w:val="20"/>
                <w:highlight w:val="none"/>
              </w:rPr>
              <w:t>废水处理设施</w:t>
            </w:r>
            <w:r>
              <w:rPr>
                <w:rFonts w:hint="eastAsia" w:hAnsi="宋体"/>
                <w:color w:val="auto"/>
                <w:sz w:val="24"/>
                <w:szCs w:val="20"/>
                <w:highlight w:val="none"/>
              </w:rPr>
              <w:t>运行过程中产生</w:t>
            </w:r>
            <w:r>
              <w:rPr>
                <w:rFonts w:hAnsi="宋体"/>
                <w:color w:val="auto"/>
                <w:sz w:val="24"/>
                <w:szCs w:val="20"/>
                <w:highlight w:val="none"/>
              </w:rPr>
              <w:t>臭气</w:t>
            </w:r>
            <w:r>
              <w:rPr>
                <w:rFonts w:hint="eastAsia" w:hAnsi="宋体"/>
                <w:color w:val="auto"/>
                <w:sz w:val="24"/>
                <w:szCs w:val="20"/>
                <w:highlight w:val="none"/>
              </w:rPr>
              <w:t>，恶臭污染物厂界标准</w:t>
            </w:r>
            <w:r>
              <w:rPr>
                <w:rFonts w:hAnsi="宋体"/>
                <w:color w:val="auto"/>
                <w:sz w:val="24"/>
                <w:szCs w:val="20"/>
                <w:highlight w:val="none"/>
              </w:rPr>
              <w:t>执行《恶臭污染物排放标准》（GB14554-93）</w:t>
            </w:r>
            <w:r>
              <w:rPr>
                <w:rFonts w:hint="eastAsia" w:hAnsi="宋体"/>
                <w:color w:val="auto"/>
                <w:sz w:val="24"/>
                <w:szCs w:val="20"/>
                <w:highlight w:val="none"/>
              </w:rPr>
              <w:t>表1中新建项目二级标准</w:t>
            </w:r>
            <w:r>
              <w:rPr>
                <w:rFonts w:hint="eastAsia"/>
                <w:color w:val="auto"/>
                <w:kern w:val="0"/>
                <w:sz w:val="24"/>
                <w:highlight w:val="none"/>
              </w:rPr>
              <w:t>，具体</w:t>
            </w:r>
            <w:r>
              <w:rPr>
                <w:color w:val="auto"/>
                <w:kern w:val="0"/>
                <w:sz w:val="24"/>
                <w:highlight w:val="none"/>
              </w:rPr>
              <w:t>排放标准详情见表3.3-1</w:t>
            </w:r>
            <w:r>
              <w:rPr>
                <w:rFonts w:hint="eastAsia"/>
                <w:color w:val="auto"/>
                <w:kern w:val="0"/>
                <w:sz w:val="24"/>
                <w:highlight w:val="none"/>
              </w:rPr>
              <w:t>和3.3-2。</w:t>
            </w:r>
          </w:p>
          <w:p w14:paraId="35B6A192">
            <w:pPr>
              <w:adjustRightInd w:val="0"/>
              <w:snapToGrid w:val="0"/>
              <w:spacing w:line="460" w:lineRule="exact"/>
              <w:jc w:val="center"/>
              <w:rPr>
                <w:b/>
                <w:bCs/>
                <w:color w:val="auto"/>
                <w:kern w:val="0"/>
                <w:sz w:val="24"/>
                <w:highlight w:val="none"/>
              </w:rPr>
            </w:pPr>
            <w:r>
              <w:rPr>
                <w:b/>
                <w:bCs/>
                <w:color w:val="auto"/>
                <w:kern w:val="0"/>
                <w:sz w:val="24"/>
                <w:highlight w:val="none"/>
              </w:rPr>
              <w:t>表3.3-1 大气污染物综合排放标准</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3"/>
              <w:gridCol w:w="5095"/>
            </w:tblGrid>
            <w:tr w14:paraId="27A4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2" w:type="pct"/>
                  <w:vAlign w:val="center"/>
                </w:tcPr>
                <w:p w14:paraId="077A1708">
                  <w:pPr>
                    <w:adjustRightInd w:val="0"/>
                    <w:snapToGrid w:val="0"/>
                    <w:spacing w:line="300" w:lineRule="exact"/>
                    <w:jc w:val="center"/>
                    <w:rPr>
                      <w:color w:val="auto"/>
                      <w:kern w:val="0"/>
                      <w:szCs w:val="21"/>
                      <w:highlight w:val="none"/>
                    </w:rPr>
                  </w:pPr>
                  <w:r>
                    <w:rPr>
                      <w:color w:val="auto"/>
                      <w:kern w:val="0"/>
                      <w:szCs w:val="21"/>
                      <w:highlight w:val="none"/>
                    </w:rPr>
                    <w:t>污染物</w:t>
                  </w:r>
                </w:p>
              </w:tc>
              <w:tc>
                <w:tcPr>
                  <w:tcW w:w="3047" w:type="pct"/>
                  <w:vAlign w:val="center"/>
                </w:tcPr>
                <w:p w14:paraId="35B1436B">
                  <w:pPr>
                    <w:adjustRightInd w:val="0"/>
                    <w:snapToGrid w:val="0"/>
                    <w:spacing w:line="300" w:lineRule="exact"/>
                    <w:jc w:val="center"/>
                    <w:rPr>
                      <w:color w:val="auto"/>
                      <w:kern w:val="0"/>
                      <w:szCs w:val="21"/>
                      <w:highlight w:val="none"/>
                    </w:rPr>
                  </w:pPr>
                  <w:r>
                    <w:rPr>
                      <w:color w:val="auto"/>
                      <w:kern w:val="0"/>
                      <w:szCs w:val="21"/>
                      <w:highlight w:val="none"/>
                    </w:rPr>
                    <w:t>无组织排放监控</w:t>
                  </w:r>
                  <w:r>
                    <w:rPr>
                      <w:rFonts w:hint="eastAsia"/>
                      <w:color w:val="auto"/>
                      <w:kern w:val="0"/>
                      <w:szCs w:val="21"/>
                      <w:highlight w:val="none"/>
                    </w:rPr>
                    <w:t>点</w:t>
                  </w:r>
                  <w:r>
                    <w:rPr>
                      <w:color w:val="auto"/>
                      <w:kern w:val="0"/>
                      <w:szCs w:val="21"/>
                      <w:highlight w:val="none"/>
                    </w:rPr>
                    <w:t>浓度限值（mg/m</w:t>
                  </w:r>
                  <w:r>
                    <w:rPr>
                      <w:color w:val="auto"/>
                      <w:kern w:val="0"/>
                      <w:szCs w:val="21"/>
                      <w:highlight w:val="none"/>
                      <w:vertAlign w:val="superscript"/>
                    </w:rPr>
                    <w:t>3</w:t>
                  </w:r>
                  <w:r>
                    <w:rPr>
                      <w:color w:val="auto"/>
                      <w:kern w:val="0"/>
                      <w:szCs w:val="21"/>
                      <w:highlight w:val="none"/>
                    </w:rPr>
                    <w:t>）</w:t>
                  </w:r>
                </w:p>
              </w:tc>
            </w:tr>
            <w:tr w14:paraId="5EC5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52" w:type="pct"/>
                  <w:vAlign w:val="center"/>
                </w:tcPr>
                <w:p w14:paraId="2BBE8051">
                  <w:pPr>
                    <w:adjustRightInd w:val="0"/>
                    <w:snapToGrid w:val="0"/>
                    <w:spacing w:line="300" w:lineRule="exact"/>
                    <w:jc w:val="center"/>
                    <w:rPr>
                      <w:color w:val="auto"/>
                      <w:kern w:val="0"/>
                      <w:szCs w:val="21"/>
                      <w:highlight w:val="none"/>
                    </w:rPr>
                  </w:pPr>
                  <w:r>
                    <w:rPr>
                      <w:rFonts w:hint="eastAsia"/>
                      <w:color w:val="auto"/>
                      <w:kern w:val="0"/>
                      <w:szCs w:val="21"/>
                      <w:highlight w:val="none"/>
                    </w:rPr>
                    <w:t>其他</w:t>
                  </w:r>
                  <w:r>
                    <w:rPr>
                      <w:color w:val="auto"/>
                      <w:kern w:val="0"/>
                      <w:szCs w:val="21"/>
                      <w:highlight w:val="none"/>
                    </w:rPr>
                    <w:t>颗粒物</w:t>
                  </w:r>
                  <w:r>
                    <w:rPr>
                      <w:rFonts w:hint="eastAsia"/>
                      <w:color w:val="auto"/>
                      <w:kern w:val="0"/>
                      <w:szCs w:val="21"/>
                      <w:highlight w:val="none"/>
                    </w:rPr>
                    <w:t>（影响区）</w:t>
                  </w:r>
                </w:p>
              </w:tc>
              <w:tc>
                <w:tcPr>
                  <w:tcW w:w="3047" w:type="pct"/>
                  <w:vAlign w:val="center"/>
                </w:tcPr>
                <w:p w14:paraId="79BC751C">
                  <w:pPr>
                    <w:adjustRightInd w:val="0"/>
                    <w:snapToGrid w:val="0"/>
                    <w:spacing w:line="300" w:lineRule="exact"/>
                    <w:jc w:val="center"/>
                    <w:rPr>
                      <w:color w:val="auto"/>
                      <w:kern w:val="0"/>
                      <w:szCs w:val="21"/>
                      <w:highlight w:val="none"/>
                    </w:rPr>
                  </w:pPr>
                  <w:r>
                    <w:rPr>
                      <w:color w:val="auto"/>
                      <w:kern w:val="0"/>
                      <w:szCs w:val="21"/>
                      <w:highlight w:val="none"/>
                    </w:rPr>
                    <w:t>1.0</w:t>
                  </w:r>
                </w:p>
              </w:tc>
            </w:tr>
          </w:tbl>
          <w:p w14:paraId="641BEC13">
            <w:pPr>
              <w:adjustRightInd w:val="0"/>
              <w:snapToGrid w:val="0"/>
              <w:spacing w:line="460" w:lineRule="exact"/>
              <w:jc w:val="center"/>
              <w:rPr>
                <w:b/>
                <w:bCs/>
                <w:color w:val="auto"/>
                <w:kern w:val="0"/>
                <w:sz w:val="24"/>
                <w:highlight w:val="none"/>
              </w:rPr>
            </w:pPr>
            <w:r>
              <w:rPr>
                <w:b/>
                <w:bCs/>
                <w:color w:val="auto"/>
                <w:kern w:val="0"/>
                <w:sz w:val="24"/>
                <w:highlight w:val="none"/>
              </w:rPr>
              <w:t>表3.3-</w:t>
            </w:r>
            <w:r>
              <w:rPr>
                <w:rFonts w:hint="eastAsia"/>
                <w:b/>
                <w:bCs/>
                <w:color w:val="auto"/>
                <w:kern w:val="0"/>
                <w:sz w:val="24"/>
                <w:highlight w:val="none"/>
              </w:rPr>
              <w:t>2</w:t>
            </w:r>
            <w:r>
              <w:rPr>
                <w:b/>
                <w:bCs/>
                <w:color w:val="auto"/>
                <w:kern w:val="0"/>
                <w:sz w:val="24"/>
                <w:highlight w:val="none"/>
              </w:rPr>
              <w:t xml:space="preserve"> </w:t>
            </w:r>
            <w:r>
              <w:rPr>
                <w:rFonts w:hint="eastAsia"/>
                <w:b/>
                <w:bCs/>
                <w:color w:val="auto"/>
                <w:kern w:val="0"/>
                <w:sz w:val="24"/>
                <w:highlight w:val="none"/>
              </w:rPr>
              <w:t>恶臭污染物</w:t>
            </w:r>
            <w:r>
              <w:rPr>
                <w:b/>
                <w:bCs/>
                <w:color w:val="auto"/>
                <w:kern w:val="0"/>
                <w:sz w:val="24"/>
                <w:highlight w:val="none"/>
              </w:rPr>
              <w:t>排放标准</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9"/>
              <w:gridCol w:w="2613"/>
              <w:gridCol w:w="2466"/>
            </w:tblGrid>
            <w:tr w14:paraId="30B1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61" w:type="pct"/>
                  <w:vAlign w:val="center"/>
                </w:tcPr>
                <w:p w14:paraId="0FE64480">
                  <w:pPr>
                    <w:adjustRightInd w:val="0"/>
                    <w:snapToGrid w:val="0"/>
                    <w:spacing w:line="300" w:lineRule="exact"/>
                    <w:jc w:val="center"/>
                    <w:rPr>
                      <w:color w:val="auto"/>
                      <w:kern w:val="0"/>
                      <w:szCs w:val="21"/>
                      <w:highlight w:val="none"/>
                    </w:rPr>
                  </w:pPr>
                  <w:r>
                    <w:rPr>
                      <w:color w:val="auto"/>
                      <w:kern w:val="0"/>
                      <w:szCs w:val="21"/>
                      <w:highlight w:val="none"/>
                    </w:rPr>
                    <w:t>污染物</w:t>
                  </w:r>
                </w:p>
              </w:tc>
              <w:tc>
                <w:tcPr>
                  <w:tcW w:w="1563" w:type="pct"/>
                  <w:vAlign w:val="center"/>
                </w:tcPr>
                <w:p w14:paraId="2F5A235D">
                  <w:pPr>
                    <w:adjustRightInd w:val="0"/>
                    <w:snapToGrid w:val="0"/>
                    <w:spacing w:line="300" w:lineRule="exact"/>
                    <w:jc w:val="center"/>
                    <w:rPr>
                      <w:color w:val="auto"/>
                      <w:kern w:val="0"/>
                      <w:szCs w:val="21"/>
                      <w:highlight w:val="none"/>
                    </w:rPr>
                  </w:pPr>
                  <w:r>
                    <w:rPr>
                      <w:rFonts w:hint="eastAsia"/>
                      <w:color w:val="auto"/>
                      <w:kern w:val="0"/>
                      <w:szCs w:val="21"/>
                      <w:highlight w:val="none"/>
                    </w:rPr>
                    <w:t>单位</w:t>
                  </w:r>
                </w:p>
              </w:tc>
              <w:tc>
                <w:tcPr>
                  <w:tcW w:w="1475" w:type="pct"/>
                  <w:vAlign w:val="center"/>
                </w:tcPr>
                <w:p w14:paraId="7FB0A3C7">
                  <w:pPr>
                    <w:adjustRightInd w:val="0"/>
                    <w:snapToGrid w:val="0"/>
                    <w:spacing w:line="300" w:lineRule="exact"/>
                    <w:jc w:val="center"/>
                    <w:rPr>
                      <w:color w:val="auto"/>
                      <w:kern w:val="0"/>
                      <w:szCs w:val="21"/>
                      <w:highlight w:val="none"/>
                    </w:rPr>
                  </w:pPr>
                  <w:r>
                    <w:rPr>
                      <w:rFonts w:hint="eastAsia"/>
                      <w:color w:val="auto"/>
                      <w:kern w:val="0"/>
                      <w:szCs w:val="21"/>
                      <w:highlight w:val="none"/>
                    </w:rPr>
                    <w:t>二级（新扩改建）</w:t>
                  </w:r>
                </w:p>
              </w:tc>
            </w:tr>
            <w:tr w14:paraId="6140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61" w:type="pct"/>
                  <w:vAlign w:val="center"/>
                </w:tcPr>
                <w:p w14:paraId="452AE080">
                  <w:pPr>
                    <w:adjustRightInd w:val="0"/>
                    <w:snapToGrid w:val="0"/>
                    <w:spacing w:line="300" w:lineRule="exact"/>
                    <w:jc w:val="center"/>
                    <w:rPr>
                      <w:color w:val="auto"/>
                      <w:kern w:val="0"/>
                      <w:szCs w:val="21"/>
                      <w:highlight w:val="none"/>
                    </w:rPr>
                  </w:pPr>
                  <w:r>
                    <w:rPr>
                      <w:rFonts w:hint="eastAsia"/>
                      <w:color w:val="auto"/>
                      <w:kern w:val="0"/>
                      <w:szCs w:val="21"/>
                      <w:highlight w:val="none"/>
                    </w:rPr>
                    <w:t>氨</w:t>
                  </w:r>
                </w:p>
              </w:tc>
              <w:tc>
                <w:tcPr>
                  <w:tcW w:w="1563" w:type="pct"/>
                  <w:vAlign w:val="center"/>
                </w:tcPr>
                <w:p w14:paraId="0A91F2D3">
                  <w:pPr>
                    <w:adjustRightInd w:val="0"/>
                    <w:snapToGrid w:val="0"/>
                    <w:spacing w:line="300" w:lineRule="exact"/>
                    <w:jc w:val="center"/>
                    <w:rPr>
                      <w:color w:val="auto"/>
                      <w:kern w:val="0"/>
                      <w:szCs w:val="21"/>
                      <w:highlight w:val="none"/>
                    </w:rPr>
                  </w:pPr>
                  <w:r>
                    <w:rPr>
                      <w:color w:val="auto"/>
                      <w:kern w:val="0"/>
                      <w:szCs w:val="21"/>
                      <w:highlight w:val="none"/>
                    </w:rPr>
                    <w:t>mg/m</w:t>
                  </w:r>
                  <w:r>
                    <w:rPr>
                      <w:color w:val="auto"/>
                      <w:kern w:val="0"/>
                      <w:szCs w:val="21"/>
                      <w:highlight w:val="none"/>
                      <w:vertAlign w:val="superscript"/>
                    </w:rPr>
                    <w:t>3</w:t>
                  </w:r>
                </w:p>
              </w:tc>
              <w:tc>
                <w:tcPr>
                  <w:tcW w:w="1475" w:type="pct"/>
                  <w:vAlign w:val="center"/>
                </w:tcPr>
                <w:p w14:paraId="5C8B9048">
                  <w:pPr>
                    <w:adjustRightInd w:val="0"/>
                    <w:snapToGrid w:val="0"/>
                    <w:spacing w:line="300" w:lineRule="exact"/>
                    <w:jc w:val="center"/>
                    <w:rPr>
                      <w:color w:val="auto"/>
                      <w:kern w:val="0"/>
                      <w:szCs w:val="21"/>
                      <w:highlight w:val="none"/>
                    </w:rPr>
                  </w:pPr>
                  <w:r>
                    <w:rPr>
                      <w:rFonts w:hint="eastAsia"/>
                      <w:color w:val="auto"/>
                      <w:kern w:val="0"/>
                      <w:szCs w:val="21"/>
                      <w:highlight w:val="none"/>
                    </w:rPr>
                    <w:t>1.5</w:t>
                  </w:r>
                </w:p>
              </w:tc>
            </w:tr>
            <w:tr w14:paraId="63AE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61" w:type="pct"/>
                  <w:vAlign w:val="center"/>
                </w:tcPr>
                <w:p w14:paraId="29EB552B">
                  <w:pPr>
                    <w:adjustRightInd w:val="0"/>
                    <w:snapToGrid w:val="0"/>
                    <w:spacing w:line="300" w:lineRule="exact"/>
                    <w:jc w:val="center"/>
                    <w:rPr>
                      <w:color w:val="auto"/>
                      <w:kern w:val="0"/>
                      <w:szCs w:val="21"/>
                      <w:highlight w:val="none"/>
                    </w:rPr>
                  </w:pPr>
                  <w:r>
                    <w:rPr>
                      <w:rFonts w:hint="eastAsia"/>
                      <w:color w:val="auto"/>
                      <w:kern w:val="0"/>
                      <w:szCs w:val="21"/>
                      <w:highlight w:val="none"/>
                    </w:rPr>
                    <w:t>硫化氢</w:t>
                  </w:r>
                </w:p>
              </w:tc>
              <w:tc>
                <w:tcPr>
                  <w:tcW w:w="1563" w:type="pct"/>
                  <w:vAlign w:val="center"/>
                </w:tcPr>
                <w:p w14:paraId="16E73E46">
                  <w:pPr>
                    <w:adjustRightInd w:val="0"/>
                    <w:snapToGrid w:val="0"/>
                    <w:spacing w:line="300" w:lineRule="exact"/>
                    <w:jc w:val="center"/>
                    <w:rPr>
                      <w:color w:val="auto"/>
                      <w:kern w:val="0"/>
                      <w:szCs w:val="21"/>
                      <w:highlight w:val="none"/>
                    </w:rPr>
                  </w:pPr>
                  <w:r>
                    <w:rPr>
                      <w:color w:val="auto"/>
                      <w:kern w:val="0"/>
                      <w:szCs w:val="21"/>
                      <w:highlight w:val="none"/>
                    </w:rPr>
                    <w:t>mg/m</w:t>
                  </w:r>
                  <w:r>
                    <w:rPr>
                      <w:color w:val="auto"/>
                      <w:kern w:val="0"/>
                      <w:szCs w:val="21"/>
                      <w:highlight w:val="none"/>
                      <w:vertAlign w:val="superscript"/>
                    </w:rPr>
                    <w:t>3</w:t>
                  </w:r>
                </w:p>
              </w:tc>
              <w:tc>
                <w:tcPr>
                  <w:tcW w:w="1475" w:type="pct"/>
                  <w:vAlign w:val="center"/>
                </w:tcPr>
                <w:p w14:paraId="3E464389">
                  <w:pPr>
                    <w:adjustRightInd w:val="0"/>
                    <w:snapToGrid w:val="0"/>
                    <w:spacing w:line="300" w:lineRule="exact"/>
                    <w:jc w:val="center"/>
                    <w:rPr>
                      <w:color w:val="auto"/>
                      <w:kern w:val="0"/>
                      <w:szCs w:val="21"/>
                      <w:highlight w:val="none"/>
                    </w:rPr>
                  </w:pPr>
                  <w:r>
                    <w:rPr>
                      <w:rFonts w:hint="eastAsia"/>
                      <w:color w:val="auto"/>
                      <w:kern w:val="0"/>
                      <w:szCs w:val="21"/>
                      <w:highlight w:val="none"/>
                    </w:rPr>
                    <w:t>0.06</w:t>
                  </w:r>
                </w:p>
              </w:tc>
            </w:tr>
            <w:tr w14:paraId="62C6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61" w:type="pct"/>
                  <w:vAlign w:val="center"/>
                </w:tcPr>
                <w:p w14:paraId="0B67A830">
                  <w:pPr>
                    <w:adjustRightInd w:val="0"/>
                    <w:snapToGrid w:val="0"/>
                    <w:spacing w:line="300" w:lineRule="exact"/>
                    <w:jc w:val="center"/>
                    <w:rPr>
                      <w:color w:val="auto"/>
                      <w:kern w:val="0"/>
                      <w:szCs w:val="21"/>
                      <w:highlight w:val="none"/>
                    </w:rPr>
                  </w:pPr>
                  <w:r>
                    <w:rPr>
                      <w:rFonts w:hint="eastAsia"/>
                      <w:color w:val="auto"/>
                      <w:kern w:val="0"/>
                      <w:szCs w:val="21"/>
                      <w:highlight w:val="none"/>
                    </w:rPr>
                    <w:t>臭气浓度</w:t>
                  </w:r>
                </w:p>
              </w:tc>
              <w:tc>
                <w:tcPr>
                  <w:tcW w:w="1563" w:type="pct"/>
                  <w:vAlign w:val="center"/>
                </w:tcPr>
                <w:p w14:paraId="1BD3EA60">
                  <w:pPr>
                    <w:adjustRightInd w:val="0"/>
                    <w:snapToGrid w:val="0"/>
                    <w:spacing w:line="300" w:lineRule="exact"/>
                    <w:jc w:val="center"/>
                    <w:rPr>
                      <w:color w:val="auto"/>
                      <w:kern w:val="0"/>
                      <w:szCs w:val="21"/>
                      <w:highlight w:val="none"/>
                    </w:rPr>
                  </w:pPr>
                  <w:r>
                    <w:rPr>
                      <w:rFonts w:hint="eastAsia"/>
                      <w:color w:val="auto"/>
                      <w:kern w:val="0"/>
                      <w:szCs w:val="21"/>
                      <w:highlight w:val="none"/>
                    </w:rPr>
                    <w:t>无量纲</w:t>
                  </w:r>
                </w:p>
              </w:tc>
              <w:tc>
                <w:tcPr>
                  <w:tcW w:w="1475" w:type="pct"/>
                  <w:vAlign w:val="center"/>
                </w:tcPr>
                <w:p w14:paraId="1FFDBDEC">
                  <w:pPr>
                    <w:adjustRightInd w:val="0"/>
                    <w:snapToGrid w:val="0"/>
                    <w:spacing w:line="300" w:lineRule="exact"/>
                    <w:jc w:val="center"/>
                    <w:rPr>
                      <w:color w:val="auto"/>
                      <w:kern w:val="0"/>
                      <w:szCs w:val="21"/>
                      <w:highlight w:val="none"/>
                    </w:rPr>
                  </w:pPr>
                  <w:r>
                    <w:rPr>
                      <w:rFonts w:hint="eastAsia"/>
                      <w:color w:val="auto"/>
                      <w:kern w:val="0"/>
                      <w:szCs w:val="21"/>
                      <w:highlight w:val="none"/>
                    </w:rPr>
                    <w:t>20</w:t>
                  </w:r>
                </w:p>
              </w:tc>
            </w:tr>
          </w:tbl>
          <w:p w14:paraId="064448F3">
            <w:pPr>
              <w:adjustRightInd w:val="0"/>
              <w:snapToGrid w:val="0"/>
              <w:rPr>
                <w:b/>
                <w:bCs/>
                <w:color w:val="auto"/>
                <w:kern w:val="0"/>
                <w:sz w:val="24"/>
                <w:highlight w:val="none"/>
              </w:rPr>
            </w:pPr>
          </w:p>
          <w:p w14:paraId="197DFC45">
            <w:pPr>
              <w:adjustRightInd w:val="0"/>
              <w:snapToGrid w:val="0"/>
              <w:spacing w:line="360" w:lineRule="auto"/>
              <w:rPr>
                <w:b/>
                <w:bCs/>
                <w:color w:val="auto"/>
                <w:kern w:val="0"/>
                <w:sz w:val="24"/>
                <w:highlight w:val="none"/>
              </w:rPr>
            </w:pPr>
            <w:r>
              <w:rPr>
                <w:b/>
                <w:bCs/>
                <w:color w:val="auto"/>
                <w:kern w:val="0"/>
                <w:sz w:val="24"/>
                <w:highlight w:val="none"/>
              </w:rPr>
              <w:t>3.3.2废水排放标准</w:t>
            </w:r>
          </w:p>
          <w:p w14:paraId="58076958">
            <w:pPr>
              <w:pStyle w:val="9"/>
              <w:spacing w:line="360" w:lineRule="auto"/>
              <w:ind w:firstLine="480" w:firstLineChars="200"/>
              <w:rPr>
                <w:rFonts w:ascii="Times New Roman" w:hAnsi="宋体"/>
                <w:color w:val="auto"/>
                <w:sz w:val="24"/>
                <w:highlight w:val="none"/>
              </w:rPr>
            </w:pPr>
            <w:r>
              <w:rPr>
                <w:rFonts w:hint="eastAsia" w:ascii="Times New Roman" w:hAnsi="宋体"/>
                <w:color w:val="auto"/>
                <w:sz w:val="24"/>
                <w:highlight w:val="none"/>
              </w:rPr>
              <w:t>本项目位于合川区龙市镇工业组团，已建合川区国家农村产业融合发展示范污水处理厂（简称“龙市镇工业污水处理厂”）处理工业组团内企业产生的生产废水和生活污水。</w:t>
            </w:r>
            <w:r>
              <w:rPr>
                <w:rFonts w:hint="eastAsia" w:ascii="Times New Roman" w:hAnsi="宋体"/>
                <w:color w:val="auto"/>
                <w:sz w:val="24"/>
                <w:highlight w:val="none"/>
              </w:rPr>
              <w:t>根据龙市镇工业污水处理厂环评报告和环评批复（见附件5），污水处理厂配套建设了低浓度废水管网和高浓度废水管网。低浓度废水管网收集废水中工业废水应达到相关行业间接排放标准，生活污水达到《污水综合排放标准》（GB8978-1996）三级标准并满足《污水排入城镇下水道水质标准》（GB/T31962-2015）B级要求；高浓度管网收集的工业废水为无相应行业标准的，但应隔油预处理后满足污水处理厂接管要求后接入。</w:t>
            </w:r>
          </w:p>
          <w:p w14:paraId="49C5EED4">
            <w:pPr>
              <w:pStyle w:val="9"/>
              <w:spacing w:line="360" w:lineRule="auto"/>
              <w:ind w:firstLine="480" w:firstLineChars="200"/>
              <w:rPr>
                <w:rFonts w:hAnsi="宋体" w:cs="宋体"/>
                <w:color w:val="auto"/>
                <w:kern w:val="0"/>
                <w:sz w:val="24"/>
                <w:szCs w:val="24"/>
                <w:highlight w:val="none"/>
              </w:rPr>
            </w:pPr>
            <w:r>
              <w:rPr>
                <w:rFonts w:hint="eastAsia" w:hAnsi="宋体" w:cs="宋体"/>
                <w:color w:val="auto"/>
                <w:kern w:val="0"/>
                <w:sz w:val="24"/>
                <w:szCs w:val="24"/>
                <w:highlight w:val="none"/>
              </w:rPr>
              <w:t>本项目运营期产生生产废水和生活污水。本项目办公区租赁</w:t>
            </w:r>
            <w:r>
              <w:rPr>
                <w:rFonts w:hint="eastAsia" w:hAnsi="宋体" w:cs="宋体"/>
                <w:bCs/>
                <w:color w:val="auto"/>
                <w:sz w:val="24"/>
                <w:szCs w:val="24"/>
                <w:highlight w:val="none"/>
              </w:rPr>
              <w:t>厨鼎食品公司综合楼</w:t>
            </w:r>
            <w:r>
              <w:rPr>
                <w:rFonts w:hint="default" w:ascii="Times New Roman" w:hAnsi="Times New Roman" w:cs="Times New Roman"/>
                <w:bCs/>
                <w:color w:val="auto"/>
                <w:sz w:val="24"/>
                <w:szCs w:val="24"/>
                <w:highlight w:val="none"/>
              </w:rPr>
              <w:t>2F</w:t>
            </w:r>
            <w:r>
              <w:rPr>
                <w:rFonts w:hint="eastAsia" w:hAnsi="宋体" w:cs="宋体"/>
                <w:bCs/>
                <w:color w:val="auto"/>
                <w:sz w:val="24"/>
                <w:szCs w:val="24"/>
                <w:highlight w:val="none"/>
              </w:rPr>
              <w:t>办公室进行办公，厂内不设食宿，员工办公及卫生间均依托厨鼎食品公司，员工产生的生活污水无法单独分开收集处理，因此本项目员工产生的生活污水依托厨鼎食品公司现有生活污水处理措施收集，</w:t>
            </w:r>
            <w:r>
              <w:rPr>
                <w:rFonts w:hint="eastAsia" w:hAnsi="宋体" w:cs="宋体"/>
                <w:bCs/>
                <w:color w:val="auto"/>
                <w:sz w:val="24"/>
                <w:szCs w:val="24"/>
                <w:highlight w:val="none"/>
                <w:lang w:val="en-US" w:eastAsia="zh-CN"/>
              </w:rPr>
              <w:t>根据《复合调味料生产加工项目环境影响报告表》中的相关要求及现场踏勘，厨鼎公司生活污水</w:t>
            </w:r>
            <w:r>
              <w:rPr>
                <w:rFonts w:hint="eastAsia" w:ascii="Times New Roman" w:hAnsi="宋体"/>
                <w:bCs/>
                <w:color w:val="auto"/>
                <w:spacing w:val="-6"/>
                <w:sz w:val="24"/>
                <w:highlight w:val="none"/>
              </w:rPr>
              <w:t>化粪池处理后与通过隔油池预处理后</w:t>
            </w:r>
            <w:r>
              <w:rPr>
                <w:rFonts w:hint="eastAsia" w:ascii="Times New Roman" w:hAnsi="宋体"/>
                <w:bCs/>
                <w:color w:val="auto"/>
                <w:spacing w:val="-6"/>
                <w:sz w:val="24"/>
                <w:highlight w:val="none"/>
                <w:lang w:eastAsia="zh-CN"/>
              </w:rPr>
              <w:t>的</w:t>
            </w:r>
            <w:r>
              <w:rPr>
                <w:rFonts w:hint="eastAsia" w:ascii="Times New Roman" w:hAnsi="宋体"/>
                <w:bCs/>
                <w:color w:val="auto"/>
                <w:spacing w:val="-6"/>
                <w:sz w:val="24"/>
                <w:highlight w:val="none"/>
              </w:rPr>
              <w:t>全厂生产废水一并进入污水收集池，综合废水达</w:t>
            </w:r>
            <w:r>
              <w:rPr>
                <w:rFonts w:hint="eastAsia" w:ascii="Times New Roman" w:hAnsi="宋体"/>
                <w:bCs/>
                <w:color w:val="auto"/>
                <w:spacing w:val="-6"/>
                <w:sz w:val="24"/>
                <w:highlight w:val="none"/>
                <w:lang w:val="en-US" w:eastAsia="zh-CN"/>
              </w:rPr>
              <w:t>龙市镇工业污水处理厂</w:t>
            </w:r>
            <w:r>
              <w:rPr>
                <w:rFonts w:hint="eastAsia" w:ascii="Times New Roman" w:hAnsi="宋体"/>
                <w:bCs/>
                <w:color w:val="auto"/>
                <w:spacing w:val="-6"/>
                <w:sz w:val="24"/>
                <w:highlight w:val="none"/>
              </w:rPr>
              <w:t>接管协议标准后</w:t>
            </w:r>
            <w:r>
              <w:rPr>
                <w:rFonts w:hint="eastAsia" w:ascii="Times New Roman" w:hAnsi="宋体"/>
                <w:color w:val="auto"/>
                <w:sz w:val="24"/>
                <w:highlight w:val="none"/>
              </w:rPr>
              <w:t>由高浓度专用管道排入</w:t>
            </w:r>
            <w:r>
              <w:rPr>
                <w:rFonts w:hint="eastAsia" w:ascii="Times New Roman" w:hAnsi="宋体"/>
                <w:color w:val="auto"/>
                <w:sz w:val="24"/>
                <w:highlight w:val="none"/>
                <w:lang w:val="en-US" w:eastAsia="zh-CN"/>
              </w:rPr>
              <w:t>龙市镇工业污水处理厂</w:t>
            </w:r>
            <w:r>
              <w:rPr>
                <w:rFonts w:hint="eastAsia" w:ascii="Times New Roman" w:hAnsi="宋体"/>
                <w:color w:val="auto"/>
                <w:sz w:val="24"/>
                <w:highlight w:val="none"/>
                <w:lang w:eastAsia="zh-CN"/>
              </w:rPr>
              <w:t>，</w:t>
            </w:r>
            <w:r>
              <w:rPr>
                <w:rFonts w:hint="eastAsia" w:ascii="Times New Roman" w:hAnsi="宋体"/>
                <w:color w:val="auto"/>
                <w:sz w:val="24"/>
                <w:highlight w:val="none"/>
                <w:lang w:val="en-US" w:eastAsia="zh-CN"/>
              </w:rPr>
              <w:t>故本项目生活污水</w:t>
            </w:r>
            <w:r>
              <w:rPr>
                <w:rFonts w:hint="eastAsia" w:hAnsi="宋体" w:cs="宋体"/>
                <w:bCs/>
                <w:color w:val="auto"/>
                <w:sz w:val="24"/>
                <w:szCs w:val="24"/>
                <w:highlight w:val="none"/>
                <w:lang w:val="en-US" w:eastAsia="zh-CN"/>
              </w:rPr>
              <w:t>依托厨鼎</w:t>
            </w:r>
            <w:r>
              <w:rPr>
                <w:rFonts w:hint="eastAsia" w:hAnsi="宋体" w:cs="宋体"/>
                <w:bCs/>
                <w:color w:val="auto"/>
                <w:sz w:val="24"/>
                <w:szCs w:val="24"/>
                <w:highlight w:val="none"/>
              </w:rPr>
              <w:t>已建化粪池收集预处理后</w:t>
            </w:r>
            <w:r>
              <w:rPr>
                <w:rFonts w:hint="eastAsia" w:ascii="Times New Roman" w:hAnsi="Times New Roman"/>
                <w:color w:val="auto"/>
                <w:kern w:val="0"/>
                <w:sz w:val="24"/>
                <w:szCs w:val="24"/>
                <w:highlight w:val="none"/>
              </w:rPr>
              <w:t>经</w:t>
            </w:r>
            <w:r>
              <w:rPr>
                <w:rFonts w:hint="eastAsia" w:hAnsi="宋体" w:cs="宋体"/>
                <w:color w:val="auto"/>
                <w:kern w:val="0"/>
                <w:sz w:val="24"/>
                <w:szCs w:val="24"/>
                <w:highlight w:val="none"/>
              </w:rPr>
              <w:t>高浓度专用管道接入</w:t>
            </w:r>
            <w:r>
              <w:rPr>
                <w:rFonts w:hint="eastAsia" w:ascii="Times New Roman" w:hAnsi="Times New Roman"/>
                <w:color w:val="auto"/>
                <w:sz w:val="24"/>
                <w:szCs w:val="24"/>
                <w:highlight w:val="none"/>
              </w:rPr>
              <w:t>龙市</w:t>
            </w:r>
            <w:r>
              <w:rPr>
                <w:rFonts w:ascii="Times New Roman" w:hAnsi="Times New Roman"/>
                <w:color w:val="auto"/>
                <w:sz w:val="24"/>
                <w:szCs w:val="24"/>
                <w:highlight w:val="none"/>
              </w:rPr>
              <w:t>镇</w:t>
            </w:r>
            <w:r>
              <w:rPr>
                <w:rFonts w:hint="eastAsia" w:ascii="Times New Roman" w:hAnsi="Times New Roman"/>
                <w:color w:val="auto"/>
                <w:sz w:val="24"/>
                <w:szCs w:val="24"/>
                <w:highlight w:val="none"/>
              </w:rPr>
              <w:t>工业污水处理厂。</w:t>
            </w:r>
          </w:p>
          <w:p w14:paraId="443CA1AB">
            <w:pPr>
              <w:spacing w:line="360" w:lineRule="auto"/>
              <w:ind w:firstLine="480" w:firstLineChars="200"/>
              <w:rPr>
                <w:color w:val="auto"/>
                <w:sz w:val="24"/>
                <w:highlight w:val="none"/>
              </w:rPr>
            </w:pPr>
            <w:r>
              <w:rPr>
                <w:rFonts w:hint="eastAsia" w:ascii="宋体" w:hAnsi="宋体" w:cs="宋体"/>
                <w:color w:val="auto"/>
                <w:kern w:val="0"/>
                <w:sz w:val="24"/>
                <w:highlight w:val="none"/>
              </w:rPr>
              <w:t>本项目采用鲜葛根为原料生产葛根粉，</w:t>
            </w:r>
            <w:r>
              <w:rPr>
                <w:rFonts w:hint="eastAsia"/>
                <w:bCs/>
                <w:color w:val="auto"/>
                <w:spacing w:val="-10"/>
                <w:sz w:val="24"/>
                <w:highlight w:val="none"/>
              </w:rPr>
              <w:t>根据</w:t>
            </w:r>
            <w:r>
              <w:rPr>
                <w:bCs/>
                <w:color w:val="auto"/>
                <w:spacing w:val="-10"/>
                <w:sz w:val="24"/>
                <w:highlight w:val="none"/>
              </w:rPr>
              <w:t>《排污许可证申请与核发技术规范 农副食品加工工业一淀粉工业》（HJ860.2-2018）</w:t>
            </w:r>
            <w:r>
              <w:rPr>
                <w:rFonts w:hint="eastAsia"/>
                <w:bCs/>
                <w:color w:val="auto"/>
                <w:spacing w:val="-10"/>
                <w:sz w:val="24"/>
                <w:highlight w:val="none"/>
              </w:rPr>
              <w:t>4.4.2，淀粉工业</w:t>
            </w:r>
            <w:r>
              <w:rPr>
                <w:rFonts w:hint="eastAsia"/>
                <w:color w:val="auto"/>
                <w:kern w:val="0"/>
                <w:sz w:val="24"/>
                <w:highlight w:val="none"/>
              </w:rPr>
              <w:t>原料种类包括</w:t>
            </w:r>
            <w:r>
              <w:rPr>
                <w:rFonts w:hint="eastAsia"/>
                <w:b/>
                <w:bCs/>
                <w:color w:val="auto"/>
                <w:kern w:val="0"/>
                <w:sz w:val="24"/>
                <w:highlight w:val="none"/>
              </w:rPr>
              <w:t>谷类植物</w:t>
            </w:r>
            <w:r>
              <w:rPr>
                <w:rFonts w:hint="eastAsia"/>
                <w:color w:val="auto"/>
                <w:kern w:val="0"/>
                <w:sz w:val="24"/>
                <w:highlight w:val="none"/>
              </w:rPr>
              <w:t>（玉米、小麦、大米、大麦、燕麦、荞麦、高粱等）、</w:t>
            </w:r>
            <w:r>
              <w:rPr>
                <w:rFonts w:hint="eastAsia"/>
                <w:b/>
                <w:bCs/>
                <w:color w:val="auto"/>
                <w:kern w:val="0"/>
                <w:sz w:val="24"/>
                <w:highlight w:val="none"/>
              </w:rPr>
              <w:t>薯类</w:t>
            </w:r>
            <w:r>
              <w:rPr>
                <w:rFonts w:hint="eastAsia"/>
                <w:color w:val="auto"/>
                <w:kern w:val="0"/>
                <w:sz w:val="24"/>
                <w:highlight w:val="none"/>
              </w:rPr>
              <w:t>（马铃薯、木薯、甘薯等）、豆类（蚕豆、绿豆、豌豆、赤豆等）、</w:t>
            </w:r>
            <w:r>
              <w:rPr>
                <w:rFonts w:hint="eastAsia"/>
                <w:b/>
                <w:bCs/>
                <w:color w:val="auto"/>
                <w:kern w:val="0"/>
                <w:sz w:val="24"/>
                <w:highlight w:val="none"/>
              </w:rPr>
              <w:t>其他含淀粉植物</w:t>
            </w:r>
            <w:r>
              <w:rPr>
                <w:rFonts w:hint="eastAsia"/>
                <w:color w:val="auto"/>
                <w:kern w:val="0"/>
                <w:sz w:val="24"/>
                <w:highlight w:val="none"/>
              </w:rPr>
              <w:t>（</w:t>
            </w:r>
            <w:r>
              <w:rPr>
                <w:rFonts w:hint="eastAsia"/>
                <w:b/>
                <w:bCs/>
                <w:color w:val="auto"/>
                <w:kern w:val="0"/>
                <w:sz w:val="24"/>
                <w:highlight w:val="none"/>
              </w:rPr>
              <w:t>葛根</w:t>
            </w:r>
            <w:r>
              <w:rPr>
                <w:rFonts w:hint="eastAsia"/>
                <w:color w:val="auto"/>
                <w:kern w:val="0"/>
                <w:sz w:val="24"/>
                <w:highlight w:val="none"/>
              </w:rPr>
              <w:t>、藕、山药、香蕉、芭蕉芋、橡子、白果等）、淀粉、淀粉乳、葡萄糖、其他。因此本项目属于采用其他含淀粉植物生产葛根粉的淀粉工业。</w:t>
            </w:r>
            <w:r>
              <w:rPr>
                <w:rFonts w:hint="eastAsia" w:ascii="宋体" w:hAnsi="宋体" w:cs="宋体"/>
                <w:color w:val="auto"/>
                <w:kern w:val="0"/>
                <w:sz w:val="24"/>
                <w:highlight w:val="none"/>
              </w:rPr>
              <w:t>运营期产生</w:t>
            </w:r>
            <w:r>
              <w:rPr>
                <w:rFonts w:hint="eastAsia" w:hAnsi="宋体" w:cs="宋体"/>
                <w:color w:val="auto"/>
                <w:kern w:val="0"/>
                <w:sz w:val="24"/>
                <w:highlight w:val="none"/>
              </w:rPr>
              <w:t>的</w:t>
            </w:r>
            <w:r>
              <w:rPr>
                <w:rFonts w:hint="eastAsia" w:ascii="宋体" w:hAnsi="宋体" w:cs="宋体"/>
                <w:color w:val="auto"/>
                <w:kern w:val="0"/>
                <w:sz w:val="24"/>
                <w:highlight w:val="none"/>
              </w:rPr>
              <w:t>生产废水</w:t>
            </w:r>
            <w:r>
              <w:rPr>
                <w:rFonts w:hint="eastAsia" w:hAnsi="宋体" w:cs="宋体"/>
                <w:color w:val="auto"/>
                <w:kern w:val="0"/>
                <w:sz w:val="24"/>
                <w:highlight w:val="none"/>
              </w:rPr>
              <w:t>经自建污水处理设施处理达到</w:t>
            </w:r>
            <w:r>
              <w:rPr>
                <w:color w:val="auto"/>
                <w:kern w:val="0"/>
                <w:sz w:val="24"/>
                <w:highlight w:val="none"/>
              </w:rPr>
              <w:t>《淀粉工业水污染物排放限值》</w:t>
            </w:r>
            <w:r>
              <w:rPr>
                <w:rFonts w:hint="eastAsia"/>
                <w:color w:val="auto"/>
                <w:kern w:val="0"/>
                <w:sz w:val="24"/>
                <w:highlight w:val="none"/>
              </w:rPr>
              <w:t>（GB25461-2010）表2中的间接排放标准后排入低浓度污水管网，进入</w:t>
            </w:r>
            <w:r>
              <w:rPr>
                <w:rFonts w:hint="eastAsia" w:hAnsi="宋体"/>
                <w:color w:val="auto"/>
                <w:sz w:val="24"/>
                <w:highlight w:val="none"/>
              </w:rPr>
              <w:t>龙市镇工业污水处理厂</w:t>
            </w:r>
            <w:r>
              <w:rPr>
                <w:rFonts w:hint="eastAsia"/>
                <w:color w:val="auto"/>
                <w:kern w:val="0"/>
                <w:sz w:val="24"/>
                <w:highlight w:val="none"/>
              </w:rPr>
              <w:t>处理</w:t>
            </w:r>
            <w:r>
              <w:rPr>
                <w:rFonts w:hint="eastAsia"/>
                <w:color w:val="auto"/>
                <w:sz w:val="24"/>
                <w:highlight w:val="none"/>
              </w:rPr>
              <w:t>达《城镇污水处理厂污染物排放标准》（GB18918－2002）一级A标准后排入地表水体。</w:t>
            </w:r>
          </w:p>
          <w:p w14:paraId="44C2BA0C">
            <w:pPr>
              <w:pStyle w:val="9"/>
              <w:spacing w:line="360" w:lineRule="auto"/>
              <w:ind w:firstLine="480" w:firstLineChars="200"/>
              <w:rPr>
                <w:rFonts w:ascii="Times New Roman" w:hAnsi="Times New Roman"/>
                <w:color w:val="auto"/>
                <w:sz w:val="24"/>
                <w:szCs w:val="24"/>
                <w:highlight w:val="none"/>
              </w:rPr>
            </w:pPr>
            <w:r>
              <w:rPr>
                <w:rFonts w:ascii="Times New Roman" w:hAnsi="Times New Roman"/>
                <w:color w:val="auto"/>
                <w:kern w:val="0"/>
                <w:sz w:val="24"/>
                <w:szCs w:val="24"/>
                <w:highlight w:val="none"/>
              </w:rPr>
              <w:t>《淀粉工业水污染物排放限值》</w:t>
            </w:r>
            <w:r>
              <w:rPr>
                <w:rFonts w:hint="eastAsia" w:ascii="Times New Roman" w:hAnsi="Times New Roman"/>
                <w:color w:val="auto"/>
                <w:kern w:val="0"/>
                <w:sz w:val="24"/>
                <w:szCs w:val="24"/>
                <w:highlight w:val="none"/>
              </w:rPr>
              <w:t>（GB25461-2010）规定了以玉米、小麦和薯类为原料生产淀粉需执行单位产品（淀粉）基准排水量，小麦中淀粉含量约57%～75%，玉蜀黍中淀粉含量65%～72%，马铃薯中淀粉含量超过90%。由于鲜葛根中淀粉含量仅为16%～20%，并且</w:t>
            </w:r>
            <w:r>
              <w:rPr>
                <w:rFonts w:ascii="Times New Roman" w:hAnsi="Times New Roman"/>
                <w:color w:val="auto"/>
                <w:kern w:val="0"/>
                <w:sz w:val="24"/>
                <w:szCs w:val="24"/>
                <w:highlight w:val="none"/>
              </w:rPr>
              <w:t>《淀粉工业水污染物排放限值》</w:t>
            </w:r>
            <w:r>
              <w:rPr>
                <w:rFonts w:hint="eastAsia" w:ascii="Times New Roman" w:hAnsi="Times New Roman"/>
                <w:color w:val="auto"/>
                <w:kern w:val="0"/>
                <w:sz w:val="24"/>
                <w:szCs w:val="24"/>
                <w:highlight w:val="none"/>
              </w:rPr>
              <w:t>（GB25461-2010）中未规定以葛根为原料生产的单位产品基准排水量限值，因此本项目不执行单位产品基准排水量限值要求。</w:t>
            </w:r>
          </w:p>
          <w:p w14:paraId="2F1DA9B8">
            <w:pPr>
              <w:pStyle w:val="9"/>
              <w:spacing w:line="460" w:lineRule="exact"/>
              <w:ind w:left="-6" w:firstLine="480" w:firstLineChars="200"/>
              <w:rPr>
                <w:rFonts w:ascii="Times New Roman" w:hAnsi="Times New Roman"/>
                <w:color w:val="auto"/>
                <w:kern w:val="0"/>
                <w:sz w:val="24"/>
                <w:szCs w:val="24"/>
                <w:highlight w:val="none"/>
                <w:lang w:bidi="ar"/>
              </w:rPr>
            </w:pPr>
            <w:r>
              <w:rPr>
                <w:rFonts w:hint="eastAsia" w:ascii="Times New Roman" w:hAnsi="Times New Roman"/>
                <w:color w:val="auto"/>
                <w:kern w:val="0"/>
                <w:sz w:val="24"/>
                <w:szCs w:val="24"/>
                <w:highlight w:val="none"/>
                <w:lang w:bidi="ar"/>
              </w:rPr>
              <w:t>具体执行标准限值见表3.3-3。</w:t>
            </w:r>
          </w:p>
          <w:p w14:paraId="28F9E586">
            <w:pPr>
              <w:spacing w:line="460" w:lineRule="atLeast"/>
              <w:jc w:val="center"/>
              <w:rPr>
                <w:rFonts w:ascii="宋体" w:hAnsi="宋体" w:cs="宋体"/>
                <w:bCs/>
                <w:color w:val="auto"/>
                <w:kern w:val="0"/>
                <w:sz w:val="24"/>
                <w:highlight w:val="none"/>
              </w:rPr>
            </w:pPr>
            <w:r>
              <w:rPr>
                <w:rFonts w:hint="eastAsia"/>
                <w:b/>
                <w:bCs/>
                <w:color w:val="auto"/>
                <w:kern w:val="0"/>
                <w:sz w:val="24"/>
                <w:highlight w:val="none"/>
                <w:lang w:bidi="ar"/>
              </w:rPr>
              <w:t xml:space="preserve">             表3.3-3      废水污染排放标准  </w:t>
            </w:r>
            <w:r>
              <w:rPr>
                <w:rFonts w:hint="eastAsia"/>
                <w:bCs/>
                <w:color w:val="auto"/>
                <w:sz w:val="24"/>
                <w:highlight w:val="none"/>
              </w:rPr>
              <w:t>（单位：mg</w:t>
            </w:r>
            <w:r>
              <w:rPr>
                <w:bCs/>
                <w:color w:val="auto"/>
                <w:sz w:val="24"/>
                <w:highlight w:val="none"/>
              </w:rPr>
              <w:t>/L</w:t>
            </w:r>
            <w:r>
              <w:rPr>
                <w:rFonts w:hint="eastAsia"/>
                <w:bCs/>
                <w:color w:val="auto"/>
                <w:sz w:val="24"/>
                <w:highlight w:val="none"/>
              </w:rPr>
              <w:t>，</w:t>
            </w:r>
            <w:r>
              <w:rPr>
                <w:bCs/>
                <w:color w:val="auto"/>
                <w:sz w:val="24"/>
                <w:highlight w:val="none"/>
              </w:rPr>
              <w:t>p</w:t>
            </w:r>
            <w:r>
              <w:rPr>
                <w:rFonts w:hint="eastAsia"/>
                <w:bCs/>
                <w:color w:val="auto"/>
                <w:sz w:val="24"/>
                <w:highlight w:val="none"/>
              </w:rPr>
              <w:t>H除外）</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819"/>
              <w:gridCol w:w="1135"/>
              <w:gridCol w:w="1073"/>
              <w:gridCol w:w="968"/>
              <w:gridCol w:w="1073"/>
              <w:gridCol w:w="714"/>
              <w:gridCol w:w="777"/>
            </w:tblGrid>
            <w:tr w14:paraId="3B71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076" w:type="pct"/>
                  <w:vAlign w:val="center"/>
                </w:tcPr>
                <w:p w14:paraId="32FBB7DF">
                  <w:pPr>
                    <w:pStyle w:val="36"/>
                    <w:spacing w:before="24" w:after="24" w:line="300" w:lineRule="exact"/>
                    <w:rPr>
                      <w:rFonts w:ascii="Times New Roman"/>
                      <w:color w:val="auto"/>
                      <w:szCs w:val="21"/>
                      <w:highlight w:val="none"/>
                    </w:rPr>
                  </w:pPr>
                  <w:r>
                    <w:rPr>
                      <w:rFonts w:hint="eastAsia" w:ascii="Times New Roman"/>
                      <w:color w:val="auto"/>
                      <w:szCs w:val="21"/>
                      <w:highlight w:val="none"/>
                    </w:rPr>
                    <w:t xml:space="preserve"> 标准</w:t>
                  </w:r>
                </w:p>
                <w:p w14:paraId="56464862">
                  <w:pPr>
                    <w:pStyle w:val="36"/>
                    <w:spacing w:before="24" w:after="24" w:line="300" w:lineRule="exact"/>
                    <w:rPr>
                      <w:rFonts w:ascii="Times New Roman"/>
                      <w:color w:val="auto"/>
                      <w:szCs w:val="21"/>
                      <w:highlight w:val="none"/>
                    </w:rPr>
                  </w:pPr>
                  <w:r>
                    <w:rPr>
                      <w:rFonts w:hint="eastAsia" w:ascii="Times New Roman"/>
                      <w:color w:val="auto"/>
                      <w:szCs w:val="21"/>
                      <w:highlight w:val="none"/>
                    </w:rPr>
                    <w:t>污染物</w:t>
                  </w:r>
                </w:p>
              </w:tc>
              <w:tc>
                <w:tcPr>
                  <w:tcW w:w="490" w:type="pct"/>
                  <w:vAlign w:val="center"/>
                </w:tcPr>
                <w:p w14:paraId="1EE23433">
                  <w:pPr>
                    <w:pStyle w:val="36"/>
                    <w:spacing w:before="24" w:after="24" w:line="300" w:lineRule="exact"/>
                    <w:rPr>
                      <w:rFonts w:ascii="Times New Roman"/>
                      <w:color w:val="auto"/>
                      <w:szCs w:val="21"/>
                      <w:highlight w:val="none"/>
                    </w:rPr>
                  </w:pPr>
                  <w:r>
                    <w:rPr>
                      <w:rFonts w:ascii="Times New Roman"/>
                      <w:color w:val="auto"/>
                      <w:szCs w:val="21"/>
                      <w:highlight w:val="none"/>
                    </w:rPr>
                    <w:t>pH</w:t>
                  </w:r>
                </w:p>
              </w:tc>
              <w:tc>
                <w:tcPr>
                  <w:tcW w:w="679" w:type="pct"/>
                  <w:vAlign w:val="center"/>
                </w:tcPr>
                <w:p w14:paraId="05E6759A">
                  <w:pPr>
                    <w:pStyle w:val="36"/>
                    <w:spacing w:before="24" w:after="24" w:line="300" w:lineRule="exact"/>
                    <w:rPr>
                      <w:rFonts w:ascii="Times New Roman"/>
                      <w:color w:val="auto"/>
                      <w:szCs w:val="21"/>
                      <w:highlight w:val="none"/>
                    </w:rPr>
                  </w:pPr>
                  <w:r>
                    <w:rPr>
                      <w:rFonts w:ascii="Times New Roman"/>
                      <w:color w:val="auto"/>
                      <w:szCs w:val="21"/>
                      <w:highlight w:val="none"/>
                    </w:rPr>
                    <w:t>COD</w:t>
                  </w:r>
                  <w:r>
                    <w:rPr>
                      <w:rFonts w:hint="eastAsia" w:ascii="Times New Roman"/>
                      <w:color w:val="auto"/>
                      <w:szCs w:val="21"/>
                      <w:highlight w:val="none"/>
                      <w:vertAlign w:val="subscript"/>
                    </w:rPr>
                    <w:t>Cr</w:t>
                  </w:r>
                </w:p>
              </w:tc>
              <w:tc>
                <w:tcPr>
                  <w:tcW w:w="642" w:type="pct"/>
                  <w:vAlign w:val="center"/>
                </w:tcPr>
                <w:p w14:paraId="4659F4C4">
                  <w:pPr>
                    <w:pStyle w:val="36"/>
                    <w:spacing w:before="24" w:after="24" w:line="300" w:lineRule="exact"/>
                    <w:rPr>
                      <w:rFonts w:ascii="Times New Roman"/>
                      <w:color w:val="auto"/>
                      <w:szCs w:val="21"/>
                      <w:highlight w:val="none"/>
                    </w:rPr>
                  </w:pPr>
                  <w:r>
                    <w:rPr>
                      <w:rFonts w:ascii="Times New Roman"/>
                      <w:color w:val="auto"/>
                      <w:szCs w:val="21"/>
                      <w:highlight w:val="none"/>
                    </w:rPr>
                    <w:t>BOD</w:t>
                  </w:r>
                  <w:r>
                    <w:rPr>
                      <w:rFonts w:ascii="Times New Roman"/>
                      <w:color w:val="auto"/>
                      <w:szCs w:val="21"/>
                      <w:highlight w:val="none"/>
                      <w:vertAlign w:val="subscript"/>
                    </w:rPr>
                    <w:t>5</w:t>
                  </w:r>
                </w:p>
              </w:tc>
              <w:tc>
                <w:tcPr>
                  <w:tcW w:w="579" w:type="pct"/>
                  <w:vAlign w:val="center"/>
                </w:tcPr>
                <w:p w14:paraId="4169FD05">
                  <w:pPr>
                    <w:pStyle w:val="36"/>
                    <w:spacing w:before="24" w:after="24" w:line="300" w:lineRule="exact"/>
                    <w:rPr>
                      <w:rFonts w:ascii="Times New Roman"/>
                      <w:color w:val="auto"/>
                      <w:szCs w:val="21"/>
                      <w:highlight w:val="none"/>
                    </w:rPr>
                  </w:pPr>
                  <w:r>
                    <w:rPr>
                      <w:rFonts w:ascii="Times New Roman"/>
                      <w:color w:val="auto"/>
                      <w:szCs w:val="21"/>
                      <w:highlight w:val="none"/>
                    </w:rPr>
                    <w:t>SS</w:t>
                  </w:r>
                </w:p>
              </w:tc>
              <w:tc>
                <w:tcPr>
                  <w:tcW w:w="642" w:type="pct"/>
                  <w:vAlign w:val="center"/>
                </w:tcPr>
                <w:p w14:paraId="259E45E9">
                  <w:pPr>
                    <w:pStyle w:val="36"/>
                    <w:spacing w:before="24" w:after="24" w:line="300" w:lineRule="exact"/>
                    <w:rPr>
                      <w:rFonts w:ascii="Times New Roman"/>
                      <w:color w:val="auto"/>
                      <w:szCs w:val="21"/>
                      <w:highlight w:val="none"/>
                    </w:rPr>
                  </w:pPr>
                  <w:r>
                    <w:rPr>
                      <w:rFonts w:ascii="Times New Roman"/>
                      <w:color w:val="auto"/>
                      <w:szCs w:val="21"/>
                      <w:highlight w:val="none"/>
                    </w:rPr>
                    <w:t>氨氮</w:t>
                  </w:r>
                </w:p>
              </w:tc>
              <w:tc>
                <w:tcPr>
                  <w:tcW w:w="427" w:type="pct"/>
                  <w:vAlign w:val="center"/>
                </w:tcPr>
                <w:p w14:paraId="3A19FB84">
                  <w:pPr>
                    <w:pStyle w:val="36"/>
                    <w:spacing w:before="24" w:after="24" w:line="300" w:lineRule="exact"/>
                    <w:rPr>
                      <w:rFonts w:ascii="Times New Roman"/>
                      <w:color w:val="auto"/>
                      <w:szCs w:val="21"/>
                      <w:highlight w:val="none"/>
                    </w:rPr>
                  </w:pPr>
                  <w:r>
                    <w:rPr>
                      <w:rFonts w:ascii="Times New Roman"/>
                      <w:color w:val="auto"/>
                      <w:szCs w:val="21"/>
                      <w:highlight w:val="none"/>
                    </w:rPr>
                    <w:t>总磷</w:t>
                  </w:r>
                </w:p>
              </w:tc>
              <w:tc>
                <w:tcPr>
                  <w:tcW w:w="463" w:type="pct"/>
                  <w:vAlign w:val="center"/>
                </w:tcPr>
                <w:p w14:paraId="35382928">
                  <w:pPr>
                    <w:pStyle w:val="36"/>
                    <w:spacing w:before="24" w:after="24" w:line="300" w:lineRule="exact"/>
                    <w:rPr>
                      <w:rFonts w:ascii="Times New Roman"/>
                      <w:color w:val="auto"/>
                      <w:szCs w:val="21"/>
                      <w:highlight w:val="none"/>
                    </w:rPr>
                  </w:pPr>
                  <w:r>
                    <w:rPr>
                      <w:rFonts w:ascii="Times New Roman"/>
                      <w:color w:val="auto"/>
                      <w:szCs w:val="21"/>
                      <w:highlight w:val="none"/>
                    </w:rPr>
                    <w:t>总氮</w:t>
                  </w:r>
                </w:p>
              </w:tc>
            </w:tr>
            <w:tr w14:paraId="4207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076" w:type="pct"/>
                  <w:vAlign w:val="center"/>
                </w:tcPr>
                <w:p w14:paraId="401D8E1E">
                  <w:pPr>
                    <w:widowControl/>
                    <w:spacing w:line="300" w:lineRule="exact"/>
                    <w:jc w:val="center"/>
                    <w:rPr>
                      <w:color w:val="auto"/>
                      <w:kern w:val="0"/>
                      <w:szCs w:val="21"/>
                      <w:highlight w:val="none"/>
                    </w:rPr>
                  </w:pPr>
                  <w:r>
                    <w:rPr>
                      <w:color w:val="auto"/>
                      <w:kern w:val="0"/>
                      <w:szCs w:val="21"/>
                      <w:highlight w:val="none"/>
                    </w:rPr>
                    <w:t>龙市镇工业污水处理厂接纳标准</w:t>
                  </w:r>
                </w:p>
              </w:tc>
              <w:tc>
                <w:tcPr>
                  <w:tcW w:w="490" w:type="pct"/>
                  <w:vAlign w:val="center"/>
                </w:tcPr>
                <w:p w14:paraId="0816FBDC">
                  <w:pPr>
                    <w:widowControl/>
                    <w:spacing w:line="300" w:lineRule="exact"/>
                    <w:jc w:val="center"/>
                    <w:rPr>
                      <w:color w:val="auto"/>
                      <w:kern w:val="0"/>
                      <w:szCs w:val="21"/>
                      <w:highlight w:val="none"/>
                    </w:rPr>
                  </w:pPr>
                  <w:r>
                    <w:rPr>
                      <w:rFonts w:hint="eastAsia"/>
                      <w:color w:val="auto"/>
                      <w:kern w:val="0"/>
                      <w:szCs w:val="21"/>
                      <w:highlight w:val="none"/>
                    </w:rPr>
                    <w:t>6~9</w:t>
                  </w:r>
                </w:p>
              </w:tc>
              <w:tc>
                <w:tcPr>
                  <w:tcW w:w="679" w:type="pct"/>
                  <w:vAlign w:val="center"/>
                </w:tcPr>
                <w:p w14:paraId="31CCF75C">
                  <w:pPr>
                    <w:widowControl/>
                    <w:spacing w:line="300" w:lineRule="exact"/>
                    <w:jc w:val="center"/>
                    <w:rPr>
                      <w:color w:val="auto"/>
                      <w:kern w:val="0"/>
                      <w:szCs w:val="21"/>
                      <w:highlight w:val="none"/>
                    </w:rPr>
                  </w:pPr>
                  <w:r>
                    <w:rPr>
                      <w:rFonts w:hint="eastAsia"/>
                      <w:color w:val="auto"/>
                      <w:kern w:val="0"/>
                      <w:szCs w:val="21"/>
                      <w:highlight w:val="none"/>
                    </w:rPr>
                    <w:t>10000</w:t>
                  </w:r>
                </w:p>
              </w:tc>
              <w:tc>
                <w:tcPr>
                  <w:tcW w:w="642" w:type="pct"/>
                  <w:vAlign w:val="center"/>
                </w:tcPr>
                <w:p w14:paraId="597886CC">
                  <w:pPr>
                    <w:widowControl/>
                    <w:spacing w:line="300" w:lineRule="exact"/>
                    <w:jc w:val="center"/>
                    <w:rPr>
                      <w:color w:val="auto"/>
                      <w:kern w:val="0"/>
                      <w:szCs w:val="21"/>
                      <w:highlight w:val="none"/>
                    </w:rPr>
                  </w:pPr>
                  <w:r>
                    <w:rPr>
                      <w:rFonts w:hint="eastAsia"/>
                      <w:color w:val="auto"/>
                      <w:kern w:val="0"/>
                      <w:szCs w:val="21"/>
                      <w:highlight w:val="none"/>
                    </w:rPr>
                    <w:t>5000</w:t>
                  </w:r>
                </w:p>
              </w:tc>
              <w:tc>
                <w:tcPr>
                  <w:tcW w:w="579" w:type="pct"/>
                  <w:vAlign w:val="center"/>
                </w:tcPr>
                <w:p w14:paraId="58DF62CC">
                  <w:pPr>
                    <w:widowControl/>
                    <w:spacing w:line="300" w:lineRule="exact"/>
                    <w:jc w:val="center"/>
                    <w:rPr>
                      <w:color w:val="auto"/>
                      <w:kern w:val="0"/>
                      <w:szCs w:val="21"/>
                      <w:highlight w:val="none"/>
                    </w:rPr>
                  </w:pPr>
                  <w:r>
                    <w:rPr>
                      <w:rFonts w:hint="eastAsia"/>
                      <w:color w:val="auto"/>
                      <w:kern w:val="0"/>
                      <w:szCs w:val="21"/>
                      <w:highlight w:val="none"/>
                    </w:rPr>
                    <w:t>1000</w:t>
                  </w:r>
                </w:p>
              </w:tc>
              <w:tc>
                <w:tcPr>
                  <w:tcW w:w="642" w:type="pct"/>
                  <w:vAlign w:val="center"/>
                </w:tcPr>
                <w:p w14:paraId="747CB645">
                  <w:pPr>
                    <w:widowControl/>
                    <w:spacing w:line="300" w:lineRule="exact"/>
                    <w:jc w:val="center"/>
                    <w:rPr>
                      <w:color w:val="auto"/>
                      <w:kern w:val="0"/>
                      <w:szCs w:val="21"/>
                      <w:highlight w:val="none"/>
                    </w:rPr>
                  </w:pPr>
                  <w:r>
                    <w:rPr>
                      <w:rFonts w:hint="eastAsia"/>
                      <w:color w:val="auto"/>
                      <w:kern w:val="0"/>
                      <w:szCs w:val="21"/>
                      <w:highlight w:val="none"/>
                    </w:rPr>
                    <w:t>400</w:t>
                  </w:r>
                </w:p>
              </w:tc>
              <w:tc>
                <w:tcPr>
                  <w:tcW w:w="427" w:type="pct"/>
                  <w:vAlign w:val="center"/>
                </w:tcPr>
                <w:p w14:paraId="7112A877">
                  <w:pPr>
                    <w:widowControl/>
                    <w:spacing w:line="300" w:lineRule="exact"/>
                    <w:jc w:val="center"/>
                    <w:rPr>
                      <w:color w:val="auto"/>
                      <w:kern w:val="0"/>
                      <w:szCs w:val="21"/>
                      <w:highlight w:val="none"/>
                    </w:rPr>
                  </w:pPr>
                  <w:r>
                    <w:rPr>
                      <w:rFonts w:hint="eastAsia"/>
                      <w:color w:val="auto"/>
                      <w:kern w:val="0"/>
                      <w:szCs w:val="21"/>
                      <w:highlight w:val="none"/>
                    </w:rPr>
                    <w:t>50</w:t>
                  </w:r>
                </w:p>
              </w:tc>
              <w:tc>
                <w:tcPr>
                  <w:tcW w:w="463" w:type="pct"/>
                  <w:vAlign w:val="center"/>
                </w:tcPr>
                <w:p w14:paraId="23EA9990">
                  <w:pPr>
                    <w:widowControl/>
                    <w:spacing w:line="300" w:lineRule="exact"/>
                    <w:jc w:val="center"/>
                    <w:rPr>
                      <w:color w:val="auto"/>
                      <w:kern w:val="0"/>
                      <w:szCs w:val="21"/>
                      <w:highlight w:val="none"/>
                    </w:rPr>
                  </w:pPr>
                  <w:r>
                    <w:rPr>
                      <w:rFonts w:hint="eastAsia"/>
                      <w:color w:val="auto"/>
                      <w:kern w:val="0"/>
                      <w:szCs w:val="21"/>
                      <w:highlight w:val="none"/>
                    </w:rPr>
                    <w:t>600</w:t>
                  </w:r>
                </w:p>
              </w:tc>
            </w:tr>
            <w:tr w14:paraId="441C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vAlign w:val="center"/>
                </w:tcPr>
                <w:p w14:paraId="3170FA2D">
                  <w:pPr>
                    <w:pStyle w:val="36"/>
                    <w:spacing w:before="24" w:after="24" w:line="300" w:lineRule="exact"/>
                    <w:rPr>
                      <w:rFonts w:ascii="Times New Roman"/>
                      <w:color w:val="auto"/>
                      <w:szCs w:val="21"/>
                      <w:highlight w:val="none"/>
                    </w:rPr>
                  </w:pPr>
                  <w:r>
                    <w:rPr>
                      <w:rFonts w:ascii="Times New Roman"/>
                      <w:color w:val="auto"/>
                      <w:szCs w:val="21"/>
                      <w:highlight w:val="none"/>
                    </w:rPr>
                    <w:t>《淀粉工业水污染物排放限值》</w:t>
                  </w:r>
                </w:p>
              </w:tc>
              <w:tc>
                <w:tcPr>
                  <w:tcW w:w="490" w:type="pct"/>
                  <w:vAlign w:val="center"/>
                </w:tcPr>
                <w:p w14:paraId="1AED881A">
                  <w:pPr>
                    <w:pStyle w:val="36"/>
                    <w:spacing w:before="24" w:after="24" w:line="300" w:lineRule="exact"/>
                    <w:rPr>
                      <w:rFonts w:ascii="Times New Roman"/>
                      <w:color w:val="auto"/>
                      <w:szCs w:val="21"/>
                      <w:highlight w:val="none"/>
                    </w:rPr>
                  </w:pPr>
                  <w:r>
                    <w:rPr>
                      <w:rFonts w:ascii="Times New Roman"/>
                      <w:color w:val="auto"/>
                      <w:szCs w:val="21"/>
                      <w:highlight w:val="none"/>
                    </w:rPr>
                    <w:t>6~9</w:t>
                  </w:r>
                </w:p>
              </w:tc>
              <w:tc>
                <w:tcPr>
                  <w:tcW w:w="679" w:type="pct"/>
                  <w:vAlign w:val="center"/>
                </w:tcPr>
                <w:p w14:paraId="520087CA">
                  <w:pPr>
                    <w:pStyle w:val="36"/>
                    <w:spacing w:before="24" w:after="24" w:line="300" w:lineRule="exact"/>
                    <w:rPr>
                      <w:rFonts w:ascii="Times New Roman"/>
                      <w:color w:val="auto"/>
                      <w:szCs w:val="21"/>
                      <w:highlight w:val="none"/>
                    </w:rPr>
                  </w:pPr>
                  <w:r>
                    <w:rPr>
                      <w:rFonts w:hint="eastAsia" w:ascii="Times New Roman"/>
                      <w:color w:val="auto"/>
                      <w:szCs w:val="21"/>
                      <w:highlight w:val="none"/>
                    </w:rPr>
                    <w:t>300</w:t>
                  </w:r>
                </w:p>
              </w:tc>
              <w:tc>
                <w:tcPr>
                  <w:tcW w:w="642" w:type="pct"/>
                  <w:vAlign w:val="center"/>
                </w:tcPr>
                <w:p w14:paraId="19A216A6">
                  <w:pPr>
                    <w:pStyle w:val="36"/>
                    <w:spacing w:before="24" w:after="24" w:line="300" w:lineRule="exact"/>
                    <w:rPr>
                      <w:rFonts w:ascii="Times New Roman"/>
                      <w:color w:val="auto"/>
                      <w:szCs w:val="21"/>
                      <w:highlight w:val="none"/>
                    </w:rPr>
                  </w:pPr>
                  <w:r>
                    <w:rPr>
                      <w:rFonts w:hint="eastAsia" w:ascii="Times New Roman"/>
                      <w:color w:val="auto"/>
                      <w:szCs w:val="21"/>
                      <w:highlight w:val="none"/>
                    </w:rPr>
                    <w:t>70</w:t>
                  </w:r>
                </w:p>
              </w:tc>
              <w:tc>
                <w:tcPr>
                  <w:tcW w:w="579" w:type="pct"/>
                  <w:vAlign w:val="center"/>
                </w:tcPr>
                <w:p w14:paraId="11230187">
                  <w:pPr>
                    <w:pStyle w:val="36"/>
                    <w:spacing w:before="24" w:after="24" w:line="300" w:lineRule="exact"/>
                    <w:rPr>
                      <w:rFonts w:ascii="Times New Roman"/>
                      <w:color w:val="auto"/>
                      <w:szCs w:val="21"/>
                      <w:highlight w:val="none"/>
                    </w:rPr>
                  </w:pPr>
                  <w:r>
                    <w:rPr>
                      <w:rFonts w:hint="eastAsia" w:ascii="Times New Roman"/>
                      <w:color w:val="auto"/>
                      <w:szCs w:val="21"/>
                      <w:highlight w:val="none"/>
                    </w:rPr>
                    <w:t>70</w:t>
                  </w:r>
                </w:p>
              </w:tc>
              <w:tc>
                <w:tcPr>
                  <w:tcW w:w="642" w:type="pct"/>
                  <w:vAlign w:val="center"/>
                </w:tcPr>
                <w:p w14:paraId="5B83289E">
                  <w:pPr>
                    <w:pStyle w:val="36"/>
                    <w:spacing w:before="24" w:after="24" w:line="300" w:lineRule="exact"/>
                    <w:rPr>
                      <w:rFonts w:ascii="Times New Roman"/>
                      <w:color w:val="auto"/>
                      <w:szCs w:val="21"/>
                      <w:highlight w:val="none"/>
                    </w:rPr>
                  </w:pPr>
                  <w:r>
                    <w:rPr>
                      <w:rFonts w:hint="eastAsia" w:ascii="Times New Roman"/>
                      <w:color w:val="auto"/>
                      <w:szCs w:val="21"/>
                      <w:highlight w:val="none"/>
                    </w:rPr>
                    <w:t>35</w:t>
                  </w:r>
                </w:p>
              </w:tc>
              <w:tc>
                <w:tcPr>
                  <w:tcW w:w="427" w:type="pct"/>
                  <w:vAlign w:val="center"/>
                </w:tcPr>
                <w:p w14:paraId="0D66D0F4">
                  <w:pPr>
                    <w:pStyle w:val="36"/>
                    <w:spacing w:before="24" w:after="24" w:line="300" w:lineRule="exact"/>
                    <w:rPr>
                      <w:rFonts w:ascii="Times New Roman"/>
                      <w:color w:val="auto"/>
                      <w:szCs w:val="21"/>
                      <w:highlight w:val="none"/>
                    </w:rPr>
                  </w:pPr>
                  <w:r>
                    <w:rPr>
                      <w:rFonts w:hint="eastAsia" w:ascii="Times New Roman"/>
                      <w:color w:val="auto"/>
                      <w:szCs w:val="21"/>
                      <w:highlight w:val="none"/>
                    </w:rPr>
                    <w:t>5</w:t>
                  </w:r>
                </w:p>
              </w:tc>
              <w:tc>
                <w:tcPr>
                  <w:tcW w:w="463" w:type="pct"/>
                  <w:vAlign w:val="center"/>
                </w:tcPr>
                <w:p w14:paraId="295D7477">
                  <w:pPr>
                    <w:pStyle w:val="36"/>
                    <w:spacing w:before="24" w:after="24" w:line="300" w:lineRule="exact"/>
                    <w:rPr>
                      <w:rFonts w:ascii="Times New Roman"/>
                      <w:color w:val="auto"/>
                      <w:szCs w:val="21"/>
                      <w:highlight w:val="none"/>
                    </w:rPr>
                  </w:pPr>
                  <w:r>
                    <w:rPr>
                      <w:rFonts w:hint="eastAsia" w:ascii="Times New Roman"/>
                      <w:color w:val="auto"/>
                      <w:szCs w:val="21"/>
                      <w:highlight w:val="none"/>
                    </w:rPr>
                    <w:t>55</w:t>
                  </w:r>
                </w:p>
              </w:tc>
            </w:tr>
            <w:tr w14:paraId="63A4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1076" w:type="pct"/>
                  <w:vAlign w:val="center"/>
                </w:tcPr>
                <w:p w14:paraId="302906C9">
                  <w:pPr>
                    <w:pStyle w:val="36"/>
                    <w:spacing w:before="24" w:after="24" w:line="300" w:lineRule="exact"/>
                    <w:rPr>
                      <w:rFonts w:ascii="Times New Roman"/>
                      <w:color w:val="auto"/>
                      <w:szCs w:val="21"/>
                      <w:highlight w:val="none"/>
                    </w:rPr>
                  </w:pPr>
                  <w:r>
                    <w:rPr>
                      <w:rFonts w:ascii="Times New Roman"/>
                      <w:color w:val="auto"/>
                      <w:szCs w:val="21"/>
                      <w:highlight w:val="none"/>
                    </w:rPr>
                    <w:t>《城镇污水处理厂污染物排放标准》</w:t>
                  </w:r>
                  <w:r>
                    <w:rPr>
                      <w:rFonts w:hint="eastAsia" w:ascii="Times New Roman"/>
                      <w:color w:val="auto"/>
                      <w:szCs w:val="21"/>
                      <w:highlight w:val="none"/>
                    </w:rPr>
                    <w:t>一级A标准</w:t>
                  </w:r>
                </w:p>
              </w:tc>
              <w:tc>
                <w:tcPr>
                  <w:tcW w:w="490" w:type="pct"/>
                  <w:vAlign w:val="center"/>
                </w:tcPr>
                <w:p w14:paraId="3965B3A4">
                  <w:pPr>
                    <w:pStyle w:val="36"/>
                    <w:spacing w:before="24" w:after="24" w:line="300" w:lineRule="exact"/>
                    <w:rPr>
                      <w:rFonts w:ascii="Times New Roman"/>
                      <w:color w:val="auto"/>
                      <w:szCs w:val="21"/>
                      <w:highlight w:val="none"/>
                    </w:rPr>
                  </w:pPr>
                  <w:r>
                    <w:rPr>
                      <w:rFonts w:hint="eastAsia" w:ascii="Times New Roman"/>
                      <w:color w:val="auto"/>
                      <w:szCs w:val="21"/>
                      <w:highlight w:val="none"/>
                    </w:rPr>
                    <w:t>6~9</w:t>
                  </w:r>
                </w:p>
              </w:tc>
              <w:tc>
                <w:tcPr>
                  <w:tcW w:w="679" w:type="pct"/>
                  <w:vAlign w:val="center"/>
                </w:tcPr>
                <w:p w14:paraId="7D5D8881">
                  <w:pPr>
                    <w:pStyle w:val="36"/>
                    <w:spacing w:before="24" w:after="24" w:line="300" w:lineRule="exact"/>
                    <w:rPr>
                      <w:rFonts w:ascii="Times New Roman"/>
                      <w:color w:val="auto"/>
                      <w:szCs w:val="21"/>
                      <w:highlight w:val="none"/>
                    </w:rPr>
                  </w:pPr>
                  <w:r>
                    <w:rPr>
                      <w:rFonts w:hint="eastAsia" w:ascii="Times New Roman"/>
                      <w:color w:val="auto"/>
                      <w:szCs w:val="21"/>
                      <w:highlight w:val="none"/>
                    </w:rPr>
                    <w:t>50</w:t>
                  </w:r>
                </w:p>
              </w:tc>
              <w:tc>
                <w:tcPr>
                  <w:tcW w:w="642" w:type="pct"/>
                  <w:vAlign w:val="center"/>
                </w:tcPr>
                <w:p w14:paraId="15151B96">
                  <w:pPr>
                    <w:pStyle w:val="36"/>
                    <w:spacing w:before="24" w:after="24" w:line="300" w:lineRule="exact"/>
                    <w:rPr>
                      <w:rFonts w:ascii="Times New Roman"/>
                      <w:color w:val="auto"/>
                      <w:szCs w:val="21"/>
                      <w:highlight w:val="none"/>
                    </w:rPr>
                  </w:pPr>
                  <w:r>
                    <w:rPr>
                      <w:rFonts w:hint="eastAsia" w:ascii="Times New Roman"/>
                      <w:color w:val="auto"/>
                      <w:szCs w:val="21"/>
                      <w:highlight w:val="none"/>
                    </w:rPr>
                    <w:t>10</w:t>
                  </w:r>
                </w:p>
              </w:tc>
              <w:tc>
                <w:tcPr>
                  <w:tcW w:w="579" w:type="pct"/>
                  <w:vAlign w:val="center"/>
                </w:tcPr>
                <w:p w14:paraId="2F983206">
                  <w:pPr>
                    <w:pStyle w:val="36"/>
                    <w:spacing w:before="24" w:after="24" w:line="300" w:lineRule="exact"/>
                    <w:rPr>
                      <w:rFonts w:ascii="Times New Roman"/>
                      <w:color w:val="auto"/>
                      <w:szCs w:val="21"/>
                      <w:highlight w:val="none"/>
                    </w:rPr>
                  </w:pPr>
                  <w:r>
                    <w:rPr>
                      <w:rFonts w:hint="eastAsia" w:ascii="Times New Roman"/>
                      <w:color w:val="auto"/>
                      <w:szCs w:val="21"/>
                      <w:highlight w:val="none"/>
                    </w:rPr>
                    <w:t>10</w:t>
                  </w:r>
                </w:p>
              </w:tc>
              <w:tc>
                <w:tcPr>
                  <w:tcW w:w="642" w:type="pct"/>
                  <w:vAlign w:val="center"/>
                </w:tcPr>
                <w:p w14:paraId="1246B1A1">
                  <w:pPr>
                    <w:pStyle w:val="36"/>
                    <w:spacing w:before="24" w:after="24" w:line="300" w:lineRule="exact"/>
                    <w:rPr>
                      <w:rFonts w:ascii="Times New Roman"/>
                      <w:color w:val="auto"/>
                      <w:szCs w:val="21"/>
                      <w:highlight w:val="none"/>
                    </w:rPr>
                  </w:pPr>
                  <w:r>
                    <w:rPr>
                      <w:rFonts w:hint="eastAsia" w:ascii="Times New Roman"/>
                      <w:color w:val="auto"/>
                      <w:szCs w:val="21"/>
                      <w:highlight w:val="none"/>
                    </w:rPr>
                    <w:t>5（8）</w:t>
                  </w:r>
                </w:p>
              </w:tc>
              <w:tc>
                <w:tcPr>
                  <w:tcW w:w="427" w:type="pct"/>
                  <w:vAlign w:val="center"/>
                </w:tcPr>
                <w:p w14:paraId="126B68F8">
                  <w:pPr>
                    <w:pStyle w:val="36"/>
                    <w:spacing w:before="24" w:after="24" w:line="300" w:lineRule="exact"/>
                    <w:rPr>
                      <w:rFonts w:ascii="Times New Roman"/>
                      <w:color w:val="auto"/>
                      <w:szCs w:val="21"/>
                      <w:highlight w:val="none"/>
                    </w:rPr>
                  </w:pPr>
                  <w:r>
                    <w:rPr>
                      <w:rFonts w:hint="eastAsia" w:ascii="Times New Roman"/>
                      <w:color w:val="auto"/>
                      <w:szCs w:val="21"/>
                      <w:highlight w:val="none"/>
                    </w:rPr>
                    <w:t>0.5</w:t>
                  </w:r>
                </w:p>
              </w:tc>
              <w:tc>
                <w:tcPr>
                  <w:tcW w:w="463" w:type="pct"/>
                  <w:vAlign w:val="center"/>
                </w:tcPr>
                <w:p w14:paraId="047A6053">
                  <w:pPr>
                    <w:pStyle w:val="36"/>
                    <w:spacing w:before="24" w:after="24" w:line="300" w:lineRule="exact"/>
                    <w:rPr>
                      <w:rFonts w:ascii="Times New Roman"/>
                      <w:color w:val="auto"/>
                      <w:szCs w:val="21"/>
                      <w:highlight w:val="none"/>
                    </w:rPr>
                  </w:pPr>
                  <w:r>
                    <w:rPr>
                      <w:rFonts w:hint="eastAsia" w:ascii="Times New Roman"/>
                      <w:color w:val="auto"/>
                      <w:szCs w:val="21"/>
                      <w:highlight w:val="none"/>
                    </w:rPr>
                    <w:t>15</w:t>
                  </w:r>
                </w:p>
              </w:tc>
            </w:tr>
            <w:tr w14:paraId="23CF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000" w:type="pct"/>
                  <w:gridSpan w:val="8"/>
                  <w:vAlign w:val="center"/>
                </w:tcPr>
                <w:p w14:paraId="1D49AE98">
                  <w:pPr>
                    <w:pStyle w:val="36"/>
                    <w:spacing w:before="24" w:after="24" w:line="300" w:lineRule="exact"/>
                    <w:jc w:val="left"/>
                    <w:rPr>
                      <w:rFonts w:ascii="Times New Roman"/>
                      <w:color w:val="auto"/>
                      <w:szCs w:val="21"/>
                      <w:highlight w:val="none"/>
                    </w:rPr>
                  </w:pPr>
                  <w:r>
                    <w:rPr>
                      <w:rFonts w:hint="eastAsia" w:ascii="Times New Roman"/>
                      <w:color w:val="auto"/>
                      <w:szCs w:val="21"/>
                      <w:highlight w:val="none"/>
                    </w:rPr>
                    <w:t>注：</w:t>
                  </w:r>
                  <w:r>
                    <w:rPr>
                      <w:rFonts w:ascii="Times New Roman"/>
                      <w:color w:val="auto"/>
                      <w:szCs w:val="21"/>
                      <w:highlight w:val="none"/>
                    </w:rPr>
                    <w:t>括号外数值为水温&gt;12℃时的控制指标，括号内数值为水温≤12℃时的控制指标。</w:t>
                  </w:r>
                </w:p>
              </w:tc>
            </w:tr>
          </w:tbl>
          <w:p w14:paraId="51E30838">
            <w:pPr>
              <w:widowControl/>
              <w:spacing w:line="460" w:lineRule="exact"/>
              <w:rPr>
                <w:b/>
                <w:bCs/>
                <w:color w:val="auto"/>
                <w:kern w:val="0"/>
                <w:sz w:val="24"/>
                <w:highlight w:val="none"/>
              </w:rPr>
            </w:pPr>
            <w:r>
              <w:rPr>
                <w:b/>
                <w:bCs/>
                <w:color w:val="auto"/>
                <w:kern w:val="0"/>
                <w:sz w:val="24"/>
                <w:highlight w:val="none"/>
              </w:rPr>
              <w:t>3.3.3噪声排放标准</w:t>
            </w:r>
          </w:p>
          <w:p w14:paraId="1E3350A2">
            <w:pPr>
              <w:widowControl/>
              <w:spacing w:line="460" w:lineRule="exact"/>
              <w:ind w:firstLine="480" w:firstLineChars="200"/>
              <w:rPr>
                <w:color w:val="auto"/>
                <w:kern w:val="0"/>
                <w:sz w:val="24"/>
                <w:highlight w:val="none"/>
              </w:rPr>
            </w:pPr>
            <w:r>
              <w:rPr>
                <w:color w:val="auto"/>
                <w:kern w:val="0"/>
                <w:sz w:val="24"/>
                <w:highlight w:val="none"/>
              </w:rPr>
              <w:t>本项目位于重庆市合川区龙市镇龙马大道7号，根据《重庆市合川区人民政府办公室关于印发合川区声环境功能区划分调整方案的通知》（合川府办发〔20</w:t>
            </w:r>
            <w:r>
              <w:rPr>
                <w:rFonts w:hint="eastAsia"/>
                <w:color w:val="auto"/>
                <w:kern w:val="0"/>
                <w:sz w:val="24"/>
                <w:highlight w:val="none"/>
              </w:rPr>
              <w:t>23</w:t>
            </w:r>
            <w:r>
              <w:rPr>
                <w:color w:val="auto"/>
                <w:kern w:val="0"/>
                <w:sz w:val="24"/>
                <w:highlight w:val="none"/>
              </w:rPr>
              <w:t>〕56号），本项目厂界执行《工业企业厂界环境噪声排放标准》（GB 12348-2008）中的3类区</w:t>
            </w:r>
            <w:r>
              <w:rPr>
                <w:rFonts w:hint="eastAsia"/>
                <w:color w:val="auto"/>
                <w:kern w:val="0"/>
                <w:sz w:val="24"/>
                <w:highlight w:val="none"/>
              </w:rPr>
              <w:t>标准</w:t>
            </w:r>
            <w:r>
              <w:rPr>
                <w:color w:val="auto"/>
                <w:kern w:val="0"/>
                <w:sz w:val="24"/>
                <w:highlight w:val="none"/>
              </w:rPr>
              <w:t>，标准限值见表3.3-</w:t>
            </w:r>
            <w:r>
              <w:rPr>
                <w:rFonts w:hint="eastAsia"/>
                <w:color w:val="auto"/>
                <w:kern w:val="0"/>
                <w:sz w:val="24"/>
                <w:highlight w:val="none"/>
              </w:rPr>
              <w:t>4。</w:t>
            </w:r>
          </w:p>
          <w:p w14:paraId="78916A89">
            <w:pPr>
              <w:widowControl/>
              <w:spacing w:line="460" w:lineRule="exact"/>
              <w:jc w:val="center"/>
              <w:rPr>
                <w:rFonts w:ascii="宋体" w:hAnsi="宋体" w:cs="宋体"/>
                <w:color w:val="auto"/>
                <w:kern w:val="0"/>
                <w:sz w:val="24"/>
                <w:highlight w:val="none"/>
              </w:rPr>
            </w:pPr>
            <w:r>
              <w:rPr>
                <w:rFonts w:hint="eastAsia" w:ascii="宋体" w:hAnsi="宋体" w:cs="宋体"/>
                <w:b/>
                <w:bCs/>
                <w:color w:val="auto"/>
                <w:kern w:val="0"/>
                <w:sz w:val="24"/>
                <w:highlight w:val="none"/>
              </w:rPr>
              <w:t xml:space="preserve">       表</w:t>
            </w:r>
            <w:r>
              <w:rPr>
                <w:b/>
                <w:bCs/>
                <w:color w:val="auto"/>
                <w:kern w:val="0"/>
                <w:sz w:val="24"/>
                <w:highlight w:val="none"/>
              </w:rPr>
              <w:t>3.3-</w:t>
            </w:r>
            <w:r>
              <w:rPr>
                <w:rFonts w:hint="eastAsia"/>
                <w:b/>
                <w:bCs/>
                <w:color w:val="auto"/>
                <w:kern w:val="0"/>
                <w:sz w:val="24"/>
                <w:highlight w:val="none"/>
              </w:rPr>
              <w:t>4</w:t>
            </w:r>
            <w:r>
              <w:rPr>
                <w:b/>
                <w:bCs/>
                <w:color w:val="auto"/>
                <w:kern w:val="0"/>
                <w:sz w:val="24"/>
                <w:highlight w:val="none"/>
              </w:rPr>
              <w:t xml:space="preserve"> </w:t>
            </w:r>
            <w:r>
              <w:rPr>
                <w:rFonts w:hint="eastAsia" w:ascii="宋体" w:hAnsi="宋体" w:cs="宋体"/>
                <w:b/>
                <w:bCs/>
                <w:color w:val="auto"/>
                <w:kern w:val="0"/>
                <w:sz w:val="24"/>
                <w:highlight w:val="none"/>
              </w:rPr>
              <w:t xml:space="preserve">工业企业厂界环境噪声排放标准    </w:t>
            </w:r>
            <w:r>
              <w:rPr>
                <w:rFonts w:hint="eastAsia" w:ascii="宋体" w:hAnsi="宋体" w:cs="宋体"/>
                <w:color w:val="auto"/>
                <w:kern w:val="0"/>
                <w:sz w:val="24"/>
                <w:highlight w:val="none"/>
              </w:rPr>
              <w:t>单位</w:t>
            </w:r>
            <w:r>
              <w:rPr>
                <w:color w:val="auto"/>
                <w:kern w:val="0"/>
                <w:sz w:val="24"/>
                <w:highlight w:val="none"/>
              </w:rPr>
              <w:t>：dB（A）</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0"/>
              <w:gridCol w:w="2834"/>
              <w:gridCol w:w="2884"/>
            </w:tblGrid>
            <w:tr w14:paraId="4BAB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579" w:type="pct"/>
                  <w:vMerge w:val="restart"/>
                  <w:vAlign w:val="center"/>
                </w:tcPr>
                <w:p w14:paraId="33A51296">
                  <w:pPr>
                    <w:widowControl/>
                    <w:spacing w:line="300" w:lineRule="exact"/>
                    <w:jc w:val="center"/>
                    <w:rPr>
                      <w:color w:val="auto"/>
                      <w:kern w:val="0"/>
                      <w:szCs w:val="21"/>
                      <w:highlight w:val="none"/>
                    </w:rPr>
                  </w:pPr>
                  <w:r>
                    <w:rPr>
                      <w:rFonts w:hint="eastAsia" w:ascii="宋体" w:hAnsi="宋体" w:cs="宋体"/>
                      <w:color w:val="auto"/>
                      <w:kern w:val="0"/>
                      <w:szCs w:val="21"/>
                      <w:highlight w:val="none"/>
                      <w:lang w:bidi="ar"/>
                    </w:rPr>
                    <w:t>厂界外声环境功能区类别</w:t>
                  </w:r>
                </w:p>
              </w:tc>
              <w:tc>
                <w:tcPr>
                  <w:tcW w:w="3420" w:type="pct"/>
                  <w:gridSpan w:val="2"/>
                  <w:vAlign w:val="center"/>
                </w:tcPr>
                <w:p w14:paraId="7285AB88">
                  <w:pPr>
                    <w:widowControl/>
                    <w:spacing w:line="300" w:lineRule="exact"/>
                    <w:jc w:val="center"/>
                    <w:rPr>
                      <w:color w:val="auto"/>
                      <w:kern w:val="0"/>
                      <w:szCs w:val="21"/>
                      <w:highlight w:val="none"/>
                    </w:rPr>
                  </w:pPr>
                  <w:r>
                    <w:rPr>
                      <w:color w:val="auto"/>
                      <w:kern w:val="0"/>
                      <w:szCs w:val="21"/>
                      <w:highlight w:val="none"/>
                    </w:rPr>
                    <w:t>时段</w:t>
                  </w:r>
                </w:p>
              </w:tc>
            </w:tr>
            <w:tr w14:paraId="3C6F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pct"/>
                  <w:vMerge w:val="continue"/>
                  <w:vAlign w:val="center"/>
                </w:tcPr>
                <w:p w14:paraId="79766CA4">
                  <w:pPr>
                    <w:widowControl/>
                    <w:spacing w:line="300" w:lineRule="exact"/>
                    <w:jc w:val="center"/>
                    <w:rPr>
                      <w:color w:val="auto"/>
                      <w:kern w:val="0"/>
                      <w:szCs w:val="21"/>
                      <w:highlight w:val="none"/>
                    </w:rPr>
                  </w:pPr>
                </w:p>
              </w:tc>
              <w:tc>
                <w:tcPr>
                  <w:tcW w:w="1695" w:type="pct"/>
                  <w:vAlign w:val="center"/>
                </w:tcPr>
                <w:p w14:paraId="6F7AE92F">
                  <w:pPr>
                    <w:widowControl/>
                    <w:spacing w:line="300" w:lineRule="exact"/>
                    <w:jc w:val="center"/>
                    <w:rPr>
                      <w:color w:val="auto"/>
                      <w:kern w:val="0"/>
                      <w:szCs w:val="21"/>
                      <w:highlight w:val="none"/>
                    </w:rPr>
                  </w:pPr>
                  <w:r>
                    <w:rPr>
                      <w:color w:val="auto"/>
                      <w:kern w:val="0"/>
                      <w:szCs w:val="21"/>
                      <w:highlight w:val="none"/>
                    </w:rPr>
                    <w:t>昼间</w:t>
                  </w:r>
                </w:p>
              </w:tc>
              <w:tc>
                <w:tcPr>
                  <w:tcW w:w="1724" w:type="pct"/>
                  <w:vAlign w:val="center"/>
                </w:tcPr>
                <w:p w14:paraId="71B9782E">
                  <w:pPr>
                    <w:widowControl/>
                    <w:spacing w:line="300" w:lineRule="exact"/>
                    <w:jc w:val="center"/>
                    <w:rPr>
                      <w:color w:val="auto"/>
                      <w:kern w:val="0"/>
                      <w:szCs w:val="21"/>
                      <w:highlight w:val="none"/>
                    </w:rPr>
                  </w:pPr>
                  <w:r>
                    <w:rPr>
                      <w:color w:val="auto"/>
                      <w:kern w:val="0"/>
                      <w:szCs w:val="21"/>
                      <w:highlight w:val="none"/>
                    </w:rPr>
                    <w:t>夜间</w:t>
                  </w:r>
                </w:p>
              </w:tc>
            </w:tr>
            <w:tr w14:paraId="5D1B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pct"/>
                  <w:vAlign w:val="center"/>
                </w:tcPr>
                <w:p w14:paraId="6E6496D5">
                  <w:pPr>
                    <w:widowControl/>
                    <w:spacing w:line="300" w:lineRule="exact"/>
                    <w:jc w:val="center"/>
                    <w:rPr>
                      <w:color w:val="auto"/>
                      <w:kern w:val="0"/>
                      <w:szCs w:val="21"/>
                      <w:highlight w:val="none"/>
                    </w:rPr>
                  </w:pPr>
                  <w:r>
                    <w:rPr>
                      <w:color w:val="auto"/>
                      <w:kern w:val="0"/>
                      <w:szCs w:val="21"/>
                      <w:highlight w:val="none"/>
                    </w:rPr>
                    <w:t>3类</w:t>
                  </w:r>
                </w:p>
              </w:tc>
              <w:tc>
                <w:tcPr>
                  <w:tcW w:w="1695" w:type="pct"/>
                  <w:vAlign w:val="center"/>
                </w:tcPr>
                <w:p w14:paraId="4D15E918">
                  <w:pPr>
                    <w:widowControl/>
                    <w:spacing w:line="300" w:lineRule="exact"/>
                    <w:jc w:val="center"/>
                    <w:rPr>
                      <w:color w:val="auto"/>
                      <w:kern w:val="0"/>
                      <w:szCs w:val="21"/>
                      <w:highlight w:val="none"/>
                    </w:rPr>
                  </w:pPr>
                  <w:r>
                    <w:rPr>
                      <w:color w:val="auto"/>
                      <w:kern w:val="0"/>
                      <w:szCs w:val="21"/>
                      <w:highlight w:val="none"/>
                    </w:rPr>
                    <w:t>65</w:t>
                  </w:r>
                </w:p>
              </w:tc>
              <w:tc>
                <w:tcPr>
                  <w:tcW w:w="1724" w:type="pct"/>
                  <w:vAlign w:val="center"/>
                </w:tcPr>
                <w:p w14:paraId="1E95A6BF">
                  <w:pPr>
                    <w:widowControl/>
                    <w:spacing w:line="300" w:lineRule="exact"/>
                    <w:jc w:val="center"/>
                    <w:rPr>
                      <w:color w:val="auto"/>
                      <w:kern w:val="0"/>
                      <w:szCs w:val="21"/>
                      <w:highlight w:val="none"/>
                    </w:rPr>
                  </w:pPr>
                  <w:r>
                    <w:rPr>
                      <w:color w:val="auto"/>
                      <w:kern w:val="0"/>
                      <w:szCs w:val="21"/>
                      <w:highlight w:val="none"/>
                    </w:rPr>
                    <w:t>55</w:t>
                  </w:r>
                </w:p>
              </w:tc>
            </w:tr>
          </w:tbl>
          <w:p w14:paraId="66E05FC6">
            <w:pPr>
              <w:widowControl/>
              <w:rPr>
                <w:b/>
                <w:bCs/>
                <w:color w:val="auto"/>
                <w:kern w:val="0"/>
                <w:sz w:val="24"/>
                <w:highlight w:val="none"/>
              </w:rPr>
            </w:pPr>
          </w:p>
          <w:p w14:paraId="5B22433B">
            <w:pPr>
              <w:widowControl/>
              <w:spacing w:line="460" w:lineRule="exact"/>
              <w:rPr>
                <w:color w:val="auto"/>
                <w:kern w:val="0"/>
                <w:sz w:val="24"/>
                <w:highlight w:val="none"/>
              </w:rPr>
            </w:pPr>
            <w:r>
              <w:rPr>
                <w:b/>
                <w:bCs/>
                <w:color w:val="auto"/>
                <w:kern w:val="0"/>
                <w:sz w:val="24"/>
                <w:highlight w:val="none"/>
              </w:rPr>
              <w:t>3.3.4固体废物</w:t>
            </w:r>
          </w:p>
          <w:p w14:paraId="502EBA6D">
            <w:pPr>
              <w:widowControl/>
              <w:spacing w:line="460" w:lineRule="exact"/>
              <w:ind w:firstLine="480" w:firstLineChars="200"/>
              <w:jc w:val="left"/>
              <w:rPr>
                <w:color w:val="auto"/>
                <w:kern w:val="0"/>
                <w:sz w:val="24"/>
                <w:highlight w:val="none"/>
                <w:lang w:bidi="ar"/>
              </w:rPr>
            </w:pPr>
            <w:r>
              <w:rPr>
                <w:color w:val="auto"/>
                <w:kern w:val="0"/>
                <w:sz w:val="24"/>
                <w:highlight w:val="none"/>
              </w:rPr>
              <w:t>根据《一般工业固体废物贮存和填埋污染控制标准》（GB</w:t>
            </w:r>
            <w:r>
              <w:rPr>
                <w:rFonts w:hint="eastAsia"/>
                <w:color w:val="auto"/>
                <w:kern w:val="0"/>
                <w:sz w:val="24"/>
                <w:highlight w:val="none"/>
              </w:rPr>
              <w:t xml:space="preserve"> </w:t>
            </w:r>
            <w:r>
              <w:rPr>
                <w:color w:val="auto"/>
                <w:kern w:val="0"/>
                <w:sz w:val="24"/>
                <w:highlight w:val="none"/>
              </w:rPr>
              <w:t>18599</w:t>
            </w:r>
            <w:r>
              <w:rPr>
                <w:rFonts w:hint="eastAsia" w:ascii="宋体" w:hAnsi="宋体" w:cs="宋体"/>
                <w:color w:val="auto"/>
                <w:kern w:val="0"/>
                <w:sz w:val="24"/>
                <w:highlight w:val="none"/>
              </w:rPr>
              <w:t>-</w:t>
            </w:r>
            <w:r>
              <w:rPr>
                <w:color w:val="auto"/>
                <w:kern w:val="0"/>
                <w:sz w:val="24"/>
                <w:highlight w:val="none"/>
              </w:rPr>
              <w:t>2020）</w:t>
            </w:r>
            <w:r>
              <w:rPr>
                <w:rFonts w:hint="eastAsia"/>
                <w:color w:val="auto"/>
                <w:kern w:val="0"/>
                <w:sz w:val="24"/>
                <w:highlight w:val="none"/>
              </w:rPr>
              <w:t>，</w:t>
            </w:r>
            <w:r>
              <w:rPr>
                <w:color w:val="auto"/>
                <w:kern w:val="0"/>
                <w:sz w:val="24"/>
                <w:highlight w:val="none"/>
              </w:rPr>
              <w:t>本项目</w:t>
            </w:r>
            <w:r>
              <w:rPr>
                <w:color w:val="auto"/>
                <w:kern w:val="0"/>
                <w:sz w:val="24"/>
                <w:highlight w:val="none"/>
                <w:lang w:bidi="ar"/>
              </w:rPr>
              <w:t>采用库房、包装工具（罐、桶、包装袋等）贮存一般工业固体废物过程的污染控制，不适用</w:t>
            </w:r>
            <w:r>
              <w:rPr>
                <w:rFonts w:hint="eastAsia"/>
                <w:color w:val="auto"/>
                <w:kern w:val="0"/>
                <w:sz w:val="24"/>
                <w:highlight w:val="none"/>
                <w:lang w:bidi="ar"/>
              </w:rPr>
              <w:t>于该</w:t>
            </w:r>
            <w:r>
              <w:rPr>
                <w:color w:val="auto"/>
                <w:kern w:val="0"/>
                <w:sz w:val="24"/>
                <w:highlight w:val="none"/>
                <w:lang w:bidi="ar"/>
              </w:rPr>
              <w:t>标准，</w:t>
            </w:r>
            <w:r>
              <w:rPr>
                <w:rFonts w:hint="eastAsia"/>
                <w:color w:val="auto"/>
                <w:kern w:val="0"/>
                <w:sz w:val="24"/>
                <w:highlight w:val="none"/>
                <w:lang w:bidi="ar"/>
              </w:rPr>
              <w:t>因此本项目产生的一般工业固体废物</w:t>
            </w:r>
            <w:r>
              <w:rPr>
                <w:color w:val="auto"/>
                <w:kern w:val="0"/>
                <w:sz w:val="24"/>
                <w:highlight w:val="none"/>
                <w:lang w:bidi="ar"/>
              </w:rPr>
              <w:t xml:space="preserve">贮存过程应满足相应防渗漏、防雨淋、防扬尘等环境保护要求。 </w:t>
            </w:r>
          </w:p>
          <w:p w14:paraId="4D20E6BC">
            <w:pPr>
              <w:widowControl/>
              <w:spacing w:line="460" w:lineRule="exact"/>
              <w:ind w:firstLine="480" w:firstLineChars="200"/>
              <w:jc w:val="left"/>
              <w:rPr>
                <w:color w:val="auto"/>
                <w:kern w:val="0"/>
                <w:sz w:val="24"/>
                <w:highlight w:val="none"/>
                <w:lang w:bidi="ar"/>
              </w:rPr>
            </w:pPr>
            <w:r>
              <w:rPr>
                <w:rFonts w:hint="eastAsia"/>
                <w:color w:val="auto"/>
                <w:kern w:val="0"/>
                <w:sz w:val="24"/>
                <w:highlight w:val="none"/>
                <w:lang w:bidi="ar"/>
              </w:rPr>
              <w:t>生活垃圾</w:t>
            </w:r>
            <w:r>
              <w:rPr>
                <w:rFonts w:hint="eastAsia" w:ascii="宋体" w:hAnsi="宋体" w:cs="宋体"/>
                <w:color w:val="auto"/>
                <w:kern w:val="0"/>
                <w:sz w:val="24"/>
                <w:highlight w:val="none"/>
                <w:lang w:bidi="ar"/>
              </w:rPr>
              <w:t>经收集后统一交由环卫部门清运。</w:t>
            </w:r>
          </w:p>
        </w:tc>
      </w:tr>
      <w:tr w14:paraId="2A4982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426" w:type="dxa"/>
            <w:tcMar>
              <w:left w:w="28" w:type="dxa"/>
              <w:right w:w="28" w:type="dxa"/>
            </w:tcMar>
            <w:vAlign w:val="center"/>
          </w:tcPr>
          <w:p w14:paraId="2CA03B8C">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总量</w:t>
            </w:r>
          </w:p>
          <w:p w14:paraId="1AE9C36B">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控制</w:t>
            </w:r>
          </w:p>
          <w:p w14:paraId="2A114D8C">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587" w:type="dxa"/>
          </w:tcPr>
          <w:p w14:paraId="0F4F8B2F">
            <w:pPr>
              <w:adjustRightInd w:val="0"/>
              <w:snapToGrid w:val="0"/>
              <w:spacing w:line="460" w:lineRule="exact"/>
              <w:rPr>
                <w:b/>
                <w:bCs/>
                <w:color w:val="auto"/>
                <w:kern w:val="0"/>
                <w:sz w:val="24"/>
                <w:highlight w:val="none"/>
              </w:rPr>
            </w:pPr>
            <w:r>
              <w:rPr>
                <w:b/>
                <w:bCs/>
                <w:color w:val="auto"/>
                <w:kern w:val="0"/>
                <w:sz w:val="24"/>
                <w:highlight w:val="none"/>
              </w:rPr>
              <w:t>3.4总量控制指标</w:t>
            </w:r>
          </w:p>
          <w:p w14:paraId="54BEF5C0">
            <w:pPr>
              <w:adjustRightInd w:val="0"/>
              <w:snapToGrid w:val="0"/>
              <w:spacing w:line="460" w:lineRule="exact"/>
              <w:ind w:firstLine="480" w:firstLineChars="200"/>
              <w:rPr>
                <w:color w:val="auto"/>
                <w:sz w:val="24"/>
                <w:highlight w:val="none"/>
              </w:rPr>
            </w:pPr>
            <w:r>
              <w:rPr>
                <w:color w:val="auto"/>
                <w:kern w:val="0"/>
                <w:sz w:val="24"/>
                <w:highlight w:val="none"/>
              </w:rPr>
              <w:t>本项目</w:t>
            </w:r>
            <w:r>
              <w:rPr>
                <w:rFonts w:hint="eastAsia"/>
                <w:color w:val="auto"/>
                <w:sz w:val="24"/>
                <w:highlight w:val="none"/>
              </w:rPr>
              <w:t>废水污染物排放总量</w:t>
            </w:r>
            <w:r>
              <w:rPr>
                <w:color w:val="auto"/>
                <w:sz w:val="24"/>
                <w:highlight w:val="none"/>
              </w:rPr>
              <w:t>指标</w:t>
            </w:r>
            <w:r>
              <w:rPr>
                <w:rFonts w:hint="eastAsia"/>
                <w:color w:val="auto"/>
                <w:sz w:val="24"/>
                <w:highlight w:val="none"/>
              </w:rPr>
              <w:t>见表3.4-1。</w:t>
            </w:r>
          </w:p>
          <w:p w14:paraId="13FEC38E">
            <w:pPr>
              <w:spacing w:line="460" w:lineRule="exact"/>
              <w:ind w:firstLine="482" w:firstLineChars="200"/>
              <w:jc w:val="center"/>
              <w:rPr>
                <w:b/>
                <w:bCs/>
                <w:color w:val="auto"/>
                <w:sz w:val="24"/>
                <w:highlight w:val="none"/>
              </w:rPr>
            </w:pPr>
            <w:r>
              <w:rPr>
                <w:rFonts w:hint="eastAsia"/>
                <w:b/>
                <w:bCs/>
                <w:color w:val="auto"/>
                <w:sz w:val="24"/>
                <w:highlight w:val="none"/>
              </w:rPr>
              <w:t>表3.4-1 项目废水污染物排放量统计表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2989"/>
              <w:gridCol w:w="1155"/>
              <w:gridCol w:w="1091"/>
              <w:gridCol w:w="1239"/>
            </w:tblGrid>
            <w:tr w14:paraId="17F3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dxa"/>
                  <w:vMerge w:val="restart"/>
                  <w:vAlign w:val="center"/>
                </w:tcPr>
                <w:p w14:paraId="3D9D6656">
                  <w:pPr>
                    <w:adjustRightInd w:val="0"/>
                    <w:snapToGrid w:val="0"/>
                    <w:spacing w:line="300" w:lineRule="exact"/>
                    <w:jc w:val="center"/>
                    <w:rPr>
                      <w:color w:val="auto"/>
                      <w:szCs w:val="21"/>
                      <w:highlight w:val="none"/>
                    </w:rPr>
                  </w:pPr>
                  <w:r>
                    <w:rPr>
                      <w:rFonts w:hint="eastAsia"/>
                      <w:color w:val="auto"/>
                      <w:szCs w:val="21"/>
                      <w:highlight w:val="none"/>
                    </w:rPr>
                    <w:t>项目</w:t>
                  </w:r>
                </w:p>
              </w:tc>
              <w:tc>
                <w:tcPr>
                  <w:tcW w:w="2989" w:type="dxa"/>
                  <w:vMerge w:val="restart"/>
                  <w:vAlign w:val="center"/>
                </w:tcPr>
                <w:p w14:paraId="70EBEBB6">
                  <w:pPr>
                    <w:adjustRightInd w:val="0"/>
                    <w:snapToGrid w:val="0"/>
                    <w:spacing w:line="300" w:lineRule="exact"/>
                    <w:jc w:val="center"/>
                    <w:rPr>
                      <w:color w:val="auto"/>
                      <w:szCs w:val="21"/>
                      <w:highlight w:val="none"/>
                    </w:rPr>
                  </w:pPr>
                  <w:r>
                    <w:rPr>
                      <w:rFonts w:hint="eastAsia"/>
                      <w:color w:val="auto"/>
                      <w:szCs w:val="21"/>
                      <w:highlight w:val="none"/>
                    </w:rPr>
                    <w:t>标准</w:t>
                  </w:r>
                </w:p>
              </w:tc>
              <w:tc>
                <w:tcPr>
                  <w:tcW w:w="1155" w:type="dxa"/>
                  <w:vMerge w:val="restart"/>
                  <w:vAlign w:val="center"/>
                </w:tcPr>
                <w:p w14:paraId="5599D011">
                  <w:pPr>
                    <w:adjustRightInd w:val="0"/>
                    <w:snapToGrid w:val="0"/>
                    <w:spacing w:line="300" w:lineRule="exact"/>
                    <w:jc w:val="center"/>
                    <w:rPr>
                      <w:color w:val="auto"/>
                      <w:szCs w:val="21"/>
                      <w:highlight w:val="none"/>
                    </w:rPr>
                  </w:pPr>
                  <w:r>
                    <w:rPr>
                      <w:rFonts w:hint="eastAsia"/>
                      <w:color w:val="auto"/>
                      <w:szCs w:val="21"/>
                      <w:highlight w:val="none"/>
                    </w:rPr>
                    <w:t>污染物</w:t>
                  </w:r>
                </w:p>
              </w:tc>
              <w:tc>
                <w:tcPr>
                  <w:tcW w:w="2330" w:type="dxa"/>
                  <w:gridSpan w:val="2"/>
                  <w:vAlign w:val="center"/>
                </w:tcPr>
                <w:p w14:paraId="3A94FC31">
                  <w:pPr>
                    <w:adjustRightInd w:val="0"/>
                    <w:snapToGrid w:val="0"/>
                    <w:spacing w:line="300" w:lineRule="exact"/>
                    <w:jc w:val="center"/>
                    <w:rPr>
                      <w:color w:val="auto"/>
                      <w:szCs w:val="21"/>
                      <w:highlight w:val="none"/>
                    </w:rPr>
                  </w:pPr>
                  <w:r>
                    <w:rPr>
                      <w:rFonts w:hint="eastAsia"/>
                      <w:color w:val="auto"/>
                      <w:szCs w:val="21"/>
                      <w:highlight w:val="none"/>
                    </w:rPr>
                    <w:t>排入外环境</w:t>
                  </w:r>
                </w:p>
              </w:tc>
            </w:tr>
            <w:tr w14:paraId="7CC6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dxa"/>
                  <w:vMerge w:val="continue"/>
                  <w:vAlign w:val="center"/>
                </w:tcPr>
                <w:p w14:paraId="31B3198E">
                  <w:pPr>
                    <w:adjustRightInd w:val="0"/>
                    <w:snapToGrid w:val="0"/>
                    <w:spacing w:line="300" w:lineRule="exact"/>
                    <w:jc w:val="center"/>
                    <w:rPr>
                      <w:color w:val="auto"/>
                      <w:szCs w:val="21"/>
                      <w:highlight w:val="none"/>
                    </w:rPr>
                  </w:pPr>
                </w:p>
              </w:tc>
              <w:tc>
                <w:tcPr>
                  <w:tcW w:w="2989" w:type="dxa"/>
                  <w:vMerge w:val="continue"/>
                  <w:vAlign w:val="center"/>
                </w:tcPr>
                <w:p w14:paraId="29483C68">
                  <w:pPr>
                    <w:adjustRightInd w:val="0"/>
                    <w:snapToGrid w:val="0"/>
                    <w:spacing w:line="300" w:lineRule="exact"/>
                    <w:jc w:val="center"/>
                    <w:rPr>
                      <w:color w:val="auto"/>
                      <w:szCs w:val="21"/>
                      <w:highlight w:val="none"/>
                    </w:rPr>
                  </w:pPr>
                </w:p>
              </w:tc>
              <w:tc>
                <w:tcPr>
                  <w:tcW w:w="1155" w:type="dxa"/>
                  <w:vMerge w:val="continue"/>
                  <w:vAlign w:val="center"/>
                </w:tcPr>
                <w:p w14:paraId="4ACF98C5">
                  <w:pPr>
                    <w:adjustRightInd w:val="0"/>
                    <w:snapToGrid w:val="0"/>
                    <w:spacing w:line="300" w:lineRule="exact"/>
                    <w:jc w:val="center"/>
                    <w:rPr>
                      <w:color w:val="auto"/>
                      <w:szCs w:val="21"/>
                      <w:highlight w:val="none"/>
                    </w:rPr>
                  </w:pPr>
                </w:p>
              </w:tc>
              <w:tc>
                <w:tcPr>
                  <w:tcW w:w="1091" w:type="dxa"/>
                  <w:vAlign w:val="center"/>
                </w:tcPr>
                <w:p w14:paraId="2D66FCD8">
                  <w:pPr>
                    <w:adjustRightInd w:val="0"/>
                    <w:snapToGrid w:val="0"/>
                    <w:spacing w:line="300" w:lineRule="exact"/>
                    <w:jc w:val="center"/>
                    <w:rPr>
                      <w:color w:val="auto"/>
                      <w:szCs w:val="21"/>
                      <w:highlight w:val="none"/>
                    </w:rPr>
                  </w:pPr>
                  <w:r>
                    <w:rPr>
                      <w:rFonts w:hint="eastAsia"/>
                      <w:color w:val="auto"/>
                      <w:szCs w:val="21"/>
                      <w:highlight w:val="none"/>
                    </w:rPr>
                    <w:t>标准限值</w:t>
                  </w:r>
                </w:p>
                <w:p w14:paraId="29F06B70">
                  <w:pPr>
                    <w:adjustRightInd w:val="0"/>
                    <w:snapToGrid w:val="0"/>
                    <w:spacing w:line="300" w:lineRule="exact"/>
                    <w:jc w:val="center"/>
                    <w:rPr>
                      <w:color w:val="auto"/>
                      <w:szCs w:val="21"/>
                      <w:highlight w:val="none"/>
                    </w:rPr>
                  </w:pPr>
                  <w:r>
                    <w:rPr>
                      <w:rFonts w:hint="eastAsia"/>
                      <w:color w:val="auto"/>
                      <w:szCs w:val="21"/>
                      <w:highlight w:val="none"/>
                    </w:rPr>
                    <w:t>（mg/L）</w:t>
                  </w:r>
                </w:p>
              </w:tc>
              <w:tc>
                <w:tcPr>
                  <w:tcW w:w="1239" w:type="dxa"/>
                  <w:vAlign w:val="center"/>
                </w:tcPr>
                <w:p w14:paraId="3694EB76">
                  <w:pPr>
                    <w:adjustRightInd w:val="0"/>
                    <w:snapToGrid w:val="0"/>
                    <w:spacing w:line="300" w:lineRule="exact"/>
                    <w:jc w:val="center"/>
                    <w:rPr>
                      <w:color w:val="auto"/>
                      <w:szCs w:val="21"/>
                      <w:highlight w:val="none"/>
                    </w:rPr>
                  </w:pPr>
                  <w:r>
                    <w:rPr>
                      <w:rFonts w:hint="eastAsia"/>
                      <w:color w:val="auto"/>
                      <w:szCs w:val="21"/>
                      <w:highlight w:val="none"/>
                    </w:rPr>
                    <w:t>总量指标（t/a）</w:t>
                  </w:r>
                </w:p>
              </w:tc>
            </w:tr>
            <w:tr w14:paraId="6CE0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887" w:type="dxa"/>
                  <w:vMerge w:val="restart"/>
                  <w:vAlign w:val="center"/>
                </w:tcPr>
                <w:p w14:paraId="03F14947">
                  <w:pPr>
                    <w:adjustRightInd w:val="0"/>
                    <w:snapToGrid w:val="0"/>
                    <w:spacing w:line="300" w:lineRule="exact"/>
                    <w:jc w:val="center"/>
                    <w:rPr>
                      <w:color w:val="auto"/>
                      <w:szCs w:val="21"/>
                      <w:highlight w:val="none"/>
                    </w:rPr>
                  </w:pPr>
                  <w:r>
                    <w:rPr>
                      <w:rFonts w:hint="eastAsia"/>
                      <w:color w:val="auto"/>
                      <w:szCs w:val="21"/>
                      <w:highlight w:val="none"/>
                    </w:rPr>
                    <w:t>废水量</w:t>
                  </w:r>
                </w:p>
                <w:p w14:paraId="12838784">
                  <w:pPr>
                    <w:adjustRightInd w:val="0"/>
                    <w:snapToGrid w:val="0"/>
                    <w:spacing w:line="300" w:lineRule="exact"/>
                    <w:jc w:val="center"/>
                    <w:rPr>
                      <w:color w:val="auto"/>
                      <w:szCs w:val="21"/>
                      <w:highlight w:val="none"/>
                    </w:rPr>
                  </w:pPr>
                  <w:r>
                    <w:rPr>
                      <w:rFonts w:hint="eastAsia"/>
                      <w:color w:val="auto"/>
                      <w:szCs w:val="21"/>
                      <w:highlight w:val="none"/>
                    </w:rPr>
                    <w:t>（</w:t>
                  </w:r>
                  <w:r>
                    <w:rPr>
                      <w:rFonts w:hint="eastAsia"/>
                      <w:bCs/>
                      <w:color w:val="auto"/>
                      <w:sz w:val="22"/>
                      <w:szCs w:val="22"/>
                      <w:highlight w:val="none"/>
                    </w:rPr>
                    <w:t>1476.377</w:t>
                  </w:r>
                  <w:r>
                    <w:rPr>
                      <w:rFonts w:hint="eastAsia"/>
                      <w:bCs/>
                      <w:color w:val="auto"/>
                      <w:sz w:val="24"/>
                      <w:highlight w:val="none"/>
                    </w:rPr>
                    <w:t xml:space="preserve"> </w:t>
                  </w: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rPr>
                    <w:t>/a）</w:t>
                  </w:r>
                </w:p>
              </w:tc>
              <w:tc>
                <w:tcPr>
                  <w:tcW w:w="2989" w:type="dxa"/>
                  <w:vMerge w:val="restart"/>
                  <w:vAlign w:val="center"/>
                </w:tcPr>
                <w:p w14:paraId="21683C3C">
                  <w:pPr>
                    <w:adjustRightInd w:val="0"/>
                    <w:snapToGrid w:val="0"/>
                    <w:spacing w:line="300" w:lineRule="exact"/>
                    <w:jc w:val="center"/>
                    <w:rPr>
                      <w:color w:val="auto"/>
                      <w:szCs w:val="21"/>
                      <w:highlight w:val="none"/>
                    </w:rPr>
                  </w:pPr>
                  <w:r>
                    <w:rPr>
                      <w:rFonts w:hint="eastAsia"/>
                      <w:color w:val="auto"/>
                      <w:szCs w:val="21"/>
                      <w:highlight w:val="none"/>
                    </w:rPr>
                    <w:t>《城镇污水处理厂污染物排放标准》（GB18918－2002）一级A标准</w:t>
                  </w:r>
                </w:p>
              </w:tc>
              <w:tc>
                <w:tcPr>
                  <w:tcW w:w="1155" w:type="dxa"/>
                  <w:vAlign w:val="center"/>
                </w:tcPr>
                <w:p w14:paraId="01A3BDB9">
                  <w:pPr>
                    <w:widowControl/>
                    <w:spacing w:line="300" w:lineRule="exact"/>
                    <w:jc w:val="center"/>
                    <w:rPr>
                      <w:color w:val="auto"/>
                      <w:szCs w:val="21"/>
                      <w:highlight w:val="none"/>
                    </w:rPr>
                  </w:pPr>
                  <w:r>
                    <w:rPr>
                      <w:rFonts w:hint="eastAsia"/>
                      <w:color w:val="auto"/>
                      <w:szCs w:val="21"/>
                      <w:highlight w:val="none"/>
                    </w:rPr>
                    <w:t>pH无量纲</w:t>
                  </w:r>
                </w:p>
              </w:tc>
              <w:tc>
                <w:tcPr>
                  <w:tcW w:w="1091" w:type="dxa"/>
                  <w:vAlign w:val="center"/>
                </w:tcPr>
                <w:p w14:paraId="620A082B">
                  <w:pPr>
                    <w:widowControl/>
                    <w:spacing w:line="300" w:lineRule="exact"/>
                    <w:jc w:val="center"/>
                    <w:rPr>
                      <w:color w:val="auto"/>
                      <w:szCs w:val="21"/>
                      <w:highlight w:val="none"/>
                    </w:rPr>
                  </w:pPr>
                  <w:r>
                    <w:rPr>
                      <w:rFonts w:hint="eastAsia"/>
                      <w:color w:val="auto"/>
                      <w:szCs w:val="21"/>
                      <w:highlight w:val="none"/>
                    </w:rPr>
                    <w:t>6~9</w:t>
                  </w:r>
                </w:p>
              </w:tc>
              <w:tc>
                <w:tcPr>
                  <w:tcW w:w="1239" w:type="dxa"/>
                  <w:vAlign w:val="center"/>
                </w:tcPr>
                <w:p w14:paraId="58B86E97">
                  <w:pPr>
                    <w:widowControl/>
                    <w:spacing w:line="300" w:lineRule="exact"/>
                    <w:jc w:val="center"/>
                    <w:rPr>
                      <w:color w:val="auto"/>
                      <w:szCs w:val="21"/>
                      <w:highlight w:val="none"/>
                    </w:rPr>
                  </w:pPr>
                  <w:r>
                    <w:rPr>
                      <w:rFonts w:hint="eastAsia"/>
                      <w:color w:val="auto"/>
                      <w:szCs w:val="21"/>
                      <w:highlight w:val="none"/>
                    </w:rPr>
                    <w:t>/</w:t>
                  </w:r>
                </w:p>
              </w:tc>
            </w:tr>
            <w:tr w14:paraId="089C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887" w:type="dxa"/>
                  <w:vMerge w:val="continue"/>
                  <w:vAlign w:val="center"/>
                </w:tcPr>
                <w:p w14:paraId="65D862B7">
                  <w:pPr>
                    <w:adjustRightInd w:val="0"/>
                    <w:snapToGrid w:val="0"/>
                    <w:spacing w:line="300" w:lineRule="exact"/>
                    <w:jc w:val="center"/>
                    <w:rPr>
                      <w:color w:val="auto"/>
                      <w:szCs w:val="21"/>
                      <w:highlight w:val="none"/>
                    </w:rPr>
                  </w:pPr>
                </w:p>
              </w:tc>
              <w:tc>
                <w:tcPr>
                  <w:tcW w:w="2989" w:type="dxa"/>
                  <w:vMerge w:val="continue"/>
                  <w:vAlign w:val="center"/>
                </w:tcPr>
                <w:p w14:paraId="63041CCA">
                  <w:pPr>
                    <w:adjustRightInd w:val="0"/>
                    <w:snapToGrid w:val="0"/>
                    <w:spacing w:line="300" w:lineRule="exact"/>
                    <w:jc w:val="center"/>
                    <w:rPr>
                      <w:color w:val="auto"/>
                      <w:szCs w:val="21"/>
                      <w:highlight w:val="none"/>
                    </w:rPr>
                  </w:pPr>
                </w:p>
              </w:tc>
              <w:tc>
                <w:tcPr>
                  <w:tcW w:w="1155" w:type="dxa"/>
                  <w:vAlign w:val="center"/>
                </w:tcPr>
                <w:p w14:paraId="52967998">
                  <w:pPr>
                    <w:widowControl/>
                    <w:spacing w:line="300" w:lineRule="exact"/>
                    <w:jc w:val="center"/>
                    <w:rPr>
                      <w:color w:val="auto"/>
                      <w:szCs w:val="21"/>
                      <w:highlight w:val="none"/>
                    </w:rPr>
                  </w:pPr>
                  <w:r>
                    <w:rPr>
                      <w:rFonts w:hint="eastAsia"/>
                      <w:color w:val="auto"/>
                      <w:szCs w:val="21"/>
                      <w:highlight w:val="none"/>
                    </w:rPr>
                    <w:t>COD</w:t>
                  </w:r>
                </w:p>
              </w:tc>
              <w:tc>
                <w:tcPr>
                  <w:tcW w:w="1091" w:type="dxa"/>
                  <w:vAlign w:val="center"/>
                </w:tcPr>
                <w:p w14:paraId="77CCAF90">
                  <w:pPr>
                    <w:widowControl/>
                    <w:jc w:val="center"/>
                    <w:textAlignment w:val="center"/>
                    <w:rPr>
                      <w:color w:val="auto"/>
                      <w:szCs w:val="21"/>
                      <w:highlight w:val="none"/>
                    </w:rPr>
                  </w:pPr>
                  <w:r>
                    <w:rPr>
                      <w:color w:val="auto"/>
                      <w:kern w:val="0"/>
                      <w:szCs w:val="21"/>
                      <w:highlight w:val="none"/>
                      <w:lang w:bidi="ar"/>
                    </w:rPr>
                    <w:t>50</w:t>
                  </w:r>
                </w:p>
              </w:tc>
              <w:tc>
                <w:tcPr>
                  <w:tcW w:w="1239" w:type="dxa"/>
                  <w:vAlign w:val="center"/>
                </w:tcPr>
                <w:p w14:paraId="221A727A">
                  <w:pPr>
                    <w:widowControl/>
                    <w:jc w:val="center"/>
                    <w:textAlignment w:val="center"/>
                    <w:rPr>
                      <w:color w:val="auto"/>
                      <w:szCs w:val="21"/>
                      <w:highlight w:val="none"/>
                    </w:rPr>
                  </w:pPr>
                  <w:r>
                    <w:rPr>
                      <w:color w:val="auto"/>
                      <w:kern w:val="0"/>
                      <w:szCs w:val="21"/>
                      <w:highlight w:val="none"/>
                      <w:lang w:bidi="ar"/>
                    </w:rPr>
                    <w:t xml:space="preserve">0.074 </w:t>
                  </w:r>
                </w:p>
              </w:tc>
            </w:tr>
            <w:tr w14:paraId="1783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887" w:type="dxa"/>
                  <w:vMerge w:val="continue"/>
                  <w:vAlign w:val="center"/>
                </w:tcPr>
                <w:p w14:paraId="518D1539">
                  <w:pPr>
                    <w:adjustRightInd w:val="0"/>
                    <w:snapToGrid w:val="0"/>
                    <w:spacing w:line="300" w:lineRule="exact"/>
                    <w:jc w:val="center"/>
                    <w:rPr>
                      <w:color w:val="auto"/>
                      <w:szCs w:val="21"/>
                      <w:highlight w:val="none"/>
                    </w:rPr>
                  </w:pPr>
                </w:p>
              </w:tc>
              <w:tc>
                <w:tcPr>
                  <w:tcW w:w="2989" w:type="dxa"/>
                  <w:vMerge w:val="continue"/>
                  <w:vAlign w:val="center"/>
                </w:tcPr>
                <w:p w14:paraId="389F2C02">
                  <w:pPr>
                    <w:adjustRightInd w:val="0"/>
                    <w:snapToGrid w:val="0"/>
                    <w:spacing w:line="300" w:lineRule="exact"/>
                    <w:jc w:val="center"/>
                    <w:rPr>
                      <w:color w:val="auto"/>
                      <w:szCs w:val="21"/>
                      <w:highlight w:val="none"/>
                    </w:rPr>
                  </w:pPr>
                </w:p>
              </w:tc>
              <w:tc>
                <w:tcPr>
                  <w:tcW w:w="1155" w:type="dxa"/>
                  <w:vAlign w:val="center"/>
                </w:tcPr>
                <w:p w14:paraId="0B130D11">
                  <w:pPr>
                    <w:widowControl/>
                    <w:spacing w:line="300" w:lineRule="exact"/>
                    <w:jc w:val="center"/>
                    <w:rPr>
                      <w:color w:val="auto"/>
                      <w:szCs w:val="21"/>
                      <w:highlight w:val="none"/>
                    </w:rPr>
                  </w:pPr>
                  <w:r>
                    <w:rPr>
                      <w:rFonts w:hint="eastAsia"/>
                      <w:color w:val="auto"/>
                      <w:szCs w:val="21"/>
                      <w:highlight w:val="none"/>
                    </w:rPr>
                    <w:t>BOD</w:t>
                  </w:r>
                  <w:r>
                    <w:rPr>
                      <w:rFonts w:hint="eastAsia"/>
                      <w:color w:val="auto"/>
                      <w:szCs w:val="21"/>
                      <w:highlight w:val="none"/>
                      <w:vertAlign w:val="subscript"/>
                    </w:rPr>
                    <w:t>5</w:t>
                  </w:r>
                </w:p>
              </w:tc>
              <w:tc>
                <w:tcPr>
                  <w:tcW w:w="1091" w:type="dxa"/>
                  <w:vAlign w:val="center"/>
                </w:tcPr>
                <w:p w14:paraId="6656EA54">
                  <w:pPr>
                    <w:widowControl/>
                    <w:jc w:val="center"/>
                    <w:textAlignment w:val="center"/>
                    <w:rPr>
                      <w:color w:val="auto"/>
                      <w:szCs w:val="21"/>
                      <w:highlight w:val="none"/>
                    </w:rPr>
                  </w:pPr>
                  <w:r>
                    <w:rPr>
                      <w:color w:val="auto"/>
                      <w:kern w:val="0"/>
                      <w:szCs w:val="21"/>
                      <w:highlight w:val="none"/>
                      <w:lang w:bidi="ar"/>
                    </w:rPr>
                    <w:t>10</w:t>
                  </w:r>
                </w:p>
              </w:tc>
              <w:tc>
                <w:tcPr>
                  <w:tcW w:w="1239" w:type="dxa"/>
                  <w:vAlign w:val="center"/>
                </w:tcPr>
                <w:p w14:paraId="691D277B">
                  <w:pPr>
                    <w:widowControl/>
                    <w:jc w:val="center"/>
                    <w:textAlignment w:val="center"/>
                    <w:rPr>
                      <w:color w:val="auto"/>
                      <w:szCs w:val="21"/>
                      <w:highlight w:val="none"/>
                    </w:rPr>
                  </w:pPr>
                  <w:r>
                    <w:rPr>
                      <w:color w:val="auto"/>
                      <w:kern w:val="0"/>
                      <w:szCs w:val="21"/>
                      <w:highlight w:val="none"/>
                      <w:lang w:bidi="ar"/>
                    </w:rPr>
                    <w:t xml:space="preserve">0.015 </w:t>
                  </w:r>
                </w:p>
              </w:tc>
            </w:tr>
            <w:tr w14:paraId="50DD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887" w:type="dxa"/>
                  <w:vMerge w:val="continue"/>
                  <w:vAlign w:val="center"/>
                </w:tcPr>
                <w:p w14:paraId="1CDC54F2">
                  <w:pPr>
                    <w:adjustRightInd w:val="0"/>
                    <w:snapToGrid w:val="0"/>
                    <w:spacing w:line="300" w:lineRule="exact"/>
                    <w:jc w:val="center"/>
                    <w:rPr>
                      <w:color w:val="auto"/>
                      <w:szCs w:val="21"/>
                      <w:highlight w:val="none"/>
                    </w:rPr>
                  </w:pPr>
                </w:p>
              </w:tc>
              <w:tc>
                <w:tcPr>
                  <w:tcW w:w="2989" w:type="dxa"/>
                  <w:vMerge w:val="continue"/>
                  <w:vAlign w:val="center"/>
                </w:tcPr>
                <w:p w14:paraId="0F188A96">
                  <w:pPr>
                    <w:adjustRightInd w:val="0"/>
                    <w:snapToGrid w:val="0"/>
                    <w:spacing w:line="300" w:lineRule="exact"/>
                    <w:jc w:val="center"/>
                    <w:rPr>
                      <w:color w:val="auto"/>
                      <w:szCs w:val="21"/>
                      <w:highlight w:val="none"/>
                    </w:rPr>
                  </w:pPr>
                </w:p>
              </w:tc>
              <w:tc>
                <w:tcPr>
                  <w:tcW w:w="1155" w:type="dxa"/>
                  <w:vAlign w:val="center"/>
                </w:tcPr>
                <w:p w14:paraId="3B11D301">
                  <w:pPr>
                    <w:widowControl/>
                    <w:spacing w:line="300" w:lineRule="exact"/>
                    <w:jc w:val="center"/>
                    <w:rPr>
                      <w:color w:val="auto"/>
                      <w:szCs w:val="21"/>
                      <w:highlight w:val="none"/>
                    </w:rPr>
                  </w:pPr>
                  <w:r>
                    <w:rPr>
                      <w:rFonts w:hint="eastAsia"/>
                      <w:color w:val="auto"/>
                      <w:szCs w:val="21"/>
                      <w:highlight w:val="none"/>
                    </w:rPr>
                    <w:t>SS</w:t>
                  </w:r>
                </w:p>
              </w:tc>
              <w:tc>
                <w:tcPr>
                  <w:tcW w:w="1091" w:type="dxa"/>
                  <w:vAlign w:val="center"/>
                </w:tcPr>
                <w:p w14:paraId="53B74D95">
                  <w:pPr>
                    <w:widowControl/>
                    <w:jc w:val="center"/>
                    <w:textAlignment w:val="center"/>
                    <w:rPr>
                      <w:color w:val="auto"/>
                      <w:szCs w:val="21"/>
                      <w:highlight w:val="none"/>
                    </w:rPr>
                  </w:pPr>
                  <w:r>
                    <w:rPr>
                      <w:color w:val="auto"/>
                      <w:kern w:val="0"/>
                      <w:szCs w:val="21"/>
                      <w:highlight w:val="none"/>
                      <w:lang w:bidi="ar"/>
                    </w:rPr>
                    <w:t>10</w:t>
                  </w:r>
                </w:p>
              </w:tc>
              <w:tc>
                <w:tcPr>
                  <w:tcW w:w="1239" w:type="dxa"/>
                  <w:vAlign w:val="center"/>
                </w:tcPr>
                <w:p w14:paraId="2BA196E7">
                  <w:pPr>
                    <w:widowControl/>
                    <w:jc w:val="center"/>
                    <w:textAlignment w:val="center"/>
                    <w:rPr>
                      <w:color w:val="auto"/>
                      <w:szCs w:val="21"/>
                      <w:highlight w:val="none"/>
                    </w:rPr>
                  </w:pPr>
                  <w:r>
                    <w:rPr>
                      <w:color w:val="auto"/>
                      <w:kern w:val="0"/>
                      <w:szCs w:val="21"/>
                      <w:highlight w:val="none"/>
                      <w:lang w:bidi="ar"/>
                    </w:rPr>
                    <w:t xml:space="preserve">0.015 </w:t>
                  </w:r>
                </w:p>
              </w:tc>
            </w:tr>
            <w:tr w14:paraId="1046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887" w:type="dxa"/>
                  <w:vMerge w:val="continue"/>
                  <w:vAlign w:val="center"/>
                </w:tcPr>
                <w:p w14:paraId="3800B883">
                  <w:pPr>
                    <w:adjustRightInd w:val="0"/>
                    <w:snapToGrid w:val="0"/>
                    <w:spacing w:line="300" w:lineRule="exact"/>
                    <w:jc w:val="center"/>
                    <w:rPr>
                      <w:color w:val="auto"/>
                      <w:szCs w:val="21"/>
                      <w:highlight w:val="none"/>
                    </w:rPr>
                  </w:pPr>
                </w:p>
              </w:tc>
              <w:tc>
                <w:tcPr>
                  <w:tcW w:w="2989" w:type="dxa"/>
                  <w:vMerge w:val="continue"/>
                  <w:vAlign w:val="center"/>
                </w:tcPr>
                <w:p w14:paraId="23EAF1E5">
                  <w:pPr>
                    <w:adjustRightInd w:val="0"/>
                    <w:snapToGrid w:val="0"/>
                    <w:spacing w:line="300" w:lineRule="exact"/>
                    <w:jc w:val="center"/>
                    <w:rPr>
                      <w:color w:val="auto"/>
                      <w:szCs w:val="21"/>
                      <w:highlight w:val="none"/>
                    </w:rPr>
                  </w:pPr>
                </w:p>
              </w:tc>
              <w:tc>
                <w:tcPr>
                  <w:tcW w:w="1155" w:type="dxa"/>
                  <w:vAlign w:val="center"/>
                </w:tcPr>
                <w:p w14:paraId="21FD5DC5">
                  <w:pPr>
                    <w:widowControl/>
                    <w:spacing w:line="300" w:lineRule="exact"/>
                    <w:jc w:val="center"/>
                    <w:rPr>
                      <w:color w:val="auto"/>
                      <w:szCs w:val="21"/>
                      <w:highlight w:val="none"/>
                    </w:rPr>
                  </w:pPr>
                  <w:r>
                    <w:rPr>
                      <w:rFonts w:hint="eastAsia"/>
                      <w:color w:val="auto"/>
                      <w:szCs w:val="21"/>
                      <w:highlight w:val="none"/>
                    </w:rPr>
                    <w:t>氨氮</w:t>
                  </w:r>
                </w:p>
              </w:tc>
              <w:tc>
                <w:tcPr>
                  <w:tcW w:w="1091" w:type="dxa"/>
                  <w:vAlign w:val="center"/>
                </w:tcPr>
                <w:p w14:paraId="11232535">
                  <w:pPr>
                    <w:widowControl/>
                    <w:jc w:val="center"/>
                    <w:textAlignment w:val="center"/>
                    <w:rPr>
                      <w:color w:val="auto"/>
                      <w:szCs w:val="21"/>
                      <w:highlight w:val="none"/>
                    </w:rPr>
                  </w:pPr>
                  <w:r>
                    <w:rPr>
                      <w:color w:val="auto"/>
                      <w:kern w:val="0"/>
                      <w:szCs w:val="21"/>
                      <w:highlight w:val="none"/>
                      <w:lang w:bidi="ar"/>
                    </w:rPr>
                    <w:t>5</w:t>
                  </w:r>
                  <w:r>
                    <w:rPr>
                      <w:rFonts w:hint="eastAsia" w:ascii="宋体" w:hAnsi="宋体" w:cs="宋体"/>
                      <w:color w:val="auto"/>
                      <w:kern w:val="0"/>
                      <w:szCs w:val="21"/>
                      <w:highlight w:val="none"/>
                      <w:lang w:bidi="ar"/>
                    </w:rPr>
                    <w:t>（</w:t>
                  </w:r>
                  <w:r>
                    <w:rPr>
                      <w:color w:val="auto"/>
                      <w:kern w:val="0"/>
                      <w:szCs w:val="21"/>
                      <w:highlight w:val="none"/>
                      <w:lang w:bidi="ar"/>
                    </w:rPr>
                    <w:t>8</w:t>
                  </w:r>
                  <w:r>
                    <w:rPr>
                      <w:rFonts w:hint="eastAsia" w:ascii="宋体" w:hAnsi="宋体" w:cs="宋体"/>
                      <w:color w:val="auto"/>
                      <w:kern w:val="0"/>
                      <w:szCs w:val="21"/>
                      <w:highlight w:val="none"/>
                      <w:lang w:bidi="ar"/>
                    </w:rPr>
                    <w:t>）</w:t>
                  </w:r>
                </w:p>
              </w:tc>
              <w:tc>
                <w:tcPr>
                  <w:tcW w:w="1239" w:type="dxa"/>
                  <w:vAlign w:val="center"/>
                </w:tcPr>
                <w:p w14:paraId="7381D38B">
                  <w:pPr>
                    <w:widowControl/>
                    <w:jc w:val="center"/>
                    <w:textAlignment w:val="center"/>
                    <w:rPr>
                      <w:color w:val="auto"/>
                      <w:szCs w:val="21"/>
                      <w:highlight w:val="none"/>
                    </w:rPr>
                  </w:pPr>
                  <w:r>
                    <w:rPr>
                      <w:color w:val="auto"/>
                      <w:kern w:val="0"/>
                      <w:szCs w:val="21"/>
                      <w:highlight w:val="none"/>
                      <w:lang w:bidi="ar"/>
                    </w:rPr>
                    <w:t xml:space="preserve">0.007 </w:t>
                  </w:r>
                </w:p>
              </w:tc>
            </w:tr>
            <w:tr w14:paraId="1416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887" w:type="dxa"/>
                  <w:vMerge w:val="continue"/>
                  <w:vAlign w:val="center"/>
                </w:tcPr>
                <w:p w14:paraId="0DB67B2A">
                  <w:pPr>
                    <w:adjustRightInd w:val="0"/>
                    <w:snapToGrid w:val="0"/>
                    <w:spacing w:line="300" w:lineRule="exact"/>
                    <w:jc w:val="center"/>
                    <w:rPr>
                      <w:color w:val="auto"/>
                      <w:szCs w:val="21"/>
                      <w:highlight w:val="none"/>
                    </w:rPr>
                  </w:pPr>
                </w:p>
              </w:tc>
              <w:tc>
                <w:tcPr>
                  <w:tcW w:w="2989" w:type="dxa"/>
                  <w:vMerge w:val="continue"/>
                  <w:vAlign w:val="center"/>
                </w:tcPr>
                <w:p w14:paraId="17F2A008">
                  <w:pPr>
                    <w:adjustRightInd w:val="0"/>
                    <w:snapToGrid w:val="0"/>
                    <w:spacing w:line="300" w:lineRule="exact"/>
                    <w:jc w:val="center"/>
                    <w:rPr>
                      <w:color w:val="auto"/>
                      <w:szCs w:val="21"/>
                      <w:highlight w:val="none"/>
                    </w:rPr>
                  </w:pPr>
                </w:p>
              </w:tc>
              <w:tc>
                <w:tcPr>
                  <w:tcW w:w="1155" w:type="dxa"/>
                  <w:vAlign w:val="center"/>
                </w:tcPr>
                <w:p w14:paraId="5C74CE56">
                  <w:pPr>
                    <w:widowControl/>
                    <w:spacing w:line="300" w:lineRule="exact"/>
                    <w:jc w:val="center"/>
                    <w:rPr>
                      <w:color w:val="auto"/>
                      <w:szCs w:val="21"/>
                      <w:highlight w:val="none"/>
                    </w:rPr>
                  </w:pPr>
                  <w:r>
                    <w:rPr>
                      <w:rFonts w:hint="eastAsia"/>
                      <w:color w:val="auto"/>
                      <w:szCs w:val="21"/>
                      <w:highlight w:val="none"/>
                    </w:rPr>
                    <w:t>总氮</w:t>
                  </w:r>
                </w:p>
              </w:tc>
              <w:tc>
                <w:tcPr>
                  <w:tcW w:w="1091" w:type="dxa"/>
                  <w:vAlign w:val="center"/>
                </w:tcPr>
                <w:p w14:paraId="62FC50B9">
                  <w:pPr>
                    <w:widowControl/>
                    <w:jc w:val="center"/>
                    <w:textAlignment w:val="center"/>
                    <w:rPr>
                      <w:color w:val="auto"/>
                      <w:szCs w:val="21"/>
                      <w:highlight w:val="none"/>
                    </w:rPr>
                  </w:pPr>
                  <w:r>
                    <w:rPr>
                      <w:color w:val="auto"/>
                      <w:kern w:val="0"/>
                      <w:szCs w:val="21"/>
                      <w:highlight w:val="none"/>
                      <w:lang w:bidi="ar"/>
                    </w:rPr>
                    <w:t>15</w:t>
                  </w:r>
                </w:p>
              </w:tc>
              <w:tc>
                <w:tcPr>
                  <w:tcW w:w="1239" w:type="dxa"/>
                  <w:vAlign w:val="center"/>
                </w:tcPr>
                <w:p w14:paraId="6B04AD0A">
                  <w:pPr>
                    <w:widowControl/>
                    <w:jc w:val="center"/>
                    <w:textAlignment w:val="center"/>
                    <w:rPr>
                      <w:color w:val="auto"/>
                      <w:szCs w:val="21"/>
                      <w:highlight w:val="none"/>
                    </w:rPr>
                  </w:pPr>
                  <w:r>
                    <w:rPr>
                      <w:color w:val="auto"/>
                      <w:kern w:val="0"/>
                      <w:szCs w:val="21"/>
                      <w:highlight w:val="none"/>
                      <w:lang w:bidi="ar"/>
                    </w:rPr>
                    <w:t xml:space="preserve">0.022 </w:t>
                  </w:r>
                </w:p>
              </w:tc>
            </w:tr>
            <w:tr w14:paraId="58FE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887" w:type="dxa"/>
                  <w:vMerge w:val="continue"/>
                  <w:vAlign w:val="center"/>
                </w:tcPr>
                <w:p w14:paraId="15DA0317">
                  <w:pPr>
                    <w:adjustRightInd w:val="0"/>
                    <w:snapToGrid w:val="0"/>
                    <w:spacing w:line="300" w:lineRule="exact"/>
                    <w:jc w:val="center"/>
                    <w:rPr>
                      <w:color w:val="auto"/>
                      <w:szCs w:val="21"/>
                      <w:highlight w:val="none"/>
                    </w:rPr>
                  </w:pPr>
                </w:p>
              </w:tc>
              <w:tc>
                <w:tcPr>
                  <w:tcW w:w="2989" w:type="dxa"/>
                  <w:vMerge w:val="continue"/>
                  <w:vAlign w:val="center"/>
                </w:tcPr>
                <w:p w14:paraId="3585E5C9">
                  <w:pPr>
                    <w:adjustRightInd w:val="0"/>
                    <w:snapToGrid w:val="0"/>
                    <w:spacing w:line="300" w:lineRule="exact"/>
                    <w:jc w:val="center"/>
                    <w:rPr>
                      <w:color w:val="auto"/>
                      <w:szCs w:val="21"/>
                      <w:highlight w:val="none"/>
                    </w:rPr>
                  </w:pPr>
                </w:p>
              </w:tc>
              <w:tc>
                <w:tcPr>
                  <w:tcW w:w="1155" w:type="dxa"/>
                  <w:vAlign w:val="center"/>
                </w:tcPr>
                <w:p w14:paraId="29DCD8EC">
                  <w:pPr>
                    <w:widowControl/>
                    <w:spacing w:line="300" w:lineRule="exact"/>
                    <w:jc w:val="center"/>
                    <w:rPr>
                      <w:color w:val="auto"/>
                      <w:szCs w:val="21"/>
                      <w:highlight w:val="none"/>
                    </w:rPr>
                  </w:pPr>
                  <w:r>
                    <w:rPr>
                      <w:rFonts w:hint="eastAsia"/>
                      <w:color w:val="auto"/>
                      <w:szCs w:val="21"/>
                      <w:highlight w:val="none"/>
                    </w:rPr>
                    <w:t>总磷</w:t>
                  </w:r>
                </w:p>
              </w:tc>
              <w:tc>
                <w:tcPr>
                  <w:tcW w:w="1091" w:type="dxa"/>
                  <w:vAlign w:val="center"/>
                </w:tcPr>
                <w:p w14:paraId="7A2B88CD">
                  <w:pPr>
                    <w:widowControl/>
                    <w:jc w:val="center"/>
                    <w:textAlignment w:val="center"/>
                    <w:rPr>
                      <w:color w:val="auto"/>
                      <w:szCs w:val="21"/>
                      <w:highlight w:val="none"/>
                    </w:rPr>
                  </w:pPr>
                  <w:r>
                    <w:rPr>
                      <w:color w:val="auto"/>
                      <w:kern w:val="0"/>
                      <w:szCs w:val="21"/>
                      <w:highlight w:val="none"/>
                      <w:lang w:bidi="ar"/>
                    </w:rPr>
                    <w:t>0.5</w:t>
                  </w:r>
                </w:p>
              </w:tc>
              <w:tc>
                <w:tcPr>
                  <w:tcW w:w="1239" w:type="dxa"/>
                  <w:vAlign w:val="center"/>
                </w:tcPr>
                <w:p w14:paraId="1AECCA42">
                  <w:pPr>
                    <w:widowControl/>
                    <w:jc w:val="center"/>
                    <w:textAlignment w:val="center"/>
                    <w:rPr>
                      <w:color w:val="auto"/>
                      <w:szCs w:val="21"/>
                      <w:highlight w:val="none"/>
                    </w:rPr>
                  </w:pPr>
                  <w:r>
                    <w:rPr>
                      <w:color w:val="auto"/>
                      <w:kern w:val="0"/>
                      <w:szCs w:val="21"/>
                      <w:highlight w:val="none"/>
                      <w:lang w:bidi="ar"/>
                    </w:rPr>
                    <w:t xml:space="preserve">0.001 </w:t>
                  </w:r>
                </w:p>
              </w:tc>
            </w:tr>
          </w:tbl>
          <w:p w14:paraId="6120DBC1">
            <w:pPr>
              <w:adjustRightInd w:val="0"/>
              <w:snapToGrid w:val="0"/>
              <w:rPr>
                <w:color w:val="auto"/>
                <w:kern w:val="0"/>
                <w:sz w:val="24"/>
                <w:highlight w:val="none"/>
                <w:lang w:bidi="ar"/>
              </w:rPr>
            </w:pPr>
            <w:r>
              <w:rPr>
                <w:rFonts w:hint="eastAsia"/>
                <w:color w:val="auto"/>
                <w:kern w:val="0"/>
                <w:sz w:val="24"/>
                <w:highlight w:val="none"/>
                <w:lang w:bidi="ar"/>
              </w:rPr>
              <w:t xml:space="preserve">    </w:t>
            </w:r>
          </w:p>
          <w:p w14:paraId="7F5FD9A9">
            <w:pPr>
              <w:pStyle w:val="65"/>
              <w:widowControl w:val="0"/>
              <w:pBdr>
                <w:bottom w:val="none" w:color="auto" w:sz="0" w:space="0"/>
                <w:right w:val="none" w:color="auto" w:sz="0" w:space="0"/>
              </w:pBdr>
              <w:adjustRightInd w:val="0"/>
              <w:snapToGrid w:val="0"/>
              <w:spacing w:before="0" w:beforeAutospacing="0" w:after="0" w:afterAutospacing="0" w:line="360" w:lineRule="auto"/>
              <w:ind w:firstLine="480" w:firstLineChars="200"/>
              <w:rPr>
                <w:rFonts w:ascii="Times New Roman" w:hAnsi="Times New Roman"/>
                <w:color w:val="auto"/>
                <w:kern w:val="2"/>
                <w:highlight w:val="none"/>
              </w:rPr>
            </w:pPr>
            <w:r>
              <w:rPr>
                <w:rFonts w:ascii="Times New Roman" w:hAnsi="Times New Roman"/>
                <w:color w:val="auto"/>
                <w:highlight w:val="none"/>
                <w:lang w:bidi="ar"/>
              </w:rPr>
              <w:t>根据《</w:t>
            </w:r>
            <w:r>
              <w:rPr>
                <w:rFonts w:hint="eastAsia" w:ascii="Times New Roman" w:hAnsi="Times New Roman"/>
                <w:color w:val="auto"/>
                <w:highlight w:val="none"/>
                <w:lang w:bidi="ar"/>
              </w:rPr>
              <w:t>“</w:t>
            </w:r>
            <w:r>
              <w:rPr>
                <w:rFonts w:ascii="Times New Roman" w:hAnsi="Times New Roman"/>
                <w:color w:val="auto"/>
                <w:highlight w:val="none"/>
                <w:lang w:bidi="ar"/>
              </w:rPr>
              <w:t>十四五</w:t>
            </w:r>
            <w:r>
              <w:rPr>
                <w:rFonts w:hint="eastAsia" w:ascii="Times New Roman" w:hAnsi="Times New Roman"/>
                <w:color w:val="auto"/>
                <w:highlight w:val="none"/>
                <w:lang w:bidi="ar"/>
              </w:rPr>
              <w:t>”</w:t>
            </w:r>
            <w:r>
              <w:rPr>
                <w:rFonts w:ascii="Times New Roman" w:hAnsi="Times New Roman"/>
                <w:color w:val="auto"/>
                <w:highlight w:val="none"/>
                <w:lang w:bidi="ar"/>
              </w:rPr>
              <w:t>污染减排综合工作方案编制技术指南》，</w:t>
            </w:r>
            <w:r>
              <w:rPr>
                <w:rFonts w:ascii="Times New Roman" w:hAnsi="Times New Roman"/>
                <w:color w:val="auto"/>
                <w:kern w:val="2"/>
                <w:highlight w:val="none"/>
              </w:rPr>
              <w:t>确定本项目总量控制因子如下：</w:t>
            </w:r>
          </w:p>
          <w:p w14:paraId="60834D65">
            <w:pPr>
              <w:pStyle w:val="65"/>
              <w:widowControl w:val="0"/>
              <w:pBdr>
                <w:bottom w:val="none" w:color="auto" w:sz="0" w:space="0"/>
                <w:right w:val="none" w:color="auto" w:sz="0" w:space="0"/>
              </w:pBdr>
              <w:adjustRightInd w:val="0"/>
              <w:snapToGrid w:val="0"/>
              <w:spacing w:before="0" w:beforeAutospacing="0" w:after="0" w:afterAutospacing="0" w:line="360" w:lineRule="auto"/>
              <w:ind w:firstLine="480" w:firstLineChars="200"/>
              <w:rPr>
                <w:rFonts w:ascii="Times New Roman" w:hAnsi="Times New Roman"/>
                <w:color w:val="auto"/>
                <w:kern w:val="2"/>
                <w:highlight w:val="none"/>
              </w:rPr>
            </w:pPr>
            <w:r>
              <w:rPr>
                <w:rFonts w:ascii="Times New Roman" w:hAnsi="Times New Roman"/>
                <w:color w:val="auto"/>
                <w:kern w:val="2"/>
                <w:highlight w:val="none"/>
              </w:rPr>
              <w:t>废水污染物：COD、氨氮；</w:t>
            </w:r>
          </w:p>
          <w:p w14:paraId="6F36E5C6">
            <w:pPr>
              <w:widowControl/>
              <w:adjustRightInd w:val="0"/>
              <w:snapToGrid w:val="0"/>
              <w:spacing w:line="360" w:lineRule="auto"/>
              <w:ind w:firstLine="520"/>
              <w:jc w:val="left"/>
              <w:rPr>
                <w:color w:val="auto"/>
                <w:sz w:val="24"/>
                <w:highlight w:val="none"/>
              </w:rPr>
            </w:pPr>
            <w:r>
              <w:rPr>
                <w:color w:val="auto"/>
                <w:kern w:val="0"/>
                <w:sz w:val="24"/>
                <w:highlight w:val="none"/>
                <w:lang w:bidi="ar"/>
              </w:rPr>
              <w:t>本项目主要污染物</w:t>
            </w:r>
            <w:r>
              <w:rPr>
                <w:rFonts w:hint="eastAsia"/>
                <w:color w:val="auto"/>
                <w:kern w:val="0"/>
                <w:sz w:val="24"/>
                <w:highlight w:val="none"/>
                <w:lang w:bidi="ar"/>
              </w:rPr>
              <w:t>排放总量</w:t>
            </w:r>
            <w:r>
              <w:rPr>
                <w:color w:val="auto"/>
                <w:kern w:val="0"/>
                <w:sz w:val="24"/>
                <w:highlight w:val="none"/>
                <w:lang w:bidi="ar"/>
              </w:rPr>
              <w:t xml:space="preserve">如下： </w:t>
            </w:r>
          </w:p>
          <w:p w14:paraId="1252B1B5">
            <w:pPr>
              <w:widowControl/>
              <w:adjustRightInd w:val="0"/>
              <w:snapToGrid w:val="0"/>
              <w:spacing w:line="360" w:lineRule="auto"/>
              <w:ind w:firstLine="520"/>
              <w:jc w:val="left"/>
              <w:rPr>
                <w:color w:val="auto"/>
                <w:sz w:val="24"/>
                <w:highlight w:val="none"/>
              </w:rPr>
            </w:pPr>
            <w:r>
              <w:rPr>
                <w:color w:val="auto"/>
                <w:kern w:val="0"/>
                <w:sz w:val="24"/>
                <w:highlight w:val="none"/>
                <w:lang w:bidi="ar"/>
              </w:rPr>
              <w:t>废水排入环境：COD 0.</w:t>
            </w:r>
            <w:r>
              <w:rPr>
                <w:rFonts w:hint="eastAsia"/>
                <w:color w:val="auto"/>
                <w:kern w:val="0"/>
                <w:sz w:val="24"/>
                <w:highlight w:val="none"/>
                <w:lang w:bidi="ar"/>
              </w:rPr>
              <w:t>074</w:t>
            </w:r>
            <w:r>
              <w:rPr>
                <w:color w:val="auto"/>
                <w:kern w:val="0"/>
                <w:sz w:val="24"/>
                <w:highlight w:val="none"/>
                <w:lang w:bidi="ar"/>
              </w:rPr>
              <w:t>t/a、</w:t>
            </w:r>
            <w:r>
              <w:rPr>
                <w:rFonts w:hint="eastAsia"/>
                <w:color w:val="auto"/>
                <w:kern w:val="0"/>
                <w:sz w:val="24"/>
                <w:highlight w:val="none"/>
                <w:lang w:bidi="ar"/>
              </w:rPr>
              <w:t>氨氮</w:t>
            </w:r>
            <w:r>
              <w:rPr>
                <w:color w:val="auto"/>
                <w:kern w:val="0"/>
                <w:sz w:val="24"/>
                <w:highlight w:val="none"/>
                <w:lang w:bidi="ar"/>
              </w:rPr>
              <w:t xml:space="preserve"> </w:t>
            </w:r>
            <w:r>
              <w:rPr>
                <w:rFonts w:hint="eastAsia"/>
                <w:color w:val="auto"/>
                <w:kern w:val="0"/>
                <w:sz w:val="24"/>
                <w:highlight w:val="none"/>
                <w:lang w:bidi="ar"/>
              </w:rPr>
              <w:t>0.007</w:t>
            </w:r>
            <w:r>
              <w:rPr>
                <w:color w:val="auto"/>
                <w:kern w:val="0"/>
                <w:sz w:val="24"/>
                <w:highlight w:val="none"/>
                <w:lang w:bidi="ar"/>
              </w:rPr>
              <w:t>t/a</w:t>
            </w:r>
            <w:r>
              <w:rPr>
                <w:rFonts w:hint="eastAsia"/>
                <w:color w:val="auto"/>
                <w:kern w:val="0"/>
                <w:sz w:val="24"/>
                <w:highlight w:val="none"/>
                <w:lang w:bidi="ar"/>
              </w:rPr>
              <w:t>。</w:t>
            </w:r>
            <w:r>
              <w:rPr>
                <w:color w:val="auto"/>
                <w:kern w:val="0"/>
                <w:sz w:val="24"/>
                <w:highlight w:val="none"/>
                <w:lang w:bidi="ar"/>
              </w:rPr>
              <w:t xml:space="preserve"> </w:t>
            </w:r>
          </w:p>
          <w:p w14:paraId="12096772">
            <w:pPr>
              <w:adjustRightInd w:val="0"/>
              <w:snapToGrid w:val="0"/>
              <w:spacing w:line="360" w:lineRule="auto"/>
              <w:rPr>
                <w:color w:val="auto"/>
                <w:kern w:val="0"/>
                <w:sz w:val="24"/>
                <w:highlight w:val="none"/>
                <w:lang w:bidi="ar"/>
              </w:rPr>
            </w:pPr>
            <w:r>
              <w:rPr>
                <w:rFonts w:hint="eastAsia"/>
                <w:color w:val="auto"/>
                <w:kern w:val="0"/>
                <w:sz w:val="24"/>
                <w:highlight w:val="none"/>
                <w:lang w:bidi="ar"/>
              </w:rPr>
              <w:t xml:space="preserve">    本项目废水污染物排放总量指标来源于《重庆市合川区龙市镇控制性详细规划环境影响报告书》中提出的总量。</w:t>
            </w:r>
          </w:p>
          <w:p w14:paraId="4D930D81">
            <w:pPr>
              <w:adjustRightInd w:val="0"/>
              <w:snapToGrid w:val="0"/>
              <w:spacing w:line="360" w:lineRule="auto"/>
              <w:rPr>
                <w:color w:val="auto"/>
                <w:kern w:val="0"/>
                <w:sz w:val="24"/>
                <w:highlight w:val="none"/>
                <w:lang w:bidi="ar"/>
              </w:rPr>
            </w:pPr>
          </w:p>
          <w:p w14:paraId="45EABCF2">
            <w:pPr>
              <w:adjustRightInd w:val="0"/>
              <w:snapToGrid w:val="0"/>
              <w:spacing w:line="360" w:lineRule="auto"/>
              <w:rPr>
                <w:color w:val="auto"/>
                <w:kern w:val="0"/>
                <w:sz w:val="24"/>
                <w:highlight w:val="none"/>
                <w:lang w:bidi="ar"/>
              </w:rPr>
            </w:pPr>
          </w:p>
          <w:p w14:paraId="3A2512CA">
            <w:pPr>
              <w:pStyle w:val="3"/>
              <w:rPr>
                <w:color w:val="auto"/>
                <w:kern w:val="0"/>
                <w:sz w:val="24"/>
                <w:highlight w:val="none"/>
                <w:lang w:bidi="ar"/>
              </w:rPr>
            </w:pPr>
          </w:p>
          <w:p w14:paraId="6E037829">
            <w:pPr>
              <w:rPr>
                <w:color w:val="auto"/>
                <w:kern w:val="0"/>
                <w:sz w:val="24"/>
                <w:highlight w:val="none"/>
                <w:lang w:bidi="ar"/>
              </w:rPr>
            </w:pPr>
          </w:p>
          <w:p w14:paraId="40DD5A34">
            <w:pPr>
              <w:pStyle w:val="3"/>
              <w:rPr>
                <w:color w:val="auto"/>
                <w:kern w:val="0"/>
                <w:sz w:val="24"/>
                <w:highlight w:val="none"/>
                <w:lang w:bidi="ar"/>
              </w:rPr>
            </w:pPr>
          </w:p>
          <w:p w14:paraId="1C29C87E">
            <w:pPr>
              <w:rPr>
                <w:color w:val="auto"/>
                <w:kern w:val="0"/>
                <w:sz w:val="24"/>
                <w:highlight w:val="none"/>
                <w:lang w:bidi="ar"/>
              </w:rPr>
            </w:pPr>
          </w:p>
          <w:p w14:paraId="695E7153">
            <w:pPr>
              <w:pStyle w:val="3"/>
              <w:rPr>
                <w:color w:val="auto"/>
                <w:kern w:val="0"/>
                <w:sz w:val="24"/>
                <w:highlight w:val="none"/>
                <w:lang w:bidi="ar"/>
              </w:rPr>
            </w:pPr>
          </w:p>
          <w:p w14:paraId="1936F768">
            <w:pPr>
              <w:rPr>
                <w:color w:val="auto"/>
                <w:kern w:val="0"/>
                <w:sz w:val="24"/>
                <w:highlight w:val="none"/>
                <w:lang w:bidi="ar"/>
              </w:rPr>
            </w:pPr>
          </w:p>
          <w:p w14:paraId="6D61EB01">
            <w:pPr>
              <w:pStyle w:val="3"/>
              <w:rPr>
                <w:color w:val="auto"/>
                <w:kern w:val="0"/>
                <w:sz w:val="24"/>
                <w:highlight w:val="none"/>
                <w:lang w:bidi="ar"/>
              </w:rPr>
            </w:pPr>
          </w:p>
          <w:p w14:paraId="5EC1BB2A">
            <w:pPr>
              <w:rPr>
                <w:color w:val="auto"/>
                <w:kern w:val="0"/>
                <w:sz w:val="24"/>
                <w:highlight w:val="none"/>
                <w:lang w:bidi="ar"/>
              </w:rPr>
            </w:pPr>
          </w:p>
          <w:p w14:paraId="535CAABA">
            <w:pPr>
              <w:pStyle w:val="3"/>
              <w:rPr>
                <w:color w:val="auto"/>
                <w:kern w:val="0"/>
                <w:sz w:val="24"/>
                <w:highlight w:val="none"/>
                <w:lang w:bidi="ar"/>
              </w:rPr>
            </w:pPr>
          </w:p>
          <w:p w14:paraId="0998C9F3">
            <w:pPr>
              <w:rPr>
                <w:color w:val="auto"/>
                <w:kern w:val="0"/>
                <w:sz w:val="24"/>
                <w:highlight w:val="none"/>
                <w:lang w:bidi="ar"/>
              </w:rPr>
            </w:pPr>
          </w:p>
          <w:p w14:paraId="6CDAC5A9">
            <w:pPr>
              <w:pStyle w:val="3"/>
              <w:rPr>
                <w:color w:val="auto"/>
                <w:kern w:val="0"/>
                <w:sz w:val="24"/>
                <w:highlight w:val="none"/>
                <w:lang w:bidi="ar"/>
              </w:rPr>
            </w:pPr>
          </w:p>
          <w:p w14:paraId="046EFED3">
            <w:pPr>
              <w:rPr>
                <w:color w:val="auto"/>
                <w:kern w:val="0"/>
                <w:sz w:val="24"/>
                <w:highlight w:val="none"/>
                <w:lang w:bidi="ar"/>
              </w:rPr>
            </w:pPr>
          </w:p>
          <w:p w14:paraId="0F7DF3C4">
            <w:pPr>
              <w:pStyle w:val="3"/>
              <w:rPr>
                <w:color w:val="auto"/>
                <w:kern w:val="0"/>
                <w:sz w:val="24"/>
                <w:highlight w:val="none"/>
                <w:lang w:bidi="ar"/>
              </w:rPr>
            </w:pPr>
          </w:p>
          <w:p w14:paraId="02F133DC">
            <w:pPr>
              <w:rPr>
                <w:color w:val="auto"/>
                <w:kern w:val="0"/>
                <w:sz w:val="24"/>
                <w:highlight w:val="none"/>
                <w:lang w:bidi="ar"/>
              </w:rPr>
            </w:pPr>
          </w:p>
          <w:p w14:paraId="295E11E6">
            <w:pPr>
              <w:pStyle w:val="3"/>
              <w:rPr>
                <w:color w:val="auto"/>
                <w:kern w:val="0"/>
                <w:sz w:val="24"/>
                <w:highlight w:val="none"/>
                <w:lang w:bidi="ar"/>
              </w:rPr>
            </w:pPr>
          </w:p>
          <w:p w14:paraId="3ECF1F0F">
            <w:pPr>
              <w:rPr>
                <w:color w:val="auto"/>
                <w:kern w:val="0"/>
                <w:sz w:val="24"/>
                <w:highlight w:val="none"/>
                <w:lang w:bidi="ar"/>
              </w:rPr>
            </w:pPr>
          </w:p>
          <w:p w14:paraId="49B5EB44">
            <w:pPr>
              <w:pStyle w:val="3"/>
              <w:rPr>
                <w:color w:val="auto"/>
                <w:kern w:val="0"/>
                <w:sz w:val="24"/>
                <w:highlight w:val="none"/>
                <w:lang w:bidi="ar"/>
              </w:rPr>
            </w:pPr>
          </w:p>
          <w:p w14:paraId="3586D866">
            <w:pPr>
              <w:rPr>
                <w:color w:val="auto"/>
                <w:kern w:val="0"/>
                <w:sz w:val="24"/>
                <w:highlight w:val="none"/>
                <w:lang w:bidi="ar"/>
              </w:rPr>
            </w:pPr>
          </w:p>
          <w:p w14:paraId="4D80A480">
            <w:pPr>
              <w:pStyle w:val="3"/>
              <w:rPr>
                <w:color w:val="auto"/>
                <w:kern w:val="0"/>
                <w:sz w:val="24"/>
                <w:highlight w:val="none"/>
                <w:lang w:bidi="ar"/>
              </w:rPr>
            </w:pPr>
          </w:p>
          <w:p w14:paraId="00BE04F2">
            <w:pPr>
              <w:rPr>
                <w:color w:val="auto"/>
                <w:kern w:val="0"/>
                <w:sz w:val="24"/>
                <w:highlight w:val="none"/>
                <w:lang w:bidi="ar"/>
              </w:rPr>
            </w:pPr>
          </w:p>
          <w:p w14:paraId="6C570964">
            <w:pPr>
              <w:pStyle w:val="3"/>
              <w:rPr>
                <w:color w:val="auto"/>
                <w:kern w:val="0"/>
                <w:sz w:val="24"/>
                <w:highlight w:val="none"/>
                <w:lang w:bidi="ar"/>
              </w:rPr>
            </w:pPr>
          </w:p>
          <w:p w14:paraId="16DDA711">
            <w:pPr>
              <w:rPr>
                <w:color w:val="auto"/>
                <w:kern w:val="0"/>
                <w:sz w:val="24"/>
                <w:highlight w:val="none"/>
                <w:lang w:bidi="ar"/>
              </w:rPr>
            </w:pPr>
          </w:p>
          <w:p w14:paraId="6C68041D">
            <w:pPr>
              <w:pStyle w:val="3"/>
              <w:rPr>
                <w:color w:val="auto"/>
                <w:kern w:val="0"/>
                <w:sz w:val="24"/>
                <w:highlight w:val="none"/>
                <w:lang w:bidi="ar"/>
              </w:rPr>
            </w:pPr>
          </w:p>
          <w:p w14:paraId="2D4F0919">
            <w:pPr>
              <w:rPr>
                <w:color w:val="auto"/>
                <w:kern w:val="0"/>
                <w:sz w:val="24"/>
                <w:highlight w:val="none"/>
                <w:lang w:bidi="ar"/>
              </w:rPr>
            </w:pPr>
          </w:p>
          <w:p w14:paraId="4A7022CC">
            <w:pPr>
              <w:pStyle w:val="3"/>
              <w:rPr>
                <w:color w:val="auto"/>
                <w:kern w:val="0"/>
                <w:sz w:val="24"/>
                <w:highlight w:val="none"/>
                <w:lang w:bidi="ar"/>
              </w:rPr>
            </w:pPr>
          </w:p>
          <w:p w14:paraId="43CD43F9">
            <w:pPr>
              <w:rPr>
                <w:color w:val="auto"/>
                <w:kern w:val="0"/>
                <w:sz w:val="24"/>
                <w:highlight w:val="none"/>
                <w:lang w:bidi="ar"/>
              </w:rPr>
            </w:pPr>
          </w:p>
          <w:p w14:paraId="30107F63">
            <w:pPr>
              <w:pStyle w:val="3"/>
              <w:rPr>
                <w:color w:val="auto"/>
                <w:kern w:val="0"/>
                <w:sz w:val="24"/>
                <w:highlight w:val="none"/>
                <w:lang w:bidi="ar"/>
              </w:rPr>
            </w:pPr>
          </w:p>
          <w:p w14:paraId="142051B1">
            <w:pPr>
              <w:pStyle w:val="3"/>
              <w:rPr>
                <w:rFonts w:hint="eastAsia" w:eastAsia="宋体"/>
                <w:color w:val="auto"/>
                <w:highlight w:val="none"/>
                <w:lang w:val="en-US" w:eastAsia="zh-CN"/>
              </w:rPr>
            </w:pPr>
          </w:p>
          <w:p w14:paraId="16CDAA43">
            <w:pPr>
              <w:adjustRightInd w:val="0"/>
              <w:snapToGrid w:val="0"/>
              <w:rPr>
                <w:color w:val="auto"/>
                <w:kern w:val="0"/>
                <w:sz w:val="24"/>
                <w:highlight w:val="none"/>
                <w:lang w:bidi="ar"/>
              </w:rPr>
            </w:pPr>
          </w:p>
        </w:tc>
      </w:tr>
    </w:tbl>
    <w:p w14:paraId="00C0837E">
      <w:pPr>
        <w:pStyle w:val="15"/>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18"/>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689"/>
      </w:tblGrid>
      <w:tr w14:paraId="00C3C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992" w:hRule="atLeast"/>
          <w:jc w:val="center"/>
        </w:trPr>
        <w:tc>
          <w:tcPr>
            <w:tcW w:w="266" w:type="dxa"/>
            <w:tcMar>
              <w:left w:w="28" w:type="dxa"/>
              <w:right w:w="28" w:type="dxa"/>
            </w:tcMar>
            <w:vAlign w:val="center"/>
          </w:tcPr>
          <w:p w14:paraId="0F811FE7">
            <w:pPr>
              <w:pStyle w:val="15"/>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施工</w:t>
            </w:r>
          </w:p>
          <w:p w14:paraId="4CA6F791">
            <w:pPr>
              <w:pStyle w:val="15"/>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期环</w:t>
            </w:r>
          </w:p>
          <w:p w14:paraId="1143A916">
            <w:pPr>
              <w:pStyle w:val="15"/>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境保</w:t>
            </w:r>
          </w:p>
          <w:p w14:paraId="159A341D">
            <w:pPr>
              <w:pStyle w:val="15"/>
              <w:adjustRightInd w:val="0"/>
              <w:snapToGrid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护措</w:t>
            </w:r>
          </w:p>
          <w:p w14:paraId="7C9E7997">
            <w:pPr>
              <w:pStyle w:val="15"/>
              <w:adjustRightInd w:val="0"/>
              <w:snapToGrid w:val="0"/>
              <w:spacing w:before="0" w:beforeAutospacing="0" w:after="0" w:afterAutospacing="0"/>
              <w:jc w:val="center"/>
              <w:rPr>
                <w:rFonts w:ascii="Times New Roman" w:hAnsi="Times New Roman"/>
                <w:bCs/>
                <w:color w:val="auto"/>
                <w:kern w:val="2"/>
                <w:sz w:val="21"/>
                <w:szCs w:val="21"/>
                <w:highlight w:val="none"/>
              </w:rPr>
            </w:pPr>
            <w:r>
              <w:rPr>
                <w:rFonts w:ascii="Times New Roman" w:hAnsi="Times New Roman"/>
                <w:color w:val="auto"/>
                <w:kern w:val="2"/>
                <w:sz w:val="21"/>
                <w:szCs w:val="21"/>
                <w:highlight w:val="none"/>
              </w:rPr>
              <w:t>施</w:t>
            </w:r>
          </w:p>
        </w:tc>
        <w:tc>
          <w:tcPr>
            <w:tcW w:w="8689" w:type="dxa"/>
          </w:tcPr>
          <w:p w14:paraId="62BAF16A">
            <w:pPr>
              <w:adjustRightInd w:val="0"/>
              <w:snapToGrid w:val="0"/>
              <w:spacing w:line="460" w:lineRule="exact"/>
              <w:rPr>
                <w:b/>
                <w:color w:val="auto"/>
                <w:spacing w:val="-10"/>
                <w:sz w:val="24"/>
                <w:highlight w:val="none"/>
              </w:rPr>
            </w:pPr>
            <w:r>
              <w:rPr>
                <w:b/>
                <w:color w:val="auto"/>
                <w:spacing w:val="-10"/>
                <w:sz w:val="24"/>
                <w:highlight w:val="none"/>
              </w:rPr>
              <w:t>4.1施工期环境保护措施</w:t>
            </w:r>
          </w:p>
          <w:p w14:paraId="0244AFB9">
            <w:pPr>
              <w:adjustRightInd w:val="0"/>
              <w:snapToGrid w:val="0"/>
              <w:spacing w:line="360" w:lineRule="auto"/>
              <w:ind w:firstLine="440" w:firstLineChars="200"/>
              <w:rPr>
                <w:bCs/>
                <w:color w:val="auto"/>
                <w:spacing w:val="-10"/>
                <w:sz w:val="24"/>
                <w:highlight w:val="none"/>
              </w:rPr>
            </w:pPr>
            <w:r>
              <w:rPr>
                <w:bCs/>
                <w:color w:val="auto"/>
                <w:spacing w:val="-10"/>
                <w:sz w:val="24"/>
                <w:highlight w:val="none"/>
              </w:rPr>
              <w:t>本项目不新建厂房，施工期只进行内部装修和设备安装。施工期主要污染物为施工废水、施工噪声、建筑垃圾及施工产生的扬尘等。其对环境的不利影响是短暂的，将随着施工期的结束而消失。</w:t>
            </w:r>
          </w:p>
          <w:p w14:paraId="4BBCB532">
            <w:pPr>
              <w:widowControl/>
              <w:spacing w:line="360" w:lineRule="auto"/>
              <w:jc w:val="left"/>
              <w:rPr>
                <w:color w:val="auto"/>
                <w:sz w:val="24"/>
                <w:highlight w:val="none"/>
              </w:rPr>
            </w:pPr>
            <w:r>
              <w:rPr>
                <w:b/>
                <w:color w:val="auto"/>
                <w:spacing w:val="-10"/>
                <w:sz w:val="24"/>
                <w:highlight w:val="none"/>
              </w:rPr>
              <w:t>4.1.1</w:t>
            </w:r>
            <w:r>
              <w:rPr>
                <w:b/>
                <w:bCs/>
                <w:color w:val="auto"/>
                <w:kern w:val="0"/>
                <w:sz w:val="24"/>
                <w:highlight w:val="none"/>
                <w:lang w:bidi="ar"/>
              </w:rPr>
              <w:t>施工期废气</w:t>
            </w:r>
          </w:p>
          <w:p w14:paraId="6845D427">
            <w:pPr>
              <w:widowControl/>
              <w:spacing w:line="360" w:lineRule="auto"/>
              <w:ind w:firstLine="480" w:firstLineChars="200"/>
              <w:jc w:val="left"/>
              <w:rPr>
                <w:color w:val="auto"/>
                <w:sz w:val="24"/>
                <w:highlight w:val="none"/>
              </w:rPr>
            </w:pPr>
            <w:r>
              <w:rPr>
                <w:color w:val="auto"/>
                <w:sz w:val="24"/>
                <w:highlight w:val="none"/>
              </w:rPr>
              <w:t>（1）施工期大气环境影响分析</w:t>
            </w:r>
          </w:p>
          <w:p w14:paraId="58547633">
            <w:pPr>
              <w:widowControl/>
              <w:spacing w:line="360" w:lineRule="auto"/>
              <w:ind w:firstLine="480" w:firstLineChars="200"/>
              <w:jc w:val="left"/>
              <w:rPr>
                <w:color w:val="auto"/>
                <w:sz w:val="24"/>
                <w:highlight w:val="none"/>
              </w:rPr>
            </w:pPr>
            <w:r>
              <w:rPr>
                <w:color w:val="auto"/>
                <w:sz w:val="24"/>
                <w:highlight w:val="none"/>
              </w:rPr>
              <w:t>项目在施工过程中会产生微量的粉尘，产生量少，且主要位于室内，逸散至外环境经空气稀释、自然扩散后对周边环境影响较小。</w:t>
            </w:r>
          </w:p>
          <w:p w14:paraId="124A9513">
            <w:pPr>
              <w:widowControl/>
              <w:spacing w:line="360" w:lineRule="auto"/>
              <w:ind w:firstLine="480" w:firstLineChars="200"/>
              <w:jc w:val="left"/>
              <w:rPr>
                <w:color w:val="auto"/>
                <w:sz w:val="24"/>
                <w:highlight w:val="none"/>
              </w:rPr>
            </w:pPr>
            <w:r>
              <w:rPr>
                <w:color w:val="auto"/>
                <w:sz w:val="24"/>
                <w:highlight w:val="none"/>
              </w:rPr>
              <w:t>（2）施工期大气污染防治措施</w:t>
            </w:r>
          </w:p>
          <w:p w14:paraId="19B263AF">
            <w:pPr>
              <w:widowControl/>
              <w:spacing w:line="360" w:lineRule="auto"/>
              <w:ind w:firstLine="480" w:firstLineChars="200"/>
              <w:jc w:val="left"/>
              <w:rPr>
                <w:color w:val="auto"/>
                <w:sz w:val="24"/>
                <w:highlight w:val="none"/>
              </w:rPr>
            </w:pPr>
            <w:r>
              <w:rPr>
                <w:color w:val="auto"/>
                <w:sz w:val="24"/>
                <w:highlight w:val="none"/>
              </w:rPr>
              <w:t>①在施工作业面、物料堆场应制定洒水降尘制度，配套洒水设备，专人负责，定期洒水，在旱季风大时要加大洒水量和洒水次数。</w:t>
            </w:r>
          </w:p>
          <w:p w14:paraId="3C71F8E8">
            <w:pPr>
              <w:widowControl/>
              <w:spacing w:line="360" w:lineRule="auto"/>
              <w:ind w:firstLine="480" w:firstLineChars="200"/>
              <w:jc w:val="left"/>
              <w:rPr>
                <w:color w:val="auto"/>
                <w:sz w:val="24"/>
                <w:highlight w:val="none"/>
              </w:rPr>
            </w:pPr>
            <w:r>
              <w:rPr>
                <w:color w:val="auto"/>
                <w:sz w:val="24"/>
                <w:highlight w:val="none"/>
              </w:rPr>
              <w:t>②物料堆放点应采取覆盖措施，避免露天堆放产生扬尘。</w:t>
            </w:r>
          </w:p>
          <w:p w14:paraId="111023DB">
            <w:pPr>
              <w:widowControl/>
              <w:spacing w:line="360" w:lineRule="auto"/>
              <w:ind w:firstLine="480" w:firstLineChars="200"/>
              <w:jc w:val="left"/>
              <w:rPr>
                <w:color w:val="auto"/>
                <w:sz w:val="24"/>
                <w:highlight w:val="none"/>
              </w:rPr>
            </w:pPr>
            <w:r>
              <w:rPr>
                <w:color w:val="auto"/>
                <w:sz w:val="24"/>
                <w:highlight w:val="none"/>
              </w:rPr>
              <w:t>③运输车辆应限速慢行，并适量装车，以防运输过程中洒落引起二次扬尘。</w:t>
            </w:r>
          </w:p>
          <w:p w14:paraId="1E27D160">
            <w:pPr>
              <w:widowControl/>
              <w:spacing w:line="360" w:lineRule="auto"/>
              <w:ind w:firstLine="480" w:firstLineChars="200"/>
              <w:jc w:val="left"/>
              <w:rPr>
                <w:color w:val="auto"/>
                <w:sz w:val="24"/>
                <w:highlight w:val="none"/>
              </w:rPr>
            </w:pPr>
            <w:r>
              <w:rPr>
                <w:color w:val="auto"/>
                <w:sz w:val="24"/>
                <w:highlight w:val="none"/>
              </w:rPr>
              <w:t>④使用尾气达标排放的施工机械和运输车辆；不得使用劣质燃料。</w:t>
            </w:r>
          </w:p>
          <w:p w14:paraId="3A411294">
            <w:pPr>
              <w:widowControl/>
              <w:spacing w:line="360" w:lineRule="auto"/>
              <w:jc w:val="left"/>
              <w:rPr>
                <w:b/>
                <w:bCs/>
                <w:color w:val="auto"/>
                <w:kern w:val="0"/>
                <w:sz w:val="24"/>
                <w:highlight w:val="none"/>
                <w:lang w:bidi="ar"/>
              </w:rPr>
            </w:pPr>
            <w:r>
              <w:rPr>
                <w:b/>
                <w:bCs/>
                <w:color w:val="auto"/>
                <w:kern w:val="0"/>
                <w:sz w:val="24"/>
                <w:highlight w:val="none"/>
                <w:lang w:bidi="ar"/>
              </w:rPr>
              <w:t>4.1.2施工期废水</w:t>
            </w:r>
          </w:p>
          <w:p w14:paraId="07B003D9">
            <w:pPr>
              <w:adjustRightInd w:val="0"/>
              <w:snapToGrid w:val="0"/>
              <w:spacing w:line="360" w:lineRule="auto"/>
              <w:ind w:firstLine="480" w:firstLineChars="200"/>
              <w:rPr>
                <w:color w:val="auto"/>
                <w:sz w:val="24"/>
                <w:highlight w:val="none"/>
              </w:rPr>
            </w:pPr>
            <w:r>
              <w:rPr>
                <w:color w:val="auto"/>
                <w:sz w:val="24"/>
                <w:highlight w:val="none"/>
              </w:rPr>
              <w:t>（1）施工期废水环境影响分析</w:t>
            </w:r>
          </w:p>
          <w:p w14:paraId="6A9B6FA0">
            <w:pPr>
              <w:adjustRightInd w:val="0"/>
              <w:snapToGrid w:val="0"/>
              <w:spacing w:line="360" w:lineRule="auto"/>
              <w:ind w:firstLine="480" w:firstLineChars="200"/>
              <w:rPr>
                <w:color w:val="auto"/>
                <w:sz w:val="24"/>
                <w:highlight w:val="none"/>
              </w:rPr>
            </w:pPr>
            <w:r>
              <w:rPr>
                <w:color w:val="auto"/>
                <w:sz w:val="24"/>
                <w:highlight w:val="none"/>
              </w:rPr>
              <w:t>项目不设施工营地，施工人员不在项目内食宿，施工期产生的废水主要为施工生活废水。</w:t>
            </w:r>
          </w:p>
          <w:p w14:paraId="7CDBBFF3">
            <w:pPr>
              <w:adjustRightInd w:val="0"/>
              <w:snapToGrid w:val="0"/>
              <w:spacing w:line="360" w:lineRule="auto"/>
              <w:ind w:firstLine="480" w:firstLineChars="200"/>
              <w:rPr>
                <w:color w:val="auto"/>
                <w:sz w:val="24"/>
                <w:highlight w:val="none"/>
              </w:rPr>
            </w:pPr>
            <w:r>
              <w:rPr>
                <w:color w:val="auto"/>
                <w:sz w:val="24"/>
                <w:highlight w:val="none"/>
              </w:rPr>
              <w:t>（2）施工期废水污染防治措施</w:t>
            </w:r>
          </w:p>
          <w:p w14:paraId="31737BAE">
            <w:pPr>
              <w:adjustRightInd w:val="0"/>
              <w:snapToGrid w:val="0"/>
              <w:spacing w:line="360" w:lineRule="auto"/>
              <w:ind w:firstLine="480" w:firstLineChars="200"/>
              <w:rPr>
                <w:color w:val="auto"/>
                <w:sz w:val="24"/>
                <w:highlight w:val="none"/>
              </w:rPr>
            </w:pPr>
            <w:r>
              <w:rPr>
                <w:color w:val="auto"/>
                <w:sz w:val="24"/>
                <w:highlight w:val="none"/>
              </w:rPr>
              <w:t>本项目预计施工最高人数为15人/天，按50L/人·d 计，排污系数按0.85计，则施工期生活污水量为0.638m</w:t>
            </w:r>
            <w:r>
              <w:rPr>
                <w:color w:val="auto"/>
                <w:sz w:val="24"/>
                <w:highlight w:val="none"/>
                <w:vertAlign w:val="superscript"/>
              </w:rPr>
              <w:t>3</w:t>
            </w:r>
            <w:r>
              <w:rPr>
                <w:color w:val="auto"/>
                <w:sz w:val="24"/>
                <w:highlight w:val="none"/>
              </w:rPr>
              <w:t>/d，</w:t>
            </w:r>
            <w:r>
              <w:rPr>
                <w:color w:val="auto"/>
                <w:kern w:val="0"/>
                <w:sz w:val="24"/>
                <w:highlight w:val="none"/>
                <w:lang w:bidi="ar"/>
              </w:rPr>
              <w:t>依托</w:t>
            </w:r>
            <w:r>
              <w:rPr>
                <w:rFonts w:hint="eastAsia"/>
                <w:bCs/>
                <w:color w:val="auto"/>
                <w:sz w:val="24"/>
                <w:highlight w:val="none"/>
              </w:rPr>
              <w:t>厨鼎食品公司</w:t>
            </w:r>
            <w:r>
              <w:rPr>
                <w:color w:val="auto"/>
                <w:kern w:val="0"/>
                <w:sz w:val="24"/>
                <w:highlight w:val="none"/>
                <w:lang w:bidi="ar"/>
              </w:rPr>
              <w:t>厂区内已建污水收集处理措施预处理后，排入</w:t>
            </w:r>
            <w:r>
              <w:rPr>
                <w:color w:val="auto"/>
                <w:sz w:val="24"/>
                <w:highlight w:val="none"/>
              </w:rPr>
              <w:t>龙市镇工业污水处理厂深度处理达《城镇污水处理厂污染物排放标准》（GB18918-2002）一级A标准后排放。</w:t>
            </w:r>
          </w:p>
          <w:p w14:paraId="7AFEADFD">
            <w:pPr>
              <w:widowControl/>
              <w:spacing w:line="360" w:lineRule="auto"/>
              <w:jc w:val="left"/>
              <w:rPr>
                <w:b/>
                <w:bCs/>
                <w:color w:val="auto"/>
                <w:kern w:val="0"/>
                <w:sz w:val="24"/>
                <w:highlight w:val="none"/>
                <w:lang w:bidi="ar"/>
              </w:rPr>
            </w:pPr>
            <w:r>
              <w:rPr>
                <w:b/>
                <w:bCs/>
                <w:color w:val="auto"/>
                <w:kern w:val="0"/>
                <w:sz w:val="24"/>
                <w:highlight w:val="none"/>
                <w:lang w:bidi="ar"/>
              </w:rPr>
              <w:t>4.1.3施工期噪声</w:t>
            </w:r>
          </w:p>
          <w:p w14:paraId="5659597F">
            <w:pPr>
              <w:widowControl/>
              <w:spacing w:line="360" w:lineRule="auto"/>
              <w:ind w:firstLine="480" w:firstLineChars="200"/>
              <w:jc w:val="left"/>
              <w:rPr>
                <w:color w:val="auto"/>
                <w:kern w:val="0"/>
                <w:sz w:val="24"/>
                <w:highlight w:val="none"/>
                <w:lang w:bidi="ar"/>
              </w:rPr>
            </w:pPr>
            <w:r>
              <w:rPr>
                <w:color w:val="auto"/>
                <w:kern w:val="0"/>
                <w:sz w:val="24"/>
                <w:highlight w:val="none"/>
                <w:lang w:bidi="ar"/>
              </w:rPr>
              <w:t>施工期间的噪声主要是运输车辆的噪声、设备安装等产生的噪声，噪声强度约为70~85 dB，对周边环境有不同程度影响。</w:t>
            </w:r>
          </w:p>
          <w:p w14:paraId="00BF1A4A">
            <w:pPr>
              <w:widowControl/>
              <w:spacing w:line="460" w:lineRule="exact"/>
              <w:ind w:firstLine="480" w:firstLineChars="200"/>
              <w:jc w:val="left"/>
              <w:rPr>
                <w:color w:val="auto"/>
                <w:kern w:val="0"/>
                <w:sz w:val="24"/>
                <w:highlight w:val="none"/>
                <w:lang w:bidi="ar"/>
              </w:rPr>
            </w:pPr>
            <w:r>
              <w:rPr>
                <w:color w:val="auto"/>
                <w:kern w:val="0"/>
                <w:sz w:val="24"/>
                <w:highlight w:val="none"/>
                <w:lang w:bidi="ar"/>
              </w:rPr>
              <w:t>施工期噪声污染防治措施：</w:t>
            </w:r>
          </w:p>
          <w:p w14:paraId="65ACC4E4">
            <w:pPr>
              <w:widowControl/>
              <w:spacing w:line="460" w:lineRule="exact"/>
              <w:ind w:firstLine="480" w:firstLineChars="200"/>
              <w:jc w:val="left"/>
              <w:rPr>
                <w:color w:val="auto"/>
                <w:kern w:val="0"/>
                <w:sz w:val="24"/>
                <w:highlight w:val="none"/>
                <w:lang w:bidi="ar"/>
              </w:rPr>
            </w:pPr>
            <w:r>
              <w:rPr>
                <w:color w:val="auto"/>
                <w:kern w:val="0"/>
                <w:sz w:val="24"/>
                <w:highlight w:val="none"/>
                <w:lang w:bidi="ar"/>
              </w:rPr>
              <w:t>（1）采取合理安排并限制作业时间，禁止在夜间（22：00~06：00）和12:00~14:00施工，减少噪声对环境的污染。</w:t>
            </w:r>
          </w:p>
          <w:p w14:paraId="0348E636">
            <w:pPr>
              <w:widowControl/>
              <w:spacing w:line="460" w:lineRule="exact"/>
              <w:ind w:firstLine="480" w:firstLineChars="200"/>
              <w:jc w:val="left"/>
              <w:rPr>
                <w:color w:val="auto"/>
                <w:kern w:val="0"/>
                <w:sz w:val="24"/>
                <w:highlight w:val="none"/>
                <w:lang w:bidi="ar"/>
              </w:rPr>
            </w:pPr>
            <w:r>
              <w:rPr>
                <w:color w:val="auto"/>
                <w:kern w:val="0"/>
                <w:sz w:val="24"/>
                <w:highlight w:val="none"/>
                <w:lang w:bidi="ar"/>
              </w:rPr>
              <w:t>（2）采用低噪声设备和工艺。施工机械选型时尽量选用可替代的低噪声的设备，对动力机械设备进行定期的维修、养护，避免设备因松动部件的振动或消声器的损坏而增加其工作时的声压级；设备用完后或不用时应立即关闭。优先采用具有先进工艺的低噪声设备。</w:t>
            </w:r>
          </w:p>
          <w:p w14:paraId="1A20FCDE">
            <w:pPr>
              <w:widowControl/>
              <w:spacing w:line="460" w:lineRule="exact"/>
              <w:ind w:firstLine="480" w:firstLineChars="200"/>
              <w:jc w:val="left"/>
              <w:rPr>
                <w:color w:val="auto"/>
                <w:kern w:val="0"/>
                <w:sz w:val="24"/>
                <w:highlight w:val="none"/>
                <w:lang w:bidi="ar"/>
              </w:rPr>
            </w:pPr>
            <w:r>
              <w:rPr>
                <w:color w:val="auto"/>
                <w:kern w:val="0"/>
                <w:sz w:val="24"/>
                <w:highlight w:val="none"/>
                <w:lang w:bidi="ar"/>
              </w:rPr>
              <w:t>周边50 m范围内无声环境敏感目标，通过采取以上措施可满足《建筑施工场界环境噪声排放标准》（GB12523-2011）要求，施工噪声对外界影响较小。随着施工的结束，施工噪声也消失，无长期影响。</w:t>
            </w:r>
          </w:p>
          <w:p w14:paraId="6E9D4C22">
            <w:pPr>
              <w:widowControl/>
              <w:spacing w:line="460" w:lineRule="exact"/>
              <w:jc w:val="left"/>
              <w:rPr>
                <w:b/>
                <w:bCs/>
                <w:color w:val="auto"/>
                <w:kern w:val="0"/>
                <w:sz w:val="24"/>
                <w:highlight w:val="none"/>
                <w:lang w:bidi="ar"/>
              </w:rPr>
            </w:pPr>
            <w:r>
              <w:rPr>
                <w:b/>
                <w:bCs/>
                <w:color w:val="auto"/>
                <w:kern w:val="0"/>
                <w:sz w:val="24"/>
                <w:highlight w:val="none"/>
                <w:lang w:bidi="ar"/>
              </w:rPr>
              <w:t>4.1.4施工期固体废物</w:t>
            </w:r>
          </w:p>
          <w:p w14:paraId="33E4E960">
            <w:pPr>
              <w:widowControl/>
              <w:spacing w:line="460" w:lineRule="exact"/>
              <w:ind w:firstLine="480" w:firstLineChars="200"/>
              <w:jc w:val="left"/>
              <w:rPr>
                <w:color w:val="auto"/>
                <w:kern w:val="0"/>
                <w:sz w:val="24"/>
                <w:highlight w:val="none"/>
                <w:lang w:bidi="ar"/>
              </w:rPr>
            </w:pPr>
            <w:r>
              <w:rPr>
                <w:color w:val="auto"/>
                <w:kern w:val="0"/>
                <w:sz w:val="24"/>
                <w:highlight w:val="none"/>
                <w:lang w:bidi="ar"/>
              </w:rPr>
              <w:t>项目在施工过程中产生的主要的固体废弃物为包装材料、建筑垃圾等，可回收部分收集后出售给废物回收站，不可回收部分收集后交由环卫部门处置，项目施工期产生的固废均得到妥善处置，处置率100%。</w:t>
            </w:r>
          </w:p>
          <w:p w14:paraId="1B1A8AC5">
            <w:pPr>
              <w:widowControl/>
              <w:spacing w:line="460" w:lineRule="exact"/>
              <w:ind w:firstLine="480" w:firstLineChars="200"/>
              <w:jc w:val="left"/>
              <w:rPr>
                <w:color w:val="auto"/>
                <w:kern w:val="0"/>
                <w:sz w:val="24"/>
                <w:highlight w:val="none"/>
                <w:lang w:bidi="ar"/>
              </w:rPr>
            </w:pPr>
            <w:r>
              <w:rPr>
                <w:color w:val="auto"/>
                <w:kern w:val="0"/>
                <w:sz w:val="24"/>
                <w:highlight w:val="none"/>
                <w:lang w:bidi="ar"/>
              </w:rPr>
              <w:t>施工期生活垃圾收集依托现有设施收集，后由环卫部门处置。</w:t>
            </w:r>
          </w:p>
          <w:p w14:paraId="18BEE870">
            <w:pPr>
              <w:widowControl/>
              <w:spacing w:line="460" w:lineRule="exact"/>
              <w:ind w:firstLine="480" w:firstLineChars="200"/>
              <w:jc w:val="left"/>
              <w:rPr>
                <w:color w:val="auto"/>
                <w:kern w:val="0"/>
                <w:sz w:val="24"/>
                <w:highlight w:val="none"/>
                <w:lang w:bidi="ar"/>
              </w:rPr>
            </w:pPr>
          </w:p>
          <w:p w14:paraId="72D020FD">
            <w:pPr>
              <w:widowControl/>
              <w:spacing w:line="460" w:lineRule="exact"/>
              <w:ind w:firstLine="480" w:firstLineChars="200"/>
              <w:jc w:val="left"/>
              <w:rPr>
                <w:color w:val="auto"/>
                <w:kern w:val="0"/>
                <w:sz w:val="24"/>
                <w:highlight w:val="none"/>
                <w:lang w:bidi="ar"/>
              </w:rPr>
            </w:pPr>
          </w:p>
          <w:p w14:paraId="7864710F">
            <w:pPr>
              <w:widowControl/>
              <w:spacing w:line="460" w:lineRule="exact"/>
              <w:ind w:firstLine="480" w:firstLineChars="200"/>
              <w:jc w:val="left"/>
              <w:rPr>
                <w:color w:val="auto"/>
                <w:kern w:val="0"/>
                <w:sz w:val="24"/>
                <w:highlight w:val="none"/>
                <w:lang w:bidi="ar"/>
              </w:rPr>
            </w:pPr>
          </w:p>
          <w:p w14:paraId="673D6B35">
            <w:pPr>
              <w:widowControl/>
              <w:spacing w:line="460" w:lineRule="exact"/>
              <w:ind w:firstLine="480" w:firstLineChars="200"/>
              <w:jc w:val="left"/>
              <w:rPr>
                <w:color w:val="auto"/>
                <w:kern w:val="0"/>
                <w:sz w:val="24"/>
                <w:highlight w:val="none"/>
                <w:lang w:bidi="ar"/>
              </w:rPr>
            </w:pPr>
          </w:p>
          <w:p w14:paraId="51FA939C">
            <w:pPr>
              <w:widowControl/>
              <w:spacing w:line="460" w:lineRule="exact"/>
              <w:ind w:firstLine="480" w:firstLineChars="200"/>
              <w:jc w:val="left"/>
              <w:rPr>
                <w:color w:val="auto"/>
                <w:kern w:val="0"/>
                <w:sz w:val="24"/>
                <w:highlight w:val="none"/>
                <w:lang w:bidi="ar"/>
              </w:rPr>
            </w:pPr>
          </w:p>
          <w:p w14:paraId="7BD72CF7">
            <w:pPr>
              <w:widowControl/>
              <w:spacing w:line="460" w:lineRule="exact"/>
              <w:ind w:firstLine="480" w:firstLineChars="200"/>
              <w:jc w:val="left"/>
              <w:rPr>
                <w:color w:val="auto"/>
                <w:kern w:val="0"/>
                <w:sz w:val="24"/>
                <w:highlight w:val="none"/>
                <w:lang w:bidi="ar"/>
              </w:rPr>
            </w:pPr>
          </w:p>
          <w:p w14:paraId="3557B175">
            <w:pPr>
              <w:widowControl/>
              <w:spacing w:line="460" w:lineRule="exact"/>
              <w:ind w:firstLine="480" w:firstLineChars="200"/>
              <w:jc w:val="left"/>
              <w:rPr>
                <w:color w:val="auto"/>
                <w:kern w:val="0"/>
                <w:sz w:val="24"/>
                <w:highlight w:val="none"/>
                <w:lang w:bidi="ar"/>
              </w:rPr>
            </w:pPr>
          </w:p>
          <w:p w14:paraId="2157D067">
            <w:pPr>
              <w:widowControl/>
              <w:spacing w:line="460" w:lineRule="exact"/>
              <w:ind w:firstLine="480" w:firstLineChars="200"/>
              <w:jc w:val="left"/>
              <w:rPr>
                <w:color w:val="auto"/>
                <w:kern w:val="0"/>
                <w:sz w:val="24"/>
                <w:highlight w:val="none"/>
                <w:lang w:bidi="ar"/>
              </w:rPr>
            </w:pPr>
          </w:p>
          <w:p w14:paraId="65BB8C0B">
            <w:pPr>
              <w:widowControl/>
              <w:spacing w:line="460" w:lineRule="exact"/>
              <w:ind w:firstLine="480" w:firstLineChars="200"/>
              <w:jc w:val="left"/>
              <w:rPr>
                <w:color w:val="auto"/>
                <w:kern w:val="0"/>
                <w:sz w:val="24"/>
                <w:highlight w:val="none"/>
                <w:lang w:bidi="ar"/>
              </w:rPr>
            </w:pPr>
          </w:p>
          <w:p w14:paraId="2DB50971">
            <w:pPr>
              <w:widowControl/>
              <w:spacing w:line="460" w:lineRule="exact"/>
              <w:ind w:firstLine="480" w:firstLineChars="200"/>
              <w:jc w:val="left"/>
              <w:rPr>
                <w:color w:val="auto"/>
                <w:kern w:val="0"/>
                <w:sz w:val="24"/>
                <w:highlight w:val="none"/>
                <w:lang w:bidi="ar"/>
              </w:rPr>
            </w:pPr>
          </w:p>
          <w:p w14:paraId="00BBC4DF">
            <w:pPr>
              <w:pStyle w:val="3"/>
              <w:rPr>
                <w:color w:val="auto"/>
                <w:highlight w:val="none"/>
              </w:rPr>
            </w:pPr>
          </w:p>
          <w:p w14:paraId="730269DE">
            <w:pPr>
              <w:widowControl/>
              <w:spacing w:line="460" w:lineRule="exact"/>
              <w:ind w:firstLine="480" w:firstLineChars="200"/>
              <w:jc w:val="left"/>
              <w:rPr>
                <w:color w:val="auto"/>
                <w:kern w:val="0"/>
                <w:sz w:val="24"/>
                <w:highlight w:val="none"/>
                <w:lang w:bidi="ar"/>
              </w:rPr>
            </w:pPr>
          </w:p>
        </w:tc>
      </w:tr>
      <w:tr w14:paraId="3E85D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0" w:hRule="atLeast"/>
          <w:jc w:val="center"/>
        </w:trPr>
        <w:tc>
          <w:tcPr>
            <w:tcW w:w="266" w:type="dxa"/>
            <w:tcMar>
              <w:left w:w="28" w:type="dxa"/>
              <w:right w:w="28" w:type="dxa"/>
            </w:tcMar>
            <w:vAlign w:val="center"/>
          </w:tcPr>
          <w:p w14:paraId="2D60ABC5">
            <w:pPr>
              <w:adjustRightInd w:val="0"/>
              <w:snapToGrid w:val="0"/>
              <w:jc w:val="center"/>
              <w:rPr>
                <w:bCs/>
                <w:color w:val="auto"/>
                <w:szCs w:val="21"/>
                <w:highlight w:val="none"/>
              </w:rPr>
            </w:pPr>
            <w:r>
              <w:rPr>
                <w:bCs/>
                <w:color w:val="auto"/>
                <w:szCs w:val="21"/>
                <w:highlight w:val="none"/>
              </w:rPr>
              <w:t>运营</w:t>
            </w:r>
          </w:p>
          <w:p w14:paraId="6828EFCE">
            <w:pPr>
              <w:adjustRightInd w:val="0"/>
              <w:snapToGrid w:val="0"/>
              <w:jc w:val="center"/>
              <w:rPr>
                <w:bCs/>
                <w:color w:val="auto"/>
                <w:szCs w:val="21"/>
                <w:highlight w:val="none"/>
              </w:rPr>
            </w:pPr>
            <w:r>
              <w:rPr>
                <w:bCs/>
                <w:color w:val="auto"/>
                <w:szCs w:val="21"/>
                <w:highlight w:val="none"/>
              </w:rPr>
              <w:t>期环</w:t>
            </w:r>
          </w:p>
          <w:p w14:paraId="4829FB40">
            <w:pPr>
              <w:adjustRightInd w:val="0"/>
              <w:snapToGrid w:val="0"/>
              <w:jc w:val="center"/>
              <w:rPr>
                <w:bCs/>
                <w:color w:val="auto"/>
                <w:szCs w:val="21"/>
                <w:highlight w:val="none"/>
              </w:rPr>
            </w:pPr>
            <w:r>
              <w:rPr>
                <w:bCs/>
                <w:color w:val="auto"/>
                <w:szCs w:val="21"/>
                <w:highlight w:val="none"/>
              </w:rPr>
              <w:t>境影</w:t>
            </w:r>
          </w:p>
          <w:p w14:paraId="7CA42DC5">
            <w:pPr>
              <w:adjustRightInd w:val="0"/>
              <w:snapToGrid w:val="0"/>
              <w:jc w:val="center"/>
              <w:rPr>
                <w:bCs/>
                <w:color w:val="auto"/>
                <w:szCs w:val="21"/>
                <w:highlight w:val="none"/>
              </w:rPr>
            </w:pPr>
            <w:r>
              <w:rPr>
                <w:bCs/>
                <w:color w:val="auto"/>
                <w:szCs w:val="21"/>
                <w:highlight w:val="none"/>
              </w:rPr>
              <w:t>响和</w:t>
            </w:r>
          </w:p>
          <w:p w14:paraId="35FC5DA1">
            <w:pPr>
              <w:adjustRightInd w:val="0"/>
              <w:snapToGrid w:val="0"/>
              <w:jc w:val="center"/>
              <w:rPr>
                <w:bCs/>
                <w:color w:val="auto"/>
                <w:szCs w:val="21"/>
                <w:highlight w:val="none"/>
              </w:rPr>
            </w:pPr>
            <w:r>
              <w:rPr>
                <w:bCs/>
                <w:color w:val="auto"/>
                <w:szCs w:val="21"/>
                <w:highlight w:val="none"/>
              </w:rPr>
              <w:t>保护</w:t>
            </w:r>
          </w:p>
          <w:p w14:paraId="3805C679">
            <w:pPr>
              <w:adjustRightInd w:val="0"/>
              <w:snapToGrid w:val="0"/>
              <w:jc w:val="center"/>
              <w:rPr>
                <w:color w:val="auto"/>
                <w:szCs w:val="21"/>
                <w:highlight w:val="none"/>
              </w:rPr>
            </w:pPr>
            <w:r>
              <w:rPr>
                <w:bCs/>
                <w:color w:val="auto"/>
                <w:szCs w:val="21"/>
                <w:highlight w:val="none"/>
              </w:rPr>
              <w:t>措施</w:t>
            </w:r>
          </w:p>
        </w:tc>
        <w:tc>
          <w:tcPr>
            <w:tcW w:w="8689" w:type="dxa"/>
          </w:tcPr>
          <w:p w14:paraId="20CD77F0">
            <w:pPr>
              <w:adjustRightInd w:val="0"/>
              <w:snapToGrid w:val="0"/>
              <w:spacing w:line="460" w:lineRule="exact"/>
              <w:rPr>
                <w:b/>
                <w:color w:val="auto"/>
                <w:spacing w:val="-10"/>
                <w:sz w:val="24"/>
                <w:highlight w:val="none"/>
              </w:rPr>
            </w:pPr>
            <w:r>
              <w:rPr>
                <w:b/>
                <w:color w:val="auto"/>
                <w:spacing w:val="-10"/>
                <w:sz w:val="24"/>
                <w:highlight w:val="none"/>
              </w:rPr>
              <w:t>4.2运营期环境影响和保护措施</w:t>
            </w:r>
          </w:p>
          <w:p w14:paraId="670EC995">
            <w:pPr>
              <w:adjustRightInd w:val="0"/>
              <w:snapToGrid w:val="0"/>
              <w:spacing w:line="460" w:lineRule="exact"/>
              <w:rPr>
                <w:b/>
                <w:color w:val="auto"/>
                <w:spacing w:val="-10"/>
                <w:sz w:val="24"/>
                <w:highlight w:val="none"/>
              </w:rPr>
            </w:pPr>
            <w:r>
              <w:rPr>
                <w:b/>
                <w:color w:val="auto"/>
                <w:spacing w:val="-10"/>
                <w:sz w:val="24"/>
                <w:highlight w:val="none"/>
              </w:rPr>
              <w:t>4.2.1运营期废气</w:t>
            </w:r>
          </w:p>
          <w:p w14:paraId="1ED4BEDE">
            <w:pPr>
              <w:adjustRightInd w:val="0"/>
              <w:snapToGrid w:val="0"/>
              <w:spacing w:line="460" w:lineRule="exact"/>
              <w:ind w:firstLine="440" w:firstLineChars="200"/>
              <w:rPr>
                <w:bCs/>
                <w:color w:val="auto"/>
                <w:spacing w:val="-10"/>
                <w:sz w:val="24"/>
                <w:highlight w:val="none"/>
              </w:rPr>
            </w:pPr>
            <w:r>
              <w:rPr>
                <w:bCs/>
                <w:color w:val="auto"/>
                <w:spacing w:val="-10"/>
                <w:sz w:val="24"/>
                <w:highlight w:val="none"/>
              </w:rPr>
              <w:t>（1）包装废气G1</w:t>
            </w:r>
          </w:p>
          <w:p w14:paraId="67B69A09">
            <w:pPr>
              <w:adjustRightInd w:val="0"/>
              <w:snapToGrid w:val="0"/>
              <w:spacing w:line="460" w:lineRule="exact"/>
              <w:ind w:firstLine="440" w:firstLineChars="200"/>
              <w:rPr>
                <w:color w:val="auto"/>
                <w:kern w:val="0"/>
                <w:sz w:val="24"/>
                <w:highlight w:val="none"/>
                <w:lang w:bidi="ar"/>
              </w:rPr>
            </w:pPr>
            <w:r>
              <w:rPr>
                <w:bCs/>
                <w:color w:val="auto"/>
                <w:spacing w:val="-10"/>
                <w:sz w:val="24"/>
                <w:highlight w:val="none"/>
              </w:rPr>
              <w:t>本项目生产中无磨粉工序，产品葛根粉为块状，在内包装工序称重打包过程中产生</w:t>
            </w:r>
            <w:r>
              <w:rPr>
                <w:rFonts w:hint="eastAsia"/>
                <w:bCs/>
                <w:color w:val="auto"/>
                <w:spacing w:val="-10"/>
                <w:sz w:val="24"/>
                <w:highlight w:val="none"/>
              </w:rPr>
              <w:t>极少量</w:t>
            </w:r>
            <w:r>
              <w:rPr>
                <w:bCs/>
                <w:color w:val="auto"/>
                <w:spacing w:val="-10"/>
                <w:sz w:val="24"/>
                <w:highlight w:val="none"/>
              </w:rPr>
              <w:t>的颗粒物。内包装</w:t>
            </w:r>
            <w:r>
              <w:rPr>
                <w:color w:val="auto"/>
                <w:kern w:val="0"/>
                <w:sz w:val="24"/>
                <w:highlight w:val="none"/>
                <w:lang w:bidi="ar"/>
              </w:rPr>
              <w:t>在</w:t>
            </w:r>
            <w:r>
              <w:rPr>
                <w:bCs/>
                <w:color w:val="auto"/>
                <w:sz w:val="24"/>
                <w:highlight w:val="none"/>
              </w:rPr>
              <w:t>封闭</w:t>
            </w:r>
            <w:r>
              <w:rPr>
                <w:color w:val="auto"/>
                <w:kern w:val="0"/>
                <w:sz w:val="24"/>
                <w:highlight w:val="none"/>
                <w:lang w:bidi="ar"/>
              </w:rPr>
              <w:t>包装间内进行，产生的微量颗粒物经自然沉降至地面后定期清扫。</w:t>
            </w:r>
          </w:p>
          <w:p w14:paraId="701F5852">
            <w:pPr>
              <w:adjustRightInd w:val="0"/>
              <w:snapToGrid w:val="0"/>
              <w:spacing w:line="460" w:lineRule="exact"/>
              <w:ind w:firstLine="480" w:firstLineChars="200"/>
              <w:rPr>
                <w:color w:val="auto"/>
                <w:sz w:val="24"/>
                <w:szCs w:val="20"/>
                <w:highlight w:val="none"/>
              </w:rPr>
            </w:pPr>
            <w:r>
              <w:rPr>
                <w:color w:val="auto"/>
                <w:sz w:val="24"/>
                <w:szCs w:val="20"/>
                <w:highlight w:val="none"/>
              </w:rPr>
              <w:t>（2）废水处理设施废气G2</w:t>
            </w:r>
          </w:p>
          <w:p w14:paraId="05F0F761">
            <w:pPr>
              <w:adjustRightInd w:val="0"/>
              <w:snapToGrid w:val="0"/>
              <w:spacing w:line="460" w:lineRule="exact"/>
              <w:ind w:firstLine="480"/>
              <w:rPr>
                <w:color w:val="auto"/>
                <w:kern w:val="0"/>
                <w:sz w:val="24"/>
                <w:highlight w:val="none"/>
                <w:lang w:bidi="ar"/>
              </w:rPr>
            </w:pPr>
            <w:r>
              <w:rPr>
                <w:color w:val="auto"/>
                <w:sz w:val="24"/>
                <w:szCs w:val="20"/>
                <w:highlight w:val="none"/>
              </w:rPr>
              <w:t>本项目新建一座废水处理设施，运行过程会产生少量恶臭气体，主要污染物为硫化氢、氨、臭气浓度，设施加盖，臭气经专用管道引入绿化带排放</w:t>
            </w:r>
            <w:r>
              <w:rPr>
                <w:color w:val="auto"/>
                <w:kern w:val="0"/>
                <w:sz w:val="24"/>
                <w:highlight w:val="none"/>
                <w:lang w:bidi="ar"/>
              </w:rPr>
              <w:t>。</w:t>
            </w:r>
          </w:p>
          <w:p w14:paraId="162EB82E">
            <w:pPr>
              <w:adjustRightInd w:val="0"/>
              <w:snapToGrid w:val="0"/>
              <w:spacing w:line="460" w:lineRule="exact"/>
              <w:ind w:firstLine="480" w:firstLineChars="200"/>
              <w:rPr>
                <w:color w:val="auto"/>
                <w:sz w:val="24"/>
                <w:szCs w:val="20"/>
                <w:highlight w:val="none"/>
              </w:rPr>
            </w:pPr>
            <w:r>
              <w:rPr>
                <w:color w:val="auto"/>
                <w:sz w:val="24"/>
                <w:szCs w:val="20"/>
                <w:highlight w:val="none"/>
              </w:rPr>
              <w:t>（3）环境影响分析</w:t>
            </w:r>
          </w:p>
          <w:p w14:paraId="5506B305">
            <w:pPr>
              <w:adjustRightInd w:val="0"/>
              <w:snapToGrid w:val="0"/>
              <w:spacing w:line="460" w:lineRule="exact"/>
              <w:ind w:firstLine="480" w:firstLineChars="200"/>
              <w:rPr>
                <w:color w:val="auto"/>
                <w:kern w:val="0"/>
                <w:sz w:val="24"/>
                <w:highlight w:val="none"/>
                <w:lang w:bidi="ar"/>
              </w:rPr>
            </w:pPr>
            <w:r>
              <w:rPr>
                <w:color w:val="auto"/>
                <w:sz w:val="24"/>
                <w:szCs w:val="20"/>
                <w:highlight w:val="none"/>
              </w:rPr>
              <w:t>本项目产品内包装过程中产生的微量颗粒物通过采取车间密闭沉降措施后无组织排放满足《大气污染物综合排放标准》（DB 50/418-2016）表1中相应排放限值要求。废水处理设施通过采取设施加盖，臭气经专用管道引入绿化带排放，可满足《恶臭污染物排放标准》（GB14554-93）中无组织排放标准限值要求，本项目为季节性生产（10月</w:t>
            </w:r>
            <w:r>
              <w:rPr>
                <w:rFonts w:hint="eastAsia"/>
                <w:color w:val="auto"/>
                <w:sz w:val="24"/>
                <w:szCs w:val="20"/>
                <w:highlight w:val="none"/>
              </w:rPr>
              <w:t>～</w:t>
            </w:r>
            <w:r>
              <w:rPr>
                <w:color w:val="auto"/>
                <w:sz w:val="24"/>
                <w:szCs w:val="20"/>
                <w:highlight w:val="none"/>
              </w:rPr>
              <w:t>次年3月），对周边大气环境影响较小</w:t>
            </w:r>
            <w:r>
              <w:rPr>
                <w:color w:val="auto"/>
                <w:kern w:val="0"/>
                <w:sz w:val="24"/>
                <w:highlight w:val="none"/>
                <w:lang w:bidi="ar"/>
              </w:rPr>
              <w:t>。</w:t>
            </w:r>
          </w:p>
          <w:p w14:paraId="35AB8207">
            <w:pPr>
              <w:adjustRightInd w:val="0"/>
              <w:snapToGrid w:val="0"/>
              <w:spacing w:line="460" w:lineRule="exact"/>
              <w:rPr>
                <w:b/>
                <w:bCs/>
                <w:color w:val="auto"/>
                <w:sz w:val="24"/>
                <w:szCs w:val="20"/>
                <w:highlight w:val="none"/>
              </w:rPr>
            </w:pPr>
            <w:r>
              <w:rPr>
                <w:b/>
                <w:bCs/>
                <w:color w:val="auto"/>
                <w:sz w:val="24"/>
                <w:szCs w:val="20"/>
                <w:highlight w:val="none"/>
              </w:rPr>
              <w:t>4.2.1.2废气监测计划</w:t>
            </w:r>
          </w:p>
          <w:p w14:paraId="52DC0397">
            <w:pPr>
              <w:widowControl/>
              <w:spacing w:line="460" w:lineRule="exact"/>
              <w:ind w:firstLine="480" w:firstLineChars="200"/>
              <w:jc w:val="left"/>
              <w:rPr>
                <w:color w:val="auto"/>
                <w:sz w:val="24"/>
                <w:szCs w:val="20"/>
                <w:highlight w:val="none"/>
              </w:rPr>
            </w:pPr>
            <w:r>
              <w:rPr>
                <w:color w:val="auto"/>
                <w:sz w:val="24"/>
                <w:szCs w:val="20"/>
                <w:highlight w:val="none"/>
              </w:rPr>
              <w:t>本项目采用新鲜葛根生产葛根粉，属于农副食品加工业。</w:t>
            </w:r>
            <w:r>
              <w:rPr>
                <w:rFonts w:hint="eastAsia"/>
                <w:bCs/>
                <w:color w:val="auto"/>
                <w:spacing w:val="-10"/>
                <w:sz w:val="24"/>
                <w:highlight w:val="none"/>
              </w:rPr>
              <w:t>本项目实行排污许可登记管理，</w:t>
            </w:r>
            <w:r>
              <w:rPr>
                <w:rFonts w:hint="eastAsia"/>
                <w:color w:val="auto"/>
                <w:sz w:val="24"/>
                <w:szCs w:val="20"/>
                <w:highlight w:val="none"/>
              </w:rPr>
              <w:t>根据</w:t>
            </w:r>
            <w:r>
              <w:rPr>
                <w:bCs/>
                <w:color w:val="auto"/>
                <w:spacing w:val="-10"/>
                <w:sz w:val="24"/>
                <w:highlight w:val="none"/>
              </w:rPr>
              <w:t>《排污许可证申请与核发技术规范 农副食品加工工业一淀粉工业》（HJ860.2-2018），</w:t>
            </w:r>
            <w:r>
              <w:rPr>
                <w:rFonts w:hint="eastAsia"/>
                <w:bCs/>
                <w:color w:val="auto"/>
                <w:spacing w:val="-10"/>
                <w:sz w:val="24"/>
                <w:highlight w:val="none"/>
              </w:rPr>
              <w:t>无监测指标及频次具体要求。</w:t>
            </w:r>
            <w:r>
              <w:rPr>
                <w:color w:val="auto"/>
                <w:sz w:val="24"/>
                <w:szCs w:val="20"/>
                <w:highlight w:val="none"/>
              </w:rPr>
              <w:t>根据《排污单位自行监测技术指南  农副食品加工业》（HJ986-2018），本项目废气监测计划见表4.2-1。</w:t>
            </w:r>
          </w:p>
          <w:p w14:paraId="44F666AE">
            <w:pPr>
              <w:adjustRightInd w:val="0"/>
              <w:snapToGrid w:val="0"/>
              <w:spacing w:line="460" w:lineRule="exact"/>
              <w:ind w:firstLine="482" w:firstLineChars="200"/>
              <w:jc w:val="center"/>
              <w:rPr>
                <w:b/>
                <w:bCs/>
                <w:color w:val="auto"/>
                <w:sz w:val="24"/>
                <w:szCs w:val="20"/>
                <w:highlight w:val="none"/>
              </w:rPr>
            </w:pPr>
            <w:r>
              <w:rPr>
                <w:b/>
                <w:bCs/>
                <w:color w:val="auto"/>
                <w:sz w:val="24"/>
                <w:szCs w:val="20"/>
                <w:highlight w:val="none"/>
              </w:rPr>
              <w:t>表4.2-1 废气环境监测计划表</w:t>
            </w:r>
          </w:p>
          <w:tbl>
            <w:tblPr>
              <w:tblStyle w:val="18"/>
              <w:tblW w:w="824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73"/>
              <w:gridCol w:w="1500"/>
              <w:gridCol w:w="3576"/>
              <w:gridCol w:w="1791"/>
            </w:tblGrid>
            <w:tr w14:paraId="2BFD7E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95" w:hRule="atLeast"/>
                <w:jc w:val="center"/>
              </w:trPr>
              <w:tc>
                <w:tcPr>
                  <w:tcW w:w="833" w:type="pct"/>
                  <w:tcBorders>
                    <w:top w:val="single" w:color="000000" w:sz="6" w:space="0"/>
                    <w:left w:val="single" w:color="000000" w:sz="0" w:space="0"/>
                  </w:tcBorders>
                  <w:vAlign w:val="center"/>
                </w:tcPr>
                <w:p w14:paraId="2EC2837F">
                  <w:pPr>
                    <w:adjustRightInd w:val="0"/>
                    <w:snapToGrid w:val="0"/>
                    <w:spacing w:line="300" w:lineRule="exact"/>
                    <w:jc w:val="center"/>
                    <w:rPr>
                      <w:color w:val="auto"/>
                      <w:kern w:val="0"/>
                      <w:szCs w:val="21"/>
                      <w:highlight w:val="none"/>
                    </w:rPr>
                  </w:pPr>
                  <w:r>
                    <w:rPr>
                      <w:color w:val="auto"/>
                      <w:kern w:val="0"/>
                      <w:szCs w:val="21"/>
                      <w:highlight w:val="none"/>
                    </w:rPr>
                    <w:t>监测项目</w:t>
                  </w:r>
                </w:p>
              </w:tc>
              <w:tc>
                <w:tcPr>
                  <w:tcW w:w="910" w:type="pct"/>
                  <w:tcBorders>
                    <w:top w:val="single" w:color="000000" w:sz="6" w:space="0"/>
                  </w:tcBorders>
                  <w:vAlign w:val="center"/>
                </w:tcPr>
                <w:p w14:paraId="54FA60EE">
                  <w:pPr>
                    <w:adjustRightInd w:val="0"/>
                    <w:snapToGrid w:val="0"/>
                    <w:spacing w:line="300" w:lineRule="exact"/>
                    <w:jc w:val="center"/>
                    <w:rPr>
                      <w:color w:val="auto"/>
                      <w:kern w:val="0"/>
                      <w:szCs w:val="21"/>
                      <w:highlight w:val="none"/>
                    </w:rPr>
                  </w:pPr>
                  <w:r>
                    <w:rPr>
                      <w:color w:val="auto"/>
                      <w:kern w:val="0"/>
                      <w:szCs w:val="21"/>
                      <w:highlight w:val="none"/>
                    </w:rPr>
                    <w:t>监测点位</w:t>
                  </w:r>
                </w:p>
              </w:tc>
              <w:tc>
                <w:tcPr>
                  <w:tcW w:w="2169" w:type="pct"/>
                  <w:tcBorders>
                    <w:top w:val="single" w:color="000000" w:sz="6" w:space="0"/>
                    <w:right w:val="single" w:color="000000" w:sz="6" w:space="0"/>
                  </w:tcBorders>
                  <w:vAlign w:val="center"/>
                </w:tcPr>
                <w:p w14:paraId="1FFF34C9">
                  <w:pPr>
                    <w:adjustRightInd w:val="0"/>
                    <w:snapToGrid w:val="0"/>
                    <w:spacing w:line="300" w:lineRule="exact"/>
                    <w:jc w:val="center"/>
                    <w:rPr>
                      <w:color w:val="auto"/>
                      <w:kern w:val="0"/>
                      <w:szCs w:val="21"/>
                      <w:highlight w:val="none"/>
                    </w:rPr>
                  </w:pPr>
                  <w:r>
                    <w:rPr>
                      <w:color w:val="auto"/>
                      <w:kern w:val="0"/>
                      <w:szCs w:val="21"/>
                      <w:highlight w:val="none"/>
                    </w:rPr>
                    <w:t>监测指标</w:t>
                  </w:r>
                </w:p>
              </w:tc>
              <w:tc>
                <w:tcPr>
                  <w:tcW w:w="1086" w:type="pct"/>
                  <w:tcBorders>
                    <w:top w:val="single" w:color="000000" w:sz="6" w:space="0"/>
                    <w:right w:val="single" w:color="000000" w:sz="6" w:space="0"/>
                  </w:tcBorders>
                  <w:vAlign w:val="center"/>
                </w:tcPr>
                <w:p w14:paraId="1D482D92">
                  <w:pPr>
                    <w:adjustRightInd w:val="0"/>
                    <w:snapToGrid w:val="0"/>
                    <w:spacing w:line="300" w:lineRule="exact"/>
                    <w:jc w:val="center"/>
                    <w:rPr>
                      <w:color w:val="auto"/>
                      <w:kern w:val="0"/>
                      <w:szCs w:val="21"/>
                      <w:highlight w:val="none"/>
                    </w:rPr>
                  </w:pPr>
                  <w:r>
                    <w:rPr>
                      <w:color w:val="auto"/>
                      <w:kern w:val="0"/>
                      <w:szCs w:val="21"/>
                      <w:highlight w:val="none"/>
                    </w:rPr>
                    <w:t>监测频次</w:t>
                  </w:r>
                </w:p>
              </w:tc>
            </w:tr>
            <w:tr w14:paraId="2DF1DB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8" w:hRule="atLeast"/>
                <w:jc w:val="center"/>
              </w:trPr>
              <w:tc>
                <w:tcPr>
                  <w:tcW w:w="833" w:type="pct"/>
                  <w:tcBorders>
                    <w:left w:val="single" w:color="000000" w:sz="4" w:space="0"/>
                    <w:bottom w:val="single" w:color="000000" w:sz="6" w:space="0"/>
                  </w:tcBorders>
                  <w:vAlign w:val="center"/>
                </w:tcPr>
                <w:p w14:paraId="11CFDD97">
                  <w:pPr>
                    <w:adjustRightInd w:val="0"/>
                    <w:snapToGrid w:val="0"/>
                    <w:spacing w:line="300" w:lineRule="exact"/>
                    <w:jc w:val="center"/>
                    <w:rPr>
                      <w:color w:val="auto"/>
                      <w:kern w:val="0"/>
                      <w:szCs w:val="21"/>
                      <w:highlight w:val="none"/>
                    </w:rPr>
                  </w:pPr>
                  <w:r>
                    <w:rPr>
                      <w:color w:val="auto"/>
                      <w:kern w:val="0"/>
                      <w:szCs w:val="21"/>
                      <w:highlight w:val="none"/>
                    </w:rPr>
                    <w:t>废气</w:t>
                  </w:r>
                </w:p>
              </w:tc>
              <w:tc>
                <w:tcPr>
                  <w:tcW w:w="910" w:type="pct"/>
                  <w:tcBorders>
                    <w:bottom w:val="single" w:color="000000" w:sz="6" w:space="0"/>
                  </w:tcBorders>
                  <w:vAlign w:val="center"/>
                </w:tcPr>
                <w:p w14:paraId="6D74573B">
                  <w:pPr>
                    <w:adjustRightInd w:val="0"/>
                    <w:snapToGrid w:val="0"/>
                    <w:spacing w:line="300" w:lineRule="exact"/>
                    <w:jc w:val="center"/>
                    <w:rPr>
                      <w:color w:val="auto"/>
                      <w:kern w:val="0"/>
                      <w:szCs w:val="21"/>
                      <w:highlight w:val="none"/>
                    </w:rPr>
                  </w:pPr>
                  <w:r>
                    <w:rPr>
                      <w:color w:val="auto"/>
                      <w:kern w:val="0"/>
                      <w:szCs w:val="21"/>
                      <w:highlight w:val="none"/>
                    </w:rPr>
                    <w:t>厂界</w:t>
                  </w:r>
                </w:p>
              </w:tc>
              <w:tc>
                <w:tcPr>
                  <w:tcW w:w="2169" w:type="pct"/>
                  <w:tcBorders>
                    <w:bottom w:val="single" w:color="000000" w:sz="6" w:space="0"/>
                    <w:right w:val="single" w:color="000000" w:sz="6" w:space="0"/>
                  </w:tcBorders>
                  <w:vAlign w:val="center"/>
                </w:tcPr>
                <w:p w14:paraId="55DBFFFD">
                  <w:pPr>
                    <w:adjustRightInd w:val="0"/>
                    <w:snapToGrid w:val="0"/>
                    <w:spacing w:line="300" w:lineRule="exact"/>
                    <w:jc w:val="center"/>
                    <w:rPr>
                      <w:color w:val="auto"/>
                      <w:kern w:val="0"/>
                      <w:szCs w:val="21"/>
                      <w:highlight w:val="none"/>
                    </w:rPr>
                  </w:pPr>
                  <w:r>
                    <w:rPr>
                      <w:color w:val="auto"/>
                      <w:kern w:val="0"/>
                      <w:szCs w:val="21"/>
                      <w:highlight w:val="none"/>
                    </w:rPr>
                    <w:t>颗粒物、臭气浓度、氨、硫化氢</w:t>
                  </w:r>
                </w:p>
              </w:tc>
              <w:tc>
                <w:tcPr>
                  <w:tcW w:w="1086" w:type="pct"/>
                  <w:tcBorders>
                    <w:bottom w:val="single" w:color="000000" w:sz="6" w:space="0"/>
                    <w:right w:val="single" w:color="000000" w:sz="6" w:space="0"/>
                  </w:tcBorders>
                  <w:vAlign w:val="center"/>
                </w:tcPr>
                <w:p w14:paraId="03B7081A">
                  <w:pPr>
                    <w:adjustRightInd w:val="0"/>
                    <w:snapToGrid w:val="0"/>
                    <w:spacing w:line="300" w:lineRule="exact"/>
                    <w:jc w:val="center"/>
                    <w:rPr>
                      <w:color w:val="auto"/>
                      <w:kern w:val="0"/>
                      <w:szCs w:val="21"/>
                      <w:highlight w:val="none"/>
                    </w:rPr>
                  </w:pPr>
                  <w:r>
                    <w:rPr>
                      <w:color w:val="auto"/>
                      <w:kern w:val="0"/>
                      <w:szCs w:val="21"/>
                      <w:highlight w:val="none"/>
                    </w:rPr>
                    <w:t>1次/半年</w:t>
                  </w:r>
                </w:p>
              </w:tc>
            </w:tr>
          </w:tbl>
          <w:p w14:paraId="44D8C573">
            <w:pPr>
              <w:adjustRightInd w:val="0"/>
              <w:snapToGrid w:val="0"/>
              <w:spacing w:line="460" w:lineRule="exact"/>
              <w:rPr>
                <w:b/>
                <w:color w:val="auto"/>
                <w:spacing w:val="-10"/>
                <w:sz w:val="24"/>
                <w:highlight w:val="none"/>
              </w:rPr>
            </w:pPr>
            <w:r>
              <w:rPr>
                <w:b/>
                <w:color w:val="auto"/>
                <w:spacing w:val="-10"/>
                <w:sz w:val="24"/>
                <w:highlight w:val="none"/>
              </w:rPr>
              <w:t>4.2.2运营期废水</w:t>
            </w:r>
          </w:p>
          <w:p w14:paraId="04371973">
            <w:pPr>
              <w:adjustRightInd w:val="0"/>
              <w:snapToGrid w:val="0"/>
              <w:spacing w:line="460" w:lineRule="exact"/>
              <w:rPr>
                <w:b/>
                <w:color w:val="auto"/>
                <w:spacing w:val="-10"/>
                <w:sz w:val="24"/>
                <w:highlight w:val="none"/>
              </w:rPr>
            </w:pPr>
            <w:r>
              <w:rPr>
                <w:b/>
                <w:color w:val="auto"/>
                <w:spacing w:val="-10"/>
                <w:sz w:val="24"/>
                <w:highlight w:val="none"/>
              </w:rPr>
              <w:t>4.2.2.1废水产生情况</w:t>
            </w:r>
          </w:p>
          <w:p w14:paraId="7745D1D5">
            <w:pPr>
              <w:widowControl/>
              <w:spacing w:line="460" w:lineRule="exact"/>
              <w:ind w:firstLine="440" w:firstLineChars="200"/>
              <w:jc w:val="left"/>
              <w:rPr>
                <w:color w:val="auto"/>
                <w:sz w:val="24"/>
                <w:highlight w:val="none"/>
              </w:rPr>
            </w:pPr>
            <w:r>
              <w:rPr>
                <w:bCs/>
                <w:color w:val="auto"/>
                <w:spacing w:val="-10"/>
                <w:sz w:val="24"/>
                <w:highlight w:val="none"/>
              </w:rPr>
              <w:t>运营期废水主要为生产废水和生活污水。</w:t>
            </w:r>
            <w:r>
              <w:rPr>
                <w:color w:val="auto"/>
                <w:sz w:val="24"/>
                <w:highlight w:val="none"/>
              </w:rPr>
              <w:t>根据2.9.1和2.9.2本项目给排水分析可知：</w:t>
            </w:r>
          </w:p>
          <w:p w14:paraId="329071E9">
            <w:pPr>
              <w:widowControl/>
              <w:spacing w:line="460" w:lineRule="exact"/>
              <w:ind w:firstLine="480"/>
              <w:jc w:val="left"/>
              <w:rPr>
                <w:b/>
                <w:bCs/>
                <w:color w:val="auto"/>
                <w:sz w:val="24"/>
                <w:highlight w:val="none"/>
              </w:rPr>
            </w:pPr>
            <w:r>
              <w:rPr>
                <w:b/>
                <w:bCs/>
                <w:color w:val="auto"/>
                <w:sz w:val="24"/>
                <w:highlight w:val="none"/>
              </w:rPr>
              <w:t>（1）生产废水</w:t>
            </w:r>
          </w:p>
          <w:p w14:paraId="56D73A89">
            <w:pPr>
              <w:widowControl/>
              <w:spacing w:line="460" w:lineRule="exact"/>
              <w:ind w:firstLine="480"/>
              <w:jc w:val="left"/>
              <w:rPr>
                <w:color w:val="auto"/>
                <w:sz w:val="24"/>
                <w:szCs w:val="21"/>
                <w:highlight w:val="none"/>
              </w:rPr>
            </w:pPr>
            <w:r>
              <w:rPr>
                <w:color w:val="auto"/>
                <w:sz w:val="24"/>
                <w:szCs w:val="21"/>
                <w:highlight w:val="none"/>
              </w:rPr>
              <w:t>一级清洗废水W1产生量为378m</w:t>
            </w:r>
            <w:r>
              <w:rPr>
                <w:color w:val="auto"/>
                <w:sz w:val="24"/>
                <w:szCs w:val="21"/>
                <w:highlight w:val="none"/>
                <w:vertAlign w:val="superscript"/>
              </w:rPr>
              <w:t>3</w:t>
            </w:r>
            <w:r>
              <w:rPr>
                <w:color w:val="auto"/>
                <w:sz w:val="24"/>
                <w:szCs w:val="21"/>
                <w:highlight w:val="none"/>
              </w:rPr>
              <w:t>/a（3.15m</w:t>
            </w:r>
            <w:r>
              <w:rPr>
                <w:color w:val="auto"/>
                <w:sz w:val="24"/>
                <w:szCs w:val="21"/>
                <w:highlight w:val="none"/>
                <w:vertAlign w:val="superscript"/>
              </w:rPr>
              <w:t>3</w:t>
            </w:r>
            <w:r>
              <w:rPr>
                <w:color w:val="auto"/>
                <w:sz w:val="24"/>
                <w:szCs w:val="21"/>
                <w:highlight w:val="none"/>
              </w:rPr>
              <w:t>/d）；</w:t>
            </w:r>
          </w:p>
          <w:p w14:paraId="300140B8">
            <w:pPr>
              <w:widowControl/>
              <w:spacing w:line="460" w:lineRule="exact"/>
              <w:ind w:firstLine="480"/>
              <w:jc w:val="left"/>
              <w:rPr>
                <w:color w:val="auto"/>
                <w:sz w:val="24"/>
                <w:szCs w:val="21"/>
                <w:highlight w:val="none"/>
              </w:rPr>
            </w:pPr>
            <w:r>
              <w:rPr>
                <w:color w:val="auto"/>
                <w:sz w:val="24"/>
                <w:szCs w:val="21"/>
                <w:highlight w:val="none"/>
              </w:rPr>
              <w:t>二级清洗废水W2产生量96m</w:t>
            </w:r>
            <w:r>
              <w:rPr>
                <w:color w:val="auto"/>
                <w:sz w:val="24"/>
                <w:szCs w:val="21"/>
                <w:highlight w:val="none"/>
                <w:vertAlign w:val="superscript"/>
              </w:rPr>
              <w:t>3</w:t>
            </w:r>
            <w:r>
              <w:rPr>
                <w:color w:val="auto"/>
                <w:sz w:val="24"/>
                <w:szCs w:val="21"/>
                <w:highlight w:val="none"/>
              </w:rPr>
              <w:t>/a（0.8m</w:t>
            </w:r>
            <w:r>
              <w:rPr>
                <w:color w:val="auto"/>
                <w:sz w:val="24"/>
                <w:szCs w:val="21"/>
                <w:highlight w:val="none"/>
                <w:vertAlign w:val="superscript"/>
              </w:rPr>
              <w:t>3</w:t>
            </w:r>
            <w:r>
              <w:rPr>
                <w:color w:val="auto"/>
                <w:sz w:val="24"/>
                <w:szCs w:val="21"/>
                <w:highlight w:val="none"/>
              </w:rPr>
              <w:t>/d）；</w:t>
            </w:r>
          </w:p>
          <w:p w14:paraId="15C3BCDE">
            <w:pPr>
              <w:widowControl/>
              <w:spacing w:line="460" w:lineRule="exact"/>
              <w:ind w:firstLine="480"/>
              <w:jc w:val="left"/>
              <w:rPr>
                <w:color w:val="auto"/>
                <w:sz w:val="24"/>
                <w:szCs w:val="21"/>
                <w:highlight w:val="none"/>
              </w:rPr>
            </w:pPr>
            <w:r>
              <w:rPr>
                <w:color w:val="auto"/>
                <w:sz w:val="24"/>
                <w:szCs w:val="21"/>
                <w:highlight w:val="none"/>
              </w:rPr>
              <w:t>一</w:t>
            </w:r>
            <w:r>
              <w:rPr>
                <w:rFonts w:hint="eastAsia"/>
                <w:color w:val="auto"/>
                <w:sz w:val="24"/>
                <w:szCs w:val="21"/>
                <w:highlight w:val="none"/>
              </w:rPr>
              <w:t>级</w:t>
            </w:r>
            <w:r>
              <w:rPr>
                <w:color w:val="auto"/>
                <w:sz w:val="24"/>
                <w:szCs w:val="21"/>
                <w:highlight w:val="none"/>
              </w:rPr>
              <w:t>沉淀废水W3产生量为768m</w:t>
            </w:r>
            <w:r>
              <w:rPr>
                <w:color w:val="auto"/>
                <w:sz w:val="24"/>
                <w:szCs w:val="21"/>
                <w:highlight w:val="none"/>
                <w:vertAlign w:val="superscript"/>
              </w:rPr>
              <w:t>3</w:t>
            </w:r>
            <w:r>
              <w:rPr>
                <w:color w:val="auto"/>
                <w:sz w:val="24"/>
                <w:szCs w:val="21"/>
                <w:highlight w:val="none"/>
              </w:rPr>
              <w:t>/a（6.4m</w:t>
            </w:r>
            <w:r>
              <w:rPr>
                <w:color w:val="auto"/>
                <w:sz w:val="24"/>
                <w:szCs w:val="21"/>
                <w:highlight w:val="none"/>
                <w:vertAlign w:val="superscript"/>
              </w:rPr>
              <w:t>3</w:t>
            </w:r>
            <w:r>
              <w:rPr>
                <w:color w:val="auto"/>
                <w:sz w:val="24"/>
                <w:szCs w:val="21"/>
                <w:highlight w:val="none"/>
              </w:rPr>
              <w:t>/d）；</w:t>
            </w:r>
          </w:p>
          <w:p w14:paraId="52EEE538">
            <w:pPr>
              <w:widowControl/>
              <w:spacing w:line="460" w:lineRule="exact"/>
              <w:ind w:firstLine="480"/>
              <w:jc w:val="left"/>
              <w:rPr>
                <w:color w:val="auto"/>
                <w:sz w:val="24"/>
                <w:szCs w:val="21"/>
                <w:highlight w:val="none"/>
              </w:rPr>
            </w:pPr>
            <w:r>
              <w:rPr>
                <w:color w:val="auto"/>
                <w:sz w:val="24"/>
                <w:szCs w:val="21"/>
                <w:highlight w:val="none"/>
              </w:rPr>
              <w:t>二</w:t>
            </w:r>
            <w:r>
              <w:rPr>
                <w:rFonts w:hint="eastAsia"/>
                <w:color w:val="auto"/>
                <w:sz w:val="24"/>
                <w:szCs w:val="21"/>
                <w:highlight w:val="none"/>
              </w:rPr>
              <w:t>级</w:t>
            </w:r>
            <w:r>
              <w:rPr>
                <w:color w:val="auto"/>
                <w:sz w:val="24"/>
                <w:szCs w:val="21"/>
                <w:highlight w:val="none"/>
              </w:rPr>
              <w:t>沉淀废水W4产生量为144m</w:t>
            </w:r>
            <w:r>
              <w:rPr>
                <w:color w:val="auto"/>
                <w:sz w:val="24"/>
                <w:szCs w:val="21"/>
                <w:highlight w:val="none"/>
                <w:vertAlign w:val="superscript"/>
              </w:rPr>
              <w:t>3</w:t>
            </w:r>
            <w:r>
              <w:rPr>
                <w:color w:val="auto"/>
                <w:sz w:val="24"/>
                <w:szCs w:val="21"/>
                <w:highlight w:val="none"/>
              </w:rPr>
              <w:t>/a（1.2m</w:t>
            </w:r>
            <w:r>
              <w:rPr>
                <w:color w:val="auto"/>
                <w:sz w:val="24"/>
                <w:szCs w:val="21"/>
                <w:highlight w:val="none"/>
                <w:vertAlign w:val="superscript"/>
              </w:rPr>
              <w:t>3</w:t>
            </w:r>
            <w:r>
              <w:rPr>
                <w:color w:val="auto"/>
                <w:sz w:val="24"/>
                <w:szCs w:val="21"/>
                <w:highlight w:val="none"/>
              </w:rPr>
              <w:t>/d）。</w:t>
            </w:r>
          </w:p>
          <w:p w14:paraId="25E8A0EA">
            <w:pPr>
              <w:widowControl/>
              <w:spacing w:line="460" w:lineRule="exact"/>
              <w:ind w:firstLine="480"/>
              <w:jc w:val="left"/>
              <w:rPr>
                <w:b/>
                <w:bCs/>
                <w:color w:val="auto"/>
                <w:sz w:val="24"/>
                <w:szCs w:val="21"/>
                <w:highlight w:val="none"/>
              </w:rPr>
            </w:pPr>
            <w:r>
              <w:rPr>
                <w:b/>
                <w:bCs/>
                <w:color w:val="auto"/>
                <w:sz w:val="24"/>
                <w:szCs w:val="21"/>
                <w:highlight w:val="none"/>
              </w:rPr>
              <w:t>（2）其他环节废水</w:t>
            </w:r>
          </w:p>
          <w:p w14:paraId="13FFD9E4">
            <w:pPr>
              <w:widowControl/>
              <w:spacing w:line="460" w:lineRule="exact"/>
              <w:ind w:firstLine="480"/>
              <w:jc w:val="left"/>
              <w:rPr>
                <w:color w:val="auto"/>
                <w:sz w:val="24"/>
                <w:szCs w:val="21"/>
                <w:highlight w:val="none"/>
              </w:rPr>
            </w:pPr>
            <w:r>
              <w:rPr>
                <w:color w:val="auto"/>
                <w:sz w:val="24"/>
                <w:szCs w:val="21"/>
                <w:highlight w:val="none"/>
              </w:rPr>
              <w:t>地面清洁废水W5产生量为28.577m</w:t>
            </w:r>
            <w:r>
              <w:rPr>
                <w:color w:val="auto"/>
                <w:sz w:val="24"/>
                <w:szCs w:val="21"/>
                <w:highlight w:val="none"/>
                <w:vertAlign w:val="superscript"/>
              </w:rPr>
              <w:t>3</w:t>
            </w:r>
            <w:r>
              <w:rPr>
                <w:color w:val="auto"/>
                <w:sz w:val="24"/>
                <w:szCs w:val="21"/>
                <w:highlight w:val="none"/>
              </w:rPr>
              <w:t>/a（0.636m</w:t>
            </w:r>
            <w:r>
              <w:rPr>
                <w:color w:val="auto"/>
                <w:sz w:val="24"/>
                <w:szCs w:val="21"/>
                <w:highlight w:val="none"/>
                <w:vertAlign w:val="superscript"/>
              </w:rPr>
              <w:t>3</w:t>
            </w:r>
            <w:r>
              <w:rPr>
                <w:color w:val="auto"/>
                <w:sz w:val="24"/>
                <w:szCs w:val="21"/>
                <w:highlight w:val="none"/>
              </w:rPr>
              <w:t>/d）；</w:t>
            </w:r>
          </w:p>
          <w:p w14:paraId="4F0D7850">
            <w:pPr>
              <w:widowControl/>
              <w:spacing w:line="460" w:lineRule="exact"/>
              <w:ind w:firstLine="480"/>
              <w:jc w:val="left"/>
              <w:rPr>
                <w:color w:val="auto"/>
                <w:sz w:val="24"/>
                <w:szCs w:val="21"/>
                <w:highlight w:val="none"/>
              </w:rPr>
            </w:pPr>
            <w:r>
              <w:rPr>
                <w:bCs/>
                <w:color w:val="auto"/>
                <w:sz w:val="24"/>
                <w:highlight w:val="none"/>
              </w:rPr>
              <w:t>设备</w:t>
            </w:r>
            <w:r>
              <w:rPr>
                <w:color w:val="auto"/>
                <w:sz w:val="24"/>
                <w:szCs w:val="21"/>
                <w:highlight w:val="none"/>
              </w:rPr>
              <w:t>清洗废水W6产生量为10.8m</w:t>
            </w:r>
            <w:r>
              <w:rPr>
                <w:color w:val="auto"/>
                <w:sz w:val="24"/>
                <w:szCs w:val="21"/>
                <w:highlight w:val="none"/>
                <w:vertAlign w:val="superscript"/>
              </w:rPr>
              <w:t>3</w:t>
            </w:r>
            <w:r>
              <w:rPr>
                <w:color w:val="auto"/>
                <w:sz w:val="24"/>
                <w:szCs w:val="21"/>
                <w:highlight w:val="none"/>
              </w:rPr>
              <w:t>/a（0.45</w:t>
            </w:r>
            <w:r>
              <w:rPr>
                <w:bCs/>
                <w:color w:val="auto"/>
                <w:sz w:val="24"/>
                <w:highlight w:val="none"/>
              </w:rPr>
              <w:t>m</w:t>
            </w:r>
            <w:r>
              <w:rPr>
                <w:bCs/>
                <w:color w:val="auto"/>
                <w:sz w:val="24"/>
                <w:highlight w:val="none"/>
                <w:vertAlign w:val="superscript"/>
              </w:rPr>
              <w:t>3</w:t>
            </w:r>
            <w:r>
              <w:rPr>
                <w:bCs/>
                <w:color w:val="auto"/>
                <w:sz w:val="24"/>
                <w:highlight w:val="none"/>
              </w:rPr>
              <w:t>/d</w:t>
            </w:r>
            <w:r>
              <w:rPr>
                <w:color w:val="auto"/>
                <w:sz w:val="24"/>
                <w:szCs w:val="21"/>
                <w:highlight w:val="none"/>
              </w:rPr>
              <w:t>）。</w:t>
            </w:r>
          </w:p>
          <w:p w14:paraId="5CF57F88">
            <w:pPr>
              <w:widowControl/>
              <w:spacing w:line="460" w:lineRule="exact"/>
              <w:ind w:firstLine="482" w:firstLineChars="200"/>
              <w:jc w:val="left"/>
              <w:rPr>
                <w:b/>
                <w:bCs/>
                <w:color w:val="auto"/>
                <w:sz w:val="24"/>
                <w:highlight w:val="none"/>
              </w:rPr>
            </w:pPr>
            <w:r>
              <w:rPr>
                <w:b/>
                <w:bCs/>
                <w:color w:val="auto"/>
                <w:sz w:val="24"/>
                <w:highlight w:val="none"/>
              </w:rPr>
              <w:t>（3）生活污水</w:t>
            </w:r>
          </w:p>
          <w:p w14:paraId="718FEFC0">
            <w:pPr>
              <w:adjustRightInd w:val="0"/>
              <w:snapToGrid w:val="0"/>
              <w:spacing w:line="460" w:lineRule="exact"/>
              <w:ind w:firstLine="480" w:firstLineChars="200"/>
              <w:rPr>
                <w:color w:val="auto"/>
                <w:sz w:val="24"/>
                <w:szCs w:val="21"/>
                <w:highlight w:val="none"/>
              </w:rPr>
            </w:pPr>
            <w:r>
              <w:rPr>
                <w:color w:val="auto"/>
                <w:sz w:val="24"/>
                <w:szCs w:val="21"/>
                <w:highlight w:val="none"/>
              </w:rPr>
              <w:t>本项目劳动定员10人，年工作120天。生活用水总量为60 m</w:t>
            </w:r>
            <w:r>
              <w:rPr>
                <w:color w:val="auto"/>
                <w:sz w:val="24"/>
                <w:szCs w:val="21"/>
                <w:highlight w:val="none"/>
                <w:vertAlign w:val="superscript"/>
              </w:rPr>
              <w:t>3</w:t>
            </w:r>
            <w:r>
              <w:rPr>
                <w:color w:val="auto"/>
                <w:sz w:val="24"/>
                <w:szCs w:val="21"/>
                <w:highlight w:val="none"/>
              </w:rPr>
              <w:t>/a（0.5 m</w:t>
            </w:r>
            <w:r>
              <w:rPr>
                <w:color w:val="auto"/>
                <w:sz w:val="24"/>
                <w:szCs w:val="21"/>
                <w:highlight w:val="none"/>
                <w:vertAlign w:val="superscript"/>
              </w:rPr>
              <w:t>3</w:t>
            </w:r>
            <w:r>
              <w:rPr>
                <w:color w:val="auto"/>
                <w:sz w:val="24"/>
                <w:szCs w:val="21"/>
                <w:highlight w:val="none"/>
              </w:rPr>
              <w:t>/d），排污系数按0.85计，则生活污水W7产生量为51 m</w:t>
            </w:r>
            <w:r>
              <w:rPr>
                <w:color w:val="auto"/>
                <w:sz w:val="24"/>
                <w:szCs w:val="21"/>
                <w:highlight w:val="none"/>
                <w:vertAlign w:val="superscript"/>
              </w:rPr>
              <w:t>3</w:t>
            </w:r>
            <w:r>
              <w:rPr>
                <w:color w:val="auto"/>
                <w:sz w:val="24"/>
                <w:szCs w:val="21"/>
                <w:highlight w:val="none"/>
              </w:rPr>
              <w:t>/a（0.425 m</w:t>
            </w:r>
            <w:r>
              <w:rPr>
                <w:color w:val="auto"/>
                <w:sz w:val="24"/>
                <w:szCs w:val="21"/>
                <w:highlight w:val="none"/>
                <w:vertAlign w:val="superscript"/>
              </w:rPr>
              <w:t>3</w:t>
            </w:r>
            <w:r>
              <w:rPr>
                <w:color w:val="auto"/>
                <w:sz w:val="24"/>
                <w:szCs w:val="21"/>
                <w:highlight w:val="none"/>
              </w:rPr>
              <w:t>/d）。</w:t>
            </w:r>
          </w:p>
          <w:p w14:paraId="01404B8F">
            <w:pPr>
              <w:widowControl/>
              <w:spacing w:line="460" w:lineRule="exact"/>
              <w:ind w:firstLine="480" w:firstLineChars="200"/>
              <w:jc w:val="left"/>
              <w:rPr>
                <w:color w:val="auto"/>
                <w:sz w:val="24"/>
                <w:highlight w:val="none"/>
              </w:rPr>
            </w:pPr>
            <w:r>
              <w:rPr>
                <w:color w:val="auto"/>
                <w:sz w:val="24"/>
                <w:highlight w:val="none"/>
              </w:rPr>
              <w:t>本项目以新鲜葛根为原料生产葛根粉，属于以其他淀粉质原料生产淀粉产品，根据《</w:t>
            </w:r>
            <w:r>
              <w:rPr>
                <w:color w:val="auto"/>
                <w:kern w:val="0"/>
                <w:sz w:val="24"/>
                <w:highlight w:val="none"/>
                <w:lang w:bidi="ar"/>
              </w:rPr>
              <w:t>污染源源强核算技术指南  农副食品加工工业</w:t>
            </w:r>
            <w:r>
              <w:rPr>
                <w:rFonts w:hint="eastAsia"/>
                <w:color w:val="auto"/>
                <w:kern w:val="0"/>
                <w:sz w:val="24"/>
                <w:highlight w:val="none"/>
                <w:lang w:bidi="ar"/>
              </w:rPr>
              <w:t>－</w:t>
            </w:r>
            <w:r>
              <w:rPr>
                <w:color w:val="auto"/>
                <w:kern w:val="0"/>
                <w:sz w:val="24"/>
                <w:highlight w:val="none"/>
                <w:lang w:bidi="ar"/>
              </w:rPr>
              <w:t>淀粉行业</w:t>
            </w:r>
            <w:r>
              <w:rPr>
                <w:color w:val="auto"/>
                <w:sz w:val="24"/>
                <w:highlight w:val="none"/>
              </w:rPr>
              <w:t>》（HJ996.2-2018）表B.2，其他淀粉产污系数参照表B.1中马铃薯日处理量≥100t对应的产污系数，调整系数为2.0。因此本项目废水源强计算产污系数见表4.2-</w:t>
            </w:r>
            <w:r>
              <w:rPr>
                <w:rFonts w:hint="eastAsia"/>
                <w:color w:val="auto"/>
                <w:sz w:val="24"/>
                <w:highlight w:val="none"/>
              </w:rPr>
              <w:t>2</w:t>
            </w:r>
            <w:r>
              <w:rPr>
                <w:color w:val="auto"/>
                <w:sz w:val="24"/>
                <w:highlight w:val="none"/>
              </w:rPr>
              <w:t>。</w:t>
            </w:r>
          </w:p>
          <w:p w14:paraId="535CDF4A">
            <w:pPr>
              <w:widowControl/>
              <w:spacing w:line="460" w:lineRule="exact"/>
              <w:jc w:val="center"/>
              <w:rPr>
                <w:color w:val="auto"/>
                <w:sz w:val="24"/>
                <w:highlight w:val="none"/>
              </w:rPr>
            </w:pPr>
            <w:r>
              <w:rPr>
                <w:color w:val="auto"/>
                <w:sz w:val="24"/>
                <w:highlight w:val="none"/>
              </w:rPr>
              <w:t>表4.2-</w:t>
            </w:r>
            <w:r>
              <w:rPr>
                <w:rFonts w:hint="eastAsia"/>
                <w:color w:val="auto"/>
                <w:sz w:val="24"/>
                <w:highlight w:val="none"/>
              </w:rPr>
              <w:t>2</w:t>
            </w:r>
            <w:r>
              <w:rPr>
                <w:color w:val="auto"/>
                <w:sz w:val="24"/>
                <w:highlight w:val="none"/>
              </w:rPr>
              <w:t xml:space="preserve"> 本项目生产废水源强计算产污系数表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422"/>
              <w:gridCol w:w="809"/>
              <w:gridCol w:w="2018"/>
              <w:gridCol w:w="2106"/>
              <w:gridCol w:w="1364"/>
            </w:tblGrid>
            <w:tr w14:paraId="4146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438" w:type="pct"/>
                  <w:vAlign w:val="center"/>
                </w:tcPr>
                <w:p w14:paraId="21856DD3">
                  <w:pPr>
                    <w:widowControl/>
                    <w:jc w:val="center"/>
                    <w:rPr>
                      <w:color w:val="auto"/>
                      <w:szCs w:val="21"/>
                      <w:highlight w:val="none"/>
                    </w:rPr>
                  </w:pPr>
                  <w:r>
                    <w:rPr>
                      <w:color w:val="auto"/>
                      <w:szCs w:val="21"/>
                      <w:highlight w:val="none"/>
                    </w:rPr>
                    <w:t>工艺名称</w:t>
                  </w:r>
                </w:p>
              </w:tc>
              <w:tc>
                <w:tcPr>
                  <w:tcW w:w="840" w:type="pct"/>
                  <w:vAlign w:val="center"/>
                </w:tcPr>
                <w:p w14:paraId="54244841">
                  <w:pPr>
                    <w:widowControl/>
                    <w:jc w:val="center"/>
                    <w:rPr>
                      <w:color w:val="auto"/>
                      <w:szCs w:val="21"/>
                      <w:highlight w:val="none"/>
                    </w:rPr>
                  </w:pPr>
                  <w:r>
                    <w:rPr>
                      <w:color w:val="auto"/>
                      <w:szCs w:val="21"/>
                      <w:highlight w:val="none"/>
                    </w:rPr>
                    <w:t>规模等级</w:t>
                  </w:r>
                </w:p>
              </w:tc>
              <w:tc>
                <w:tcPr>
                  <w:tcW w:w="1670" w:type="pct"/>
                  <w:gridSpan w:val="2"/>
                  <w:vAlign w:val="center"/>
                </w:tcPr>
                <w:p w14:paraId="50D8B897">
                  <w:pPr>
                    <w:widowControl/>
                    <w:jc w:val="center"/>
                    <w:rPr>
                      <w:color w:val="auto"/>
                      <w:szCs w:val="21"/>
                      <w:highlight w:val="none"/>
                    </w:rPr>
                  </w:pPr>
                  <w:r>
                    <w:rPr>
                      <w:color w:val="auto"/>
                      <w:szCs w:val="21"/>
                      <w:highlight w:val="none"/>
                    </w:rPr>
                    <w:t>污染物指标</w:t>
                  </w:r>
                </w:p>
              </w:tc>
              <w:tc>
                <w:tcPr>
                  <w:tcW w:w="1244" w:type="pct"/>
                  <w:vAlign w:val="center"/>
                </w:tcPr>
                <w:p w14:paraId="627855EA">
                  <w:pPr>
                    <w:widowControl/>
                    <w:jc w:val="center"/>
                    <w:rPr>
                      <w:color w:val="auto"/>
                      <w:szCs w:val="21"/>
                      <w:highlight w:val="none"/>
                    </w:rPr>
                  </w:pPr>
                  <w:r>
                    <w:rPr>
                      <w:color w:val="auto"/>
                      <w:szCs w:val="21"/>
                      <w:highlight w:val="none"/>
                    </w:rPr>
                    <w:t>单位</w:t>
                  </w:r>
                </w:p>
              </w:tc>
              <w:tc>
                <w:tcPr>
                  <w:tcW w:w="806" w:type="pct"/>
                  <w:vAlign w:val="center"/>
                </w:tcPr>
                <w:p w14:paraId="1838CA83">
                  <w:pPr>
                    <w:widowControl/>
                    <w:jc w:val="center"/>
                    <w:rPr>
                      <w:color w:val="auto"/>
                      <w:szCs w:val="21"/>
                      <w:highlight w:val="none"/>
                    </w:rPr>
                  </w:pPr>
                  <w:r>
                    <w:rPr>
                      <w:color w:val="auto"/>
                      <w:szCs w:val="21"/>
                      <w:highlight w:val="none"/>
                    </w:rPr>
                    <w:t>产污系数</w:t>
                  </w:r>
                </w:p>
              </w:tc>
            </w:tr>
            <w:tr w14:paraId="217B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38" w:type="pct"/>
                  <w:vMerge w:val="restart"/>
                  <w:vAlign w:val="center"/>
                </w:tcPr>
                <w:p w14:paraId="1B9EBC2E">
                  <w:pPr>
                    <w:widowControl/>
                    <w:jc w:val="center"/>
                    <w:rPr>
                      <w:color w:val="auto"/>
                      <w:szCs w:val="21"/>
                      <w:highlight w:val="none"/>
                    </w:rPr>
                  </w:pPr>
                  <w:r>
                    <w:rPr>
                      <w:color w:val="auto"/>
                      <w:szCs w:val="21"/>
                      <w:highlight w:val="none"/>
                    </w:rPr>
                    <w:t>湿法</w:t>
                  </w:r>
                </w:p>
              </w:tc>
              <w:tc>
                <w:tcPr>
                  <w:tcW w:w="840" w:type="pct"/>
                  <w:vMerge w:val="restart"/>
                  <w:vAlign w:val="center"/>
                </w:tcPr>
                <w:p w14:paraId="7EFABB70">
                  <w:pPr>
                    <w:widowControl/>
                    <w:jc w:val="center"/>
                    <w:rPr>
                      <w:color w:val="auto"/>
                      <w:szCs w:val="21"/>
                      <w:highlight w:val="none"/>
                    </w:rPr>
                  </w:pPr>
                  <w:r>
                    <w:rPr>
                      <w:color w:val="auto"/>
                      <w:szCs w:val="21"/>
                      <w:highlight w:val="none"/>
                    </w:rPr>
                    <w:t>所有规模</w:t>
                  </w:r>
                </w:p>
              </w:tc>
              <w:tc>
                <w:tcPr>
                  <w:tcW w:w="478" w:type="pct"/>
                  <w:vMerge w:val="restart"/>
                  <w:vAlign w:val="center"/>
                </w:tcPr>
                <w:p w14:paraId="7E090A55">
                  <w:pPr>
                    <w:widowControl/>
                    <w:jc w:val="center"/>
                    <w:rPr>
                      <w:color w:val="auto"/>
                      <w:szCs w:val="21"/>
                      <w:highlight w:val="none"/>
                    </w:rPr>
                  </w:pPr>
                  <w:r>
                    <w:rPr>
                      <w:color w:val="auto"/>
                      <w:szCs w:val="21"/>
                      <w:highlight w:val="none"/>
                    </w:rPr>
                    <w:t>废水</w:t>
                  </w:r>
                </w:p>
              </w:tc>
              <w:tc>
                <w:tcPr>
                  <w:tcW w:w="1191" w:type="pct"/>
                  <w:vAlign w:val="center"/>
                </w:tcPr>
                <w:p w14:paraId="5717A6A6">
                  <w:pPr>
                    <w:widowControl/>
                    <w:jc w:val="center"/>
                    <w:rPr>
                      <w:color w:val="auto"/>
                      <w:szCs w:val="21"/>
                      <w:highlight w:val="none"/>
                    </w:rPr>
                  </w:pPr>
                  <w:r>
                    <w:rPr>
                      <w:color w:val="auto"/>
                      <w:szCs w:val="21"/>
                      <w:highlight w:val="none"/>
                    </w:rPr>
                    <w:t>工业废水量</w:t>
                  </w:r>
                </w:p>
              </w:tc>
              <w:tc>
                <w:tcPr>
                  <w:tcW w:w="1244" w:type="pct"/>
                  <w:vAlign w:val="center"/>
                </w:tcPr>
                <w:p w14:paraId="118CE9A4">
                  <w:pPr>
                    <w:widowControl/>
                    <w:jc w:val="center"/>
                    <w:rPr>
                      <w:color w:val="auto"/>
                      <w:szCs w:val="21"/>
                      <w:highlight w:val="none"/>
                    </w:rPr>
                  </w:pPr>
                  <w:r>
                    <w:rPr>
                      <w:color w:val="auto"/>
                      <w:szCs w:val="21"/>
                      <w:highlight w:val="none"/>
                    </w:rPr>
                    <w:t>m</w:t>
                  </w:r>
                  <w:r>
                    <w:rPr>
                      <w:color w:val="auto"/>
                      <w:szCs w:val="21"/>
                      <w:highlight w:val="none"/>
                      <w:vertAlign w:val="superscript"/>
                    </w:rPr>
                    <w:t>3</w:t>
                  </w:r>
                  <w:r>
                    <w:rPr>
                      <w:color w:val="auto"/>
                      <w:szCs w:val="21"/>
                      <w:highlight w:val="none"/>
                    </w:rPr>
                    <w:t>/吨</w:t>
                  </w:r>
                  <w:r>
                    <w:rPr>
                      <w:rFonts w:hint="eastAsia"/>
                      <w:color w:val="auto"/>
                      <w:szCs w:val="21"/>
                      <w:highlight w:val="none"/>
                    </w:rPr>
                    <w:t>－</w:t>
                  </w:r>
                  <w:r>
                    <w:rPr>
                      <w:color w:val="auto"/>
                      <w:szCs w:val="21"/>
                      <w:highlight w:val="none"/>
                    </w:rPr>
                    <w:t>产品</w:t>
                  </w:r>
                </w:p>
              </w:tc>
              <w:tc>
                <w:tcPr>
                  <w:tcW w:w="806" w:type="pct"/>
                  <w:vAlign w:val="center"/>
                </w:tcPr>
                <w:p w14:paraId="39F116BD">
                  <w:pPr>
                    <w:widowControl/>
                    <w:jc w:val="center"/>
                    <w:rPr>
                      <w:color w:val="auto"/>
                      <w:szCs w:val="21"/>
                      <w:highlight w:val="none"/>
                    </w:rPr>
                  </w:pPr>
                  <w:r>
                    <w:rPr>
                      <w:color w:val="auto"/>
                      <w:szCs w:val="21"/>
                      <w:highlight w:val="none"/>
                    </w:rPr>
                    <w:t>15.4</w:t>
                  </w:r>
                </w:p>
              </w:tc>
            </w:tr>
            <w:tr w14:paraId="1CBA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Merge w:val="continue"/>
                  <w:vAlign w:val="center"/>
                </w:tcPr>
                <w:p w14:paraId="5F8C735B">
                  <w:pPr>
                    <w:widowControl/>
                    <w:jc w:val="center"/>
                    <w:rPr>
                      <w:color w:val="auto"/>
                      <w:highlight w:val="none"/>
                    </w:rPr>
                  </w:pPr>
                </w:p>
              </w:tc>
              <w:tc>
                <w:tcPr>
                  <w:tcW w:w="840" w:type="pct"/>
                  <w:vMerge w:val="continue"/>
                  <w:vAlign w:val="center"/>
                </w:tcPr>
                <w:p w14:paraId="0B2ED931">
                  <w:pPr>
                    <w:widowControl/>
                    <w:jc w:val="center"/>
                    <w:rPr>
                      <w:color w:val="auto"/>
                      <w:highlight w:val="none"/>
                    </w:rPr>
                  </w:pPr>
                </w:p>
              </w:tc>
              <w:tc>
                <w:tcPr>
                  <w:tcW w:w="478" w:type="pct"/>
                  <w:vMerge w:val="continue"/>
                  <w:vAlign w:val="center"/>
                </w:tcPr>
                <w:p w14:paraId="512C9EB9">
                  <w:pPr>
                    <w:widowControl/>
                    <w:jc w:val="center"/>
                    <w:rPr>
                      <w:color w:val="auto"/>
                      <w:highlight w:val="none"/>
                    </w:rPr>
                  </w:pPr>
                </w:p>
              </w:tc>
              <w:tc>
                <w:tcPr>
                  <w:tcW w:w="1191" w:type="pct"/>
                  <w:vAlign w:val="center"/>
                </w:tcPr>
                <w:p w14:paraId="2F5D923B">
                  <w:pPr>
                    <w:widowControl/>
                    <w:jc w:val="center"/>
                    <w:rPr>
                      <w:color w:val="auto"/>
                      <w:szCs w:val="21"/>
                      <w:highlight w:val="none"/>
                    </w:rPr>
                  </w:pPr>
                  <w:r>
                    <w:rPr>
                      <w:color w:val="auto"/>
                      <w:szCs w:val="21"/>
                      <w:highlight w:val="none"/>
                    </w:rPr>
                    <w:t>生化需氧量</w:t>
                  </w:r>
                </w:p>
              </w:tc>
              <w:tc>
                <w:tcPr>
                  <w:tcW w:w="1244" w:type="pct"/>
                  <w:vMerge w:val="restart"/>
                  <w:vAlign w:val="center"/>
                </w:tcPr>
                <w:p w14:paraId="4C1AD0B9">
                  <w:pPr>
                    <w:widowControl/>
                    <w:jc w:val="center"/>
                    <w:rPr>
                      <w:color w:val="auto"/>
                      <w:szCs w:val="21"/>
                      <w:highlight w:val="none"/>
                    </w:rPr>
                  </w:pPr>
                  <w:r>
                    <w:rPr>
                      <w:color w:val="auto"/>
                      <w:szCs w:val="21"/>
                      <w:highlight w:val="none"/>
                    </w:rPr>
                    <w:t>克/吨-产品</w:t>
                  </w:r>
                </w:p>
              </w:tc>
              <w:tc>
                <w:tcPr>
                  <w:tcW w:w="806" w:type="pct"/>
                  <w:vAlign w:val="center"/>
                </w:tcPr>
                <w:p w14:paraId="58126EC1">
                  <w:pPr>
                    <w:widowControl/>
                    <w:jc w:val="center"/>
                    <w:rPr>
                      <w:color w:val="auto"/>
                      <w:szCs w:val="21"/>
                      <w:highlight w:val="none"/>
                    </w:rPr>
                  </w:pPr>
                  <w:r>
                    <w:rPr>
                      <w:color w:val="auto"/>
                      <w:szCs w:val="21"/>
                      <w:highlight w:val="none"/>
                    </w:rPr>
                    <w:t>19200</w:t>
                  </w:r>
                </w:p>
              </w:tc>
            </w:tr>
            <w:tr w14:paraId="13B5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38" w:type="pct"/>
                  <w:vMerge w:val="continue"/>
                  <w:vAlign w:val="center"/>
                </w:tcPr>
                <w:p w14:paraId="7E506679">
                  <w:pPr>
                    <w:widowControl/>
                    <w:jc w:val="center"/>
                    <w:rPr>
                      <w:color w:val="auto"/>
                      <w:szCs w:val="21"/>
                      <w:highlight w:val="none"/>
                    </w:rPr>
                  </w:pPr>
                </w:p>
              </w:tc>
              <w:tc>
                <w:tcPr>
                  <w:tcW w:w="840" w:type="pct"/>
                  <w:vMerge w:val="continue"/>
                  <w:vAlign w:val="center"/>
                </w:tcPr>
                <w:p w14:paraId="65957002">
                  <w:pPr>
                    <w:widowControl/>
                    <w:jc w:val="center"/>
                    <w:rPr>
                      <w:color w:val="auto"/>
                      <w:szCs w:val="21"/>
                      <w:highlight w:val="none"/>
                    </w:rPr>
                  </w:pPr>
                </w:p>
              </w:tc>
              <w:tc>
                <w:tcPr>
                  <w:tcW w:w="478" w:type="pct"/>
                  <w:vMerge w:val="continue"/>
                  <w:vAlign w:val="center"/>
                </w:tcPr>
                <w:p w14:paraId="4ECD3A63">
                  <w:pPr>
                    <w:widowControl/>
                    <w:jc w:val="center"/>
                    <w:rPr>
                      <w:color w:val="auto"/>
                      <w:szCs w:val="21"/>
                      <w:highlight w:val="none"/>
                    </w:rPr>
                  </w:pPr>
                </w:p>
              </w:tc>
              <w:tc>
                <w:tcPr>
                  <w:tcW w:w="1191" w:type="pct"/>
                  <w:vAlign w:val="center"/>
                </w:tcPr>
                <w:p w14:paraId="630FA485">
                  <w:pPr>
                    <w:widowControl/>
                    <w:jc w:val="center"/>
                    <w:rPr>
                      <w:color w:val="auto"/>
                      <w:szCs w:val="21"/>
                      <w:highlight w:val="none"/>
                    </w:rPr>
                  </w:pPr>
                  <w:r>
                    <w:rPr>
                      <w:color w:val="auto"/>
                      <w:szCs w:val="21"/>
                      <w:highlight w:val="none"/>
                    </w:rPr>
                    <w:t>氨氮</w:t>
                  </w:r>
                </w:p>
              </w:tc>
              <w:tc>
                <w:tcPr>
                  <w:tcW w:w="1244" w:type="pct"/>
                  <w:vMerge w:val="continue"/>
                  <w:vAlign w:val="center"/>
                </w:tcPr>
                <w:p w14:paraId="1D6D9879">
                  <w:pPr>
                    <w:widowControl/>
                    <w:jc w:val="center"/>
                    <w:rPr>
                      <w:color w:val="auto"/>
                      <w:szCs w:val="21"/>
                      <w:highlight w:val="none"/>
                    </w:rPr>
                  </w:pPr>
                </w:p>
              </w:tc>
              <w:tc>
                <w:tcPr>
                  <w:tcW w:w="806" w:type="pct"/>
                  <w:vAlign w:val="center"/>
                </w:tcPr>
                <w:p w14:paraId="039AF1BD">
                  <w:pPr>
                    <w:widowControl/>
                    <w:jc w:val="center"/>
                    <w:rPr>
                      <w:color w:val="auto"/>
                      <w:szCs w:val="21"/>
                      <w:highlight w:val="none"/>
                    </w:rPr>
                  </w:pPr>
                  <w:r>
                    <w:rPr>
                      <w:color w:val="auto"/>
                      <w:szCs w:val="21"/>
                      <w:highlight w:val="none"/>
                    </w:rPr>
                    <w:t>460</w:t>
                  </w:r>
                </w:p>
              </w:tc>
            </w:tr>
            <w:tr w14:paraId="363E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38" w:type="pct"/>
                  <w:vMerge w:val="continue"/>
                  <w:vAlign w:val="center"/>
                </w:tcPr>
                <w:p w14:paraId="6D8EED70">
                  <w:pPr>
                    <w:widowControl/>
                    <w:jc w:val="center"/>
                    <w:rPr>
                      <w:color w:val="auto"/>
                      <w:szCs w:val="21"/>
                      <w:highlight w:val="none"/>
                    </w:rPr>
                  </w:pPr>
                </w:p>
              </w:tc>
              <w:tc>
                <w:tcPr>
                  <w:tcW w:w="840" w:type="pct"/>
                  <w:vMerge w:val="continue"/>
                  <w:vAlign w:val="center"/>
                </w:tcPr>
                <w:p w14:paraId="2DA69DBB">
                  <w:pPr>
                    <w:widowControl/>
                    <w:jc w:val="center"/>
                    <w:rPr>
                      <w:color w:val="auto"/>
                      <w:szCs w:val="21"/>
                      <w:highlight w:val="none"/>
                    </w:rPr>
                  </w:pPr>
                </w:p>
              </w:tc>
              <w:tc>
                <w:tcPr>
                  <w:tcW w:w="478" w:type="pct"/>
                  <w:vMerge w:val="continue"/>
                  <w:vAlign w:val="center"/>
                </w:tcPr>
                <w:p w14:paraId="6A376072">
                  <w:pPr>
                    <w:widowControl/>
                    <w:jc w:val="center"/>
                    <w:rPr>
                      <w:color w:val="auto"/>
                      <w:szCs w:val="21"/>
                      <w:highlight w:val="none"/>
                    </w:rPr>
                  </w:pPr>
                </w:p>
              </w:tc>
              <w:tc>
                <w:tcPr>
                  <w:tcW w:w="1191" w:type="pct"/>
                  <w:vAlign w:val="center"/>
                </w:tcPr>
                <w:p w14:paraId="2851D2CB">
                  <w:pPr>
                    <w:widowControl/>
                    <w:jc w:val="center"/>
                    <w:rPr>
                      <w:color w:val="auto"/>
                      <w:szCs w:val="21"/>
                      <w:highlight w:val="none"/>
                    </w:rPr>
                  </w:pPr>
                  <w:r>
                    <w:rPr>
                      <w:color w:val="auto"/>
                      <w:szCs w:val="21"/>
                      <w:highlight w:val="none"/>
                    </w:rPr>
                    <w:t>总氮</w:t>
                  </w:r>
                </w:p>
              </w:tc>
              <w:tc>
                <w:tcPr>
                  <w:tcW w:w="1244" w:type="pct"/>
                  <w:vMerge w:val="continue"/>
                  <w:vAlign w:val="center"/>
                </w:tcPr>
                <w:p w14:paraId="60C60D5D">
                  <w:pPr>
                    <w:widowControl/>
                    <w:jc w:val="center"/>
                    <w:rPr>
                      <w:color w:val="auto"/>
                      <w:szCs w:val="21"/>
                      <w:highlight w:val="none"/>
                    </w:rPr>
                  </w:pPr>
                </w:p>
              </w:tc>
              <w:tc>
                <w:tcPr>
                  <w:tcW w:w="806" w:type="pct"/>
                  <w:vAlign w:val="center"/>
                </w:tcPr>
                <w:p w14:paraId="294278FC">
                  <w:pPr>
                    <w:widowControl/>
                    <w:jc w:val="center"/>
                    <w:rPr>
                      <w:color w:val="auto"/>
                      <w:szCs w:val="21"/>
                      <w:highlight w:val="none"/>
                    </w:rPr>
                  </w:pPr>
                  <w:r>
                    <w:rPr>
                      <w:color w:val="auto"/>
                      <w:szCs w:val="21"/>
                      <w:highlight w:val="none"/>
                    </w:rPr>
                    <w:t>700</w:t>
                  </w:r>
                </w:p>
              </w:tc>
            </w:tr>
            <w:tr w14:paraId="52F6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38" w:type="pct"/>
                  <w:vMerge w:val="continue"/>
                  <w:vAlign w:val="center"/>
                </w:tcPr>
                <w:p w14:paraId="53E846F8">
                  <w:pPr>
                    <w:widowControl/>
                    <w:jc w:val="center"/>
                    <w:rPr>
                      <w:color w:val="auto"/>
                      <w:szCs w:val="21"/>
                      <w:highlight w:val="none"/>
                    </w:rPr>
                  </w:pPr>
                </w:p>
              </w:tc>
              <w:tc>
                <w:tcPr>
                  <w:tcW w:w="840" w:type="pct"/>
                  <w:vMerge w:val="continue"/>
                  <w:vAlign w:val="center"/>
                </w:tcPr>
                <w:p w14:paraId="10130A4D">
                  <w:pPr>
                    <w:widowControl/>
                    <w:jc w:val="center"/>
                    <w:rPr>
                      <w:color w:val="auto"/>
                      <w:szCs w:val="21"/>
                      <w:highlight w:val="none"/>
                    </w:rPr>
                  </w:pPr>
                </w:p>
              </w:tc>
              <w:tc>
                <w:tcPr>
                  <w:tcW w:w="478" w:type="pct"/>
                  <w:vMerge w:val="continue"/>
                  <w:vAlign w:val="center"/>
                </w:tcPr>
                <w:p w14:paraId="29409F7C">
                  <w:pPr>
                    <w:widowControl/>
                    <w:jc w:val="center"/>
                    <w:rPr>
                      <w:color w:val="auto"/>
                      <w:szCs w:val="21"/>
                      <w:highlight w:val="none"/>
                    </w:rPr>
                  </w:pPr>
                </w:p>
              </w:tc>
              <w:tc>
                <w:tcPr>
                  <w:tcW w:w="1191" w:type="pct"/>
                  <w:vAlign w:val="center"/>
                </w:tcPr>
                <w:p w14:paraId="2630F932">
                  <w:pPr>
                    <w:widowControl/>
                    <w:jc w:val="center"/>
                    <w:rPr>
                      <w:color w:val="auto"/>
                      <w:szCs w:val="21"/>
                      <w:highlight w:val="none"/>
                    </w:rPr>
                  </w:pPr>
                  <w:r>
                    <w:rPr>
                      <w:color w:val="auto"/>
                      <w:szCs w:val="21"/>
                      <w:highlight w:val="none"/>
                    </w:rPr>
                    <w:t>总磷</w:t>
                  </w:r>
                </w:p>
              </w:tc>
              <w:tc>
                <w:tcPr>
                  <w:tcW w:w="1244" w:type="pct"/>
                  <w:vMerge w:val="continue"/>
                  <w:vAlign w:val="center"/>
                </w:tcPr>
                <w:p w14:paraId="63192152">
                  <w:pPr>
                    <w:widowControl/>
                    <w:jc w:val="center"/>
                    <w:rPr>
                      <w:color w:val="auto"/>
                      <w:szCs w:val="21"/>
                      <w:highlight w:val="none"/>
                    </w:rPr>
                  </w:pPr>
                </w:p>
              </w:tc>
              <w:tc>
                <w:tcPr>
                  <w:tcW w:w="806" w:type="pct"/>
                  <w:vAlign w:val="center"/>
                </w:tcPr>
                <w:p w14:paraId="7D5D0A7E">
                  <w:pPr>
                    <w:widowControl/>
                    <w:jc w:val="center"/>
                    <w:rPr>
                      <w:color w:val="auto"/>
                      <w:szCs w:val="21"/>
                      <w:highlight w:val="none"/>
                    </w:rPr>
                  </w:pPr>
                  <w:r>
                    <w:rPr>
                      <w:color w:val="auto"/>
                      <w:szCs w:val="21"/>
                      <w:highlight w:val="none"/>
                    </w:rPr>
                    <w:t>40</w:t>
                  </w:r>
                </w:p>
              </w:tc>
            </w:tr>
          </w:tbl>
          <w:p w14:paraId="5F85AB6A">
            <w:pPr>
              <w:widowControl/>
              <w:spacing w:line="460" w:lineRule="exact"/>
              <w:ind w:firstLine="480" w:firstLineChars="200"/>
              <w:jc w:val="left"/>
              <w:rPr>
                <w:color w:val="auto"/>
                <w:sz w:val="24"/>
                <w:highlight w:val="none"/>
              </w:rPr>
            </w:pPr>
            <w:r>
              <w:rPr>
                <w:color w:val="auto"/>
                <w:sz w:val="24"/>
                <w:highlight w:val="none"/>
              </w:rPr>
              <w:t>据上表产污系数计算，本项目葛根粉产品为90t，生产工艺产生废水总量为1386 m</w:t>
            </w:r>
            <w:r>
              <w:rPr>
                <w:color w:val="auto"/>
                <w:sz w:val="24"/>
                <w:highlight w:val="none"/>
                <w:vertAlign w:val="superscript"/>
              </w:rPr>
              <w:t>3</w:t>
            </w:r>
            <w:r>
              <w:rPr>
                <w:color w:val="auto"/>
                <w:sz w:val="24"/>
                <w:highlight w:val="none"/>
              </w:rPr>
              <w:t>/a，其中污染因子COD、总氮、氨氮、总磷产生量分别为1.728 m</w:t>
            </w:r>
            <w:r>
              <w:rPr>
                <w:color w:val="auto"/>
                <w:sz w:val="24"/>
                <w:highlight w:val="none"/>
                <w:vertAlign w:val="superscript"/>
              </w:rPr>
              <w:t>3</w:t>
            </w:r>
            <w:r>
              <w:rPr>
                <w:color w:val="auto"/>
                <w:sz w:val="24"/>
                <w:highlight w:val="none"/>
              </w:rPr>
              <w:t>/a、0.063 m</w:t>
            </w:r>
            <w:r>
              <w:rPr>
                <w:color w:val="auto"/>
                <w:sz w:val="24"/>
                <w:highlight w:val="none"/>
                <w:vertAlign w:val="superscript"/>
              </w:rPr>
              <w:t>3</w:t>
            </w:r>
            <w:r>
              <w:rPr>
                <w:color w:val="auto"/>
                <w:sz w:val="24"/>
                <w:highlight w:val="none"/>
              </w:rPr>
              <w:t>/a、0.041m</w:t>
            </w:r>
            <w:r>
              <w:rPr>
                <w:color w:val="auto"/>
                <w:sz w:val="24"/>
                <w:highlight w:val="none"/>
                <w:vertAlign w:val="superscript"/>
              </w:rPr>
              <w:t>3</w:t>
            </w:r>
            <w:r>
              <w:rPr>
                <w:color w:val="auto"/>
                <w:sz w:val="24"/>
                <w:highlight w:val="none"/>
              </w:rPr>
              <w:t>/a、0.004m</w:t>
            </w:r>
            <w:r>
              <w:rPr>
                <w:color w:val="auto"/>
                <w:sz w:val="24"/>
                <w:highlight w:val="none"/>
                <w:vertAlign w:val="superscript"/>
              </w:rPr>
              <w:t>3</w:t>
            </w:r>
            <w:r>
              <w:rPr>
                <w:color w:val="auto"/>
                <w:sz w:val="24"/>
                <w:highlight w:val="none"/>
              </w:rPr>
              <w:t>/a。</w:t>
            </w:r>
          </w:p>
          <w:p w14:paraId="15E21557">
            <w:pPr>
              <w:widowControl/>
              <w:spacing w:line="460" w:lineRule="exact"/>
              <w:ind w:firstLine="480" w:firstLineChars="200"/>
              <w:jc w:val="left"/>
              <w:rPr>
                <w:color w:val="auto"/>
                <w:sz w:val="24"/>
                <w:highlight w:val="none"/>
              </w:rPr>
            </w:pPr>
            <w:r>
              <w:rPr>
                <w:color w:val="auto"/>
                <w:sz w:val="24"/>
                <w:highlight w:val="none"/>
              </w:rPr>
              <w:t>本项目废水产生情况见表4.2-</w:t>
            </w:r>
            <w:r>
              <w:rPr>
                <w:rFonts w:hint="eastAsia"/>
                <w:color w:val="auto"/>
                <w:sz w:val="24"/>
                <w:highlight w:val="none"/>
              </w:rPr>
              <w:t>3</w:t>
            </w:r>
            <w:r>
              <w:rPr>
                <w:color w:val="auto"/>
                <w:sz w:val="24"/>
                <w:highlight w:val="none"/>
              </w:rPr>
              <w:t>。</w:t>
            </w:r>
          </w:p>
          <w:p w14:paraId="6D37A858">
            <w:pPr>
              <w:widowControl/>
              <w:spacing w:line="460" w:lineRule="exact"/>
              <w:jc w:val="center"/>
              <w:rPr>
                <w:b/>
                <w:bCs/>
                <w:color w:val="auto"/>
                <w:sz w:val="24"/>
                <w:highlight w:val="none"/>
              </w:rPr>
            </w:pPr>
            <w:r>
              <w:rPr>
                <w:b/>
                <w:bCs/>
                <w:color w:val="auto"/>
                <w:sz w:val="24"/>
                <w:highlight w:val="none"/>
              </w:rPr>
              <w:t>表4.2-</w:t>
            </w:r>
            <w:r>
              <w:rPr>
                <w:rFonts w:hint="eastAsia"/>
                <w:b/>
                <w:bCs/>
                <w:color w:val="auto"/>
                <w:sz w:val="24"/>
                <w:highlight w:val="none"/>
              </w:rPr>
              <w:t>3</w:t>
            </w:r>
            <w:r>
              <w:rPr>
                <w:b/>
                <w:bCs/>
                <w:color w:val="auto"/>
                <w:sz w:val="24"/>
                <w:highlight w:val="none"/>
              </w:rPr>
              <w:t xml:space="preserve"> 本项目废水产生情况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2188"/>
              <w:gridCol w:w="1312"/>
              <w:gridCol w:w="1056"/>
              <w:gridCol w:w="1782"/>
              <w:gridCol w:w="1561"/>
            </w:tblGrid>
            <w:tr w14:paraId="65E9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474" w:type="dxa"/>
                  <w:vMerge w:val="restart"/>
                  <w:vAlign w:val="center"/>
                </w:tcPr>
                <w:p w14:paraId="46F77421">
                  <w:pPr>
                    <w:widowControl/>
                    <w:spacing w:line="300" w:lineRule="exact"/>
                    <w:jc w:val="center"/>
                    <w:rPr>
                      <w:color w:val="auto"/>
                      <w:szCs w:val="21"/>
                      <w:highlight w:val="none"/>
                    </w:rPr>
                  </w:pPr>
                  <w:r>
                    <w:rPr>
                      <w:color w:val="auto"/>
                      <w:szCs w:val="21"/>
                      <w:highlight w:val="none"/>
                    </w:rPr>
                    <w:t>序号</w:t>
                  </w:r>
                </w:p>
              </w:tc>
              <w:tc>
                <w:tcPr>
                  <w:tcW w:w="2188" w:type="dxa"/>
                  <w:vMerge w:val="restart"/>
                  <w:vAlign w:val="center"/>
                </w:tcPr>
                <w:p w14:paraId="0AB798EB">
                  <w:pPr>
                    <w:widowControl/>
                    <w:spacing w:line="300" w:lineRule="exact"/>
                    <w:jc w:val="center"/>
                    <w:rPr>
                      <w:color w:val="auto"/>
                      <w:szCs w:val="21"/>
                      <w:highlight w:val="none"/>
                    </w:rPr>
                  </w:pPr>
                  <w:r>
                    <w:rPr>
                      <w:color w:val="auto"/>
                      <w:szCs w:val="21"/>
                      <w:highlight w:val="none"/>
                    </w:rPr>
                    <w:t>废水类别</w:t>
                  </w:r>
                </w:p>
              </w:tc>
              <w:tc>
                <w:tcPr>
                  <w:tcW w:w="1312" w:type="dxa"/>
                  <w:vMerge w:val="restart"/>
                  <w:vAlign w:val="center"/>
                </w:tcPr>
                <w:p w14:paraId="30914B7C">
                  <w:pPr>
                    <w:widowControl/>
                    <w:spacing w:line="300" w:lineRule="exact"/>
                    <w:jc w:val="center"/>
                    <w:rPr>
                      <w:color w:val="auto"/>
                      <w:szCs w:val="21"/>
                      <w:highlight w:val="none"/>
                    </w:rPr>
                  </w:pPr>
                  <w:r>
                    <w:rPr>
                      <w:color w:val="auto"/>
                      <w:szCs w:val="21"/>
                      <w:highlight w:val="none"/>
                    </w:rPr>
                    <w:t>废水产生量</w:t>
                  </w:r>
                </w:p>
                <w:p w14:paraId="2641A9A9">
                  <w:pPr>
                    <w:widowControl/>
                    <w:spacing w:line="300" w:lineRule="exact"/>
                    <w:jc w:val="center"/>
                    <w:rPr>
                      <w:color w:val="auto"/>
                      <w:szCs w:val="21"/>
                      <w:highlight w:val="none"/>
                    </w:rPr>
                  </w:pPr>
                  <w:r>
                    <w:rPr>
                      <w:color w:val="auto"/>
                      <w:szCs w:val="21"/>
                      <w:highlight w:val="none"/>
                    </w:rPr>
                    <w:t>（m</w:t>
                  </w:r>
                  <w:r>
                    <w:rPr>
                      <w:color w:val="auto"/>
                      <w:szCs w:val="21"/>
                      <w:highlight w:val="none"/>
                      <w:vertAlign w:val="superscript"/>
                    </w:rPr>
                    <w:t>3</w:t>
                  </w:r>
                  <w:r>
                    <w:rPr>
                      <w:color w:val="auto"/>
                      <w:szCs w:val="21"/>
                      <w:highlight w:val="none"/>
                    </w:rPr>
                    <w:t>/a）</w:t>
                  </w:r>
                </w:p>
              </w:tc>
              <w:tc>
                <w:tcPr>
                  <w:tcW w:w="0" w:type="auto"/>
                  <w:vMerge w:val="restart"/>
                  <w:shd w:val="clear" w:color="auto" w:fill="auto"/>
                  <w:vAlign w:val="center"/>
                </w:tcPr>
                <w:p w14:paraId="3C614502">
                  <w:pPr>
                    <w:widowControl/>
                    <w:spacing w:line="300" w:lineRule="exact"/>
                    <w:jc w:val="center"/>
                    <w:rPr>
                      <w:color w:val="auto"/>
                      <w:szCs w:val="21"/>
                      <w:highlight w:val="none"/>
                    </w:rPr>
                  </w:pPr>
                  <w:r>
                    <w:rPr>
                      <w:color w:val="auto"/>
                      <w:szCs w:val="21"/>
                      <w:highlight w:val="none"/>
                    </w:rPr>
                    <w:t>主要污染</w:t>
                  </w:r>
                </w:p>
                <w:p w14:paraId="35CD3043">
                  <w:pPr>
                    <w:widowControl/>
                    <w:spacing w:line="300" w:lineRule="exact"/>
                    <w:jc w:val="center"/>
                    <w:rPr>
                      <w:color w:val="auto"/>
                      <w:szCs w:val="21"/>
                      <w:highlight w:val="none"/>
                    </w:rPr>
                  </w:pPr>
                  <w:r>
                    <w:rPr>
                      <w:color w:val="auto"/>
                      <w:szCs w:val="21"/>
                      <w:highlight w:val="none"/>
                    </w:rPr>
                    <w:t>因子</w:t>
                  </w:r>
                </w:p>
              </w:tc>
              <w:tc>
                <w:tcPr>
                  <w:tcW w:w="3343" w:type="dxa"/>
                  <w:gridSpan w:val="2"/>
                  <w:shd w:val="clear" w:color="auto" w:fill="auto"/>
                  <w:vAlign w:val="center"/>
                </w:tcPr>
                <w:p w14:paraId="28F1FD11">
                  <w:pPr>
                    <w:widowControl/>
                    <w:spacing w:line="300" w:lineRule="exact"/>
                    <w:jc w:val="center"/>
                    <w:rPr>
                      <w:color w:val="auto"/>
                      <w:szCs w:val="21"/>
                      <w:highlight w:val="none"/>
                    </w:rPr>
                  </w:pPr>
                  <w:r>
                    <w:rPr>
                      <w:color w:val="auto"/>
                      <w:szCs w:val="21"/>
                      <w:highlight w:val="none"/>
                    </w:rPr>
                    <w:t>污染物产生量</w:t>
                  </w:r>
                </w:p>
              </w:tc>
            </w:tr>
            <w:tr w14:paraId="268E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Merge w:val="continue"/>
                  <w:vAlign w:val="center"/>
                </w:tcPr>
                <w:p w14:paraId="571BC989">
                  <w:pPr>
                    <w:widowControl/>
                    <w:spacing w:line="300" w:lineRule="exact"/>
                    <w:jc w:val="center"/>
                    <w:rPr>
                      <w:color w:val="auto"/>
                      <w:szCs w:val="21"/>
                      <w:highlight w:val="none"/>
                    </w:rPr>
                  </w:pPr>
                </w:p>
              </w:tc>
              <w:tc>
                <w:tcPr>
                  <w:tcW w:w="2188" w:type="dxa"/>
                  <w:vMerge w:val="continue"/>
                  <w:vAlign w:val="center"/>
                </w:tcPr>
                <w:p w14:paraId="6EF7F6AD">
                  <w:pPr>
                    <w:widowControl/>
                    <w:spacing w:line="300" w:lineRule="exact"/>
                    <w:jc w:val="center"/>
                    <w:rPr>
                      <w:color w:val="auto"/>
                      <w:szCs w:val="21"/>
                      <w:highlight w:val="none"/>
                    </w:rPr>
                  </w:pPr>
                </w:p>
              </w:tc>
              <w:tc>
                <w:tcPr>
                  <w:tcW w:w="1312" w:type="dxa"/>
                  <w:vMerge w:val="continue"/>
                  <w:vAlign w:val="center"/>
                </w:tcPr>
                <w:p w14:paraId="1C952D9C">
                  <w:pPr>
                    <w:widowControl/>
                    <w:spacing w:line="300" w:lineRule="exact"/>
                    <w:jc w:val="center"/>
                    <w:rPr>
                      <w:color w:val="auto"/>
                      <w:szCs w:val="21"/>
                      <w:highlight w:val="none"/>
                    </w:rPr>
                  </w:pPr>
                </w:p>
              </w:tc>
              <w:tc>
                <w:tcPr>
                  <w:tcW w:w="0" w:type="auto"/>
                  <w:vMerge w:val="continue"/>
                  <w:shd w:val="clear" w:color="auto" w:fill="auto"/>
                  <w:vAlign w:val="center"/>
                </w:tcPr>
                <w:p w14:paraId="3DDB6798">
                  <w:pPr>
                    <w:widowControl/>
                    <w:spacing w:line="300" w:lineRule="exact"/>
                    <w:jc w:val="center"/>
                    <w:rPr>
                      <w:color w:val="auto"/>
                      <w:szCs w:val="21"/>
                      <w:highlight w:val="none"/>
                    </w:rPr>
                  </w:pPr>
                </w:p>
              </w:tc>
              <w:tc>
                <w:tcPr>
                  <w:tcW w:w="0" w:type="auto"/>
                  <w:shd w:val="clear" w:color="auto" w:fill="auto"/>
                  <w:vAlign w:val="center"/>
                </w:tcPr>
                <w:p w14:paraId="36BFBE7A">
                  <w:pPr>
                    <w:widowControl/>
                    <w:spacing w:line="300" w:lineRule="exact"/>
                    <w:jc w:val="center"/>
                    <w:rPr>
                      <w:color w:val="auto"/>
                      <w:szCs w:val="21"/>
                      <w:highlight w:val="none"/>
                    </w:rPr>
                  </w:pPr>
                  <w:r>
                    <w:rPr>
                      <w:color w:val="auto"/>
                      <w:szCs w:val="21"/>
                      <w:highlight w:val="none"/>
                    </w:rPr>
                    <w:t>产生浓度（mg/L）</w:t>
                  </w:r>
                </w:p>
              </w:tc>
              <w:tc>
                <w:tcPr>
                  <w:tcW w:w="1561" w:type="dxa"/>
                  <w:shd w:val="clear" w:color="auto" w:fill="auto"/>
                  <w:vAlign w:val="center"/>
                </w:tcPr>
                <w:p w14:paraId="62869181">
                  <w:pPr>
                    <w:widowControl/>
                    <w:spacing w:line="300" w:lineRule="exact"/>
                    <w:jc w:val="center"/>
                    <w:rPr>
                      <w:color w:val="auto"/>
                      <w:szCs w:val="21"/>
                      <w:highlight w:val="none"/>
                    </w:rPr>
                  </w:pPr>
                  <w:r>
                    <w:rPr>
                      <w:color w:val="auto"/>
                      <w:szCs w:val="21"/>
                      <w:highlight w:val="none"/>
                    </w:rPr>
                    <w:t>产生量（t/a）</w:t>
                  </w:r>
                </w:p>
              </w:tc>
            </w:tr>
            <w:tr w14:paraId="40CA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Merge w:val="restart"/>
                  <w:vAlign w:val="center"/>
                </w:tcPr>
                <w:p w14:paraId="55BD4434">
                  <w:pPr>
                    <w:widowControl/>
                    <w:spacing w:line="300" w:lineRule="exact"/>
                    <w:jc w:val="center"/>
                    <w:rPr>
                      <w:color w:val="auto"/>
                      <w:szCs w:val="21"/>
                      <w:highlight w:val="none"/>
                    </w:rPr>
                  </w:pPr>
                  <w:r>
                    <w:rPr>
                      <w:color w:val="auto"/>
                      <w:szCs w:val="21"/>
                      <w:highlight w:val="none"/>
                    </w:rPr>
                    <w:t>1</w:t>
                  </w:r>
                </w:p>
              </w:tc>
              <w:tc>
                <w:tcPr>
                  <w:tcW w:w="2188" w:type="dxa"/>
                  <w:vMerge w:val="restart"/>
                  <w:vAlign w:val="center"/>
                </w:tcPr>
                <w:p w14:paraId="71668B8B">
                  <w:pPr>
                    <w:widowControl/>
                    <w:spacing w:line="300" w:lineRule="exact"/>
                    <w:jc w:val="center"/>
                    <w:rPr>
                      <w:color w:val="auto"/>
                      <w:szCs w:val="21"/>
                      <w:highlight w:val="none"/>
                    </w:rPr>
                  </w:pPr>
                  <w:r>
                    <w:rPr>
                      <w:color w:val="auto"/>
                      <w:szCs w:val="21"/>
                      <w:highlight w:val="none"/>
                    </w:rPr>
                    <w:t>葛根粉生产</w:t>
                  </w:r>
                </w:p>
                <w:p w14:paraId="24E0517C">
                  <w:pPr>
                    <w:widowControl/>
                    <w:spacing w:line="300" w:lineRule="exact"/>
                    <w:jc w:val="center"/>
                    <w:rPr>
                      <w:color w:val="auto"/>
                      <w:szCs w:val="21"/>
                      <w:highlight w:val="none"/>
                    </w:rPr>
                  </w:pPr>
                  <w:r>
                    <w:rPr>
                      <w:color w:val="auto"/>
                      <w:szCs w:val="21"/>
                      <w:highlight w:val="none"/>
                    </w:rPr>
                    <w:t>工艺产生废水</w:t>
                  </w:r>
                </w:p>
                <w:p w14:paraId="30836960">
                  <w:pPr>
                    <w:widowControl/>
                    <w:spacing w:line="300" w:lineRule="exact"/>
                    <w:jc w:val="center"/>
                    <w:rPr>
                      <w:color w:val="auto"/>
                      <w:szCs w:val="21"/>
                      <w:highlight w:val="none"/>
                    </w:rPr>
                  </w:pPr>
                  <w:r>
                    <w:rPr>
                      <w:color w:val="auto"/>
                      <w:szCs w:val="21"/>
                      <w:highlight w:val="none"/>
                    </w:rPr>
                    <w:t>（W1、W2、W3、W4）</w:t>
                  </w:r>
                </w:p>
              </w:tc>
              <w:tc>
                <w:tcPr>
                  <w:tcW w:w="1312" w:type="dxa"/>
                  <w:vMerge w:val="restart"/>
                  <w:vAlign w:val="center"/>
                </w:tcPr>
                <w:p w14:paraId="2AF27F2C">
                  <w:pPr>
                    <w:widowControl/>
                    <w:spacing w:line="300" w:lineRule="exact"/>
                    <w:jc w:val="center"/>
                    <w:rPr>
                      <w:color w:val="auto"/>
                      <w:szCs w:val="21"/>
                      <w:highlight w:val="none"/>
                    </w:rPr>
                  </w:pPr>
                  <w:r>
                    <w:rPr>
                      <w:color w:val="auto"/>
                      <w:szCs w:val="21"/>
                      <w:highlight w:val="none"/>
                    </w:rPr>
                    <w:t>1386.00</w:t>
                  </w:r>
                </w:p>
              </w:tc>
              <w:tc>
                <w:tcPr>
                  <w:tcW w:w="0" w:type="auto"/>
                  <w:vAlign w:val="center"/>
                </w:tcPr>
                <w:p w14:paraId="27C943E3">
                  <w:pPr>
                    <w:widowControl/>
                    <w:spacing w:line="300" w:lineRule="exact"/>
                    <w:jc w:val="center"/>
                    <w:rPr>
                      <w:color w:val="auto"/>
                      <w:szCs w:val="21"/>
                      <w:highlight w:val="none"/>
                    </w:rPr>
                  </w:pPr>
                  <w:r>
                    <w:rPr>
                      <w:color w:val="auto"/>
                      <w:szCs w:val="21"/>
                      <w:highlight w:val="none"/>
                    </w:rPr>
                    <w:t>pH</w:t>
                  </w:r>
                </w:p>
              </w:tc>
              <w:tc>
                <w:tcPr>
                  <w:tcW w:w="1782" w:type="dxa"/>
                  <w:vAlign w:val="center"/>
                </w:tcPr>
                <w:p w14:paraId="0921A064">
                  <w:pPr>
                    <w:widowControl/>
                    <w:jc w:val="center"/>
                    <w:textAlignment w:val="center"/>
                    <w:rPr>
                      <w:color w:val="auto"/>
                      <w:szCs w:val="21"/>
                      <w:highlight w:val="none"/>
                    </w:rPr>
                  </w:pPr>
                  <w:r>
                    <w:rPr>
                      <w:color w:val="auto"/>
                      <w:szCs w:val="21"/>
                      <w:highlight w:val="none"/>
                    </w:rPr>
                    <w:t>6~9</w:t>
                  </w:r>
                </w:p>
              </w:tc>
              <w:tc>
                <w:tcPr>
                  <w:tcW w:w="1561" w:type="dxa"/>
                  <w:vAlign w:val="center"/>
                </w:tcPr>
                <w:p w14:paraId="338F76FA">
                  <w:pPr>
                    <w:widowControl/>
                    <w:jc w:val="center"/>
                    <w:textAlignment w:val="center"/>
                    <w:rPr>
                      <w:color w:val="auto"/>
                      <w:szCs w:val="21"/>
                      <w:highlight w:val="none"/>
                    </w:rPr>
                  </w:pPr>
                  <w:r>
                    <w:rPr>
                      <w:color w:val="auto"/>
                      <w:szCs w:val="21"/>
                      <w:highlight w:val="none"/>
                    </w:rPr>
                    <w:t>/</w:t>
                  </w:r>
                </w:p>
              </w:tc>
            </w:tr>
            <w:tr w14:paraId="1C2C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74" w:type="dxa"/>
                  <w:vMerge w:val="continue"/>
                  <w:vAlign w:val="center"/>
                </w:tcPr>
                <w:p w14:paraId="161D8028">
                  <w:pPr>
                    <w:widowControl/>
                    <w:spacing w:line="300" w:lineRule="exact"/>
                    <w:jc w:val="center"/>
                    <w:rPr>
                      <w:color w:val="auto"/>
                      <w:szCs w:val="21"/>
                      <w:highlight w:val="none"/>
                    </w:rPr>
                  </w:pPr>
                </w:p>
              </w:tc>
              <w:tc>
                <w:tcPr>
                  <w:tcW w:w="2188" w:type="dxa"/>
                  <w:vMerge w:val="continue"/>
                  <w:vAlign w:val="center"/>
                </w:tcPr>
                <w:p w14:paraId="52F09B3C">
                  <w:pPr>
                    <w:widowControl/>
                    <w:spacing w:line="300" w:lineRule="exact"/>
                    <w:jc w:val="center"/>
                    <w:rPr>
                      <w:color w:val="auto"/>
                      <w:szCs w:val="21"/>
                      <w:highlight w:val="none"/>
                    </w:rPr>
                  </w:pPr>
                </w:p>
              </w:tc>
              <w:tc>
                <w:tcPr>
                  <w:tcW w:w="1312" w:type="dxa"/>
                  <w:vMerge w:val="continue"/>
                  <w:vAlign w:val="center"/>
                </w:tcPr>
                <w:p w14:paraId="7798E5EC">
                  <w:pPr>
                    <w:widowControl/>
                    <w:spacing w:line="300" w:lineRule="exact"/>
                    <w:jc w:val="center"/>
                    <w:rPr>
                      <w:color w:val="auto"/>
                      <w:szCs w:val="21"/>
                      <w:highlight w:val="none"/>
                    </w:rPr>
                  </w:pPr>
                </w:p>
              </w:tc>
              <w:tc>
                <w:tcPr>
                  <w:tcW w:w="0" w:type="auto"/>
                  <w:shd w:val="clear" w:color="auto" w:fill="auto"/>
                  <w:vAlign w:val="center"/>
                </w:tcPr>
                <w:p w14:paraId="3AD1F17B">
                  <w:pPr>
                    <w:widowControl/>
                    <w:spacing w:line="300" w:lineRule="exact"/>
                    <w:jc w:val="center"/>
                    <w:rPr>
                      <w:color w:val="auto"/>
                      <w:szCs w:val="21"/>
                      <w:highlight w:val="none"/>
                    </w:rPr>
                  </w:pPr>
                  <w:r>
                    <w:rPr>
                      <w:color w:val="auto"/>
                      <w:szCs w:val="21"/>
                      <w:highlight w:val="none"/>
                    </w:rPr>
                    <w:t>COD</w:t>
                  </w:r>
                </w:p>
              </w:tc>
              <w:tc>
                <w:tcPr>
                  <w:tcW w:w="1782" w:type="dxa"/>
                  <w:shd w:val="clear" w:color="auto" w:fill="auto"/>
                  <w:vAlign w:val="center"/>
                </w:tcPr>
                <w:p w14:paraId="39993FF8">
                  <w:pPr>
                    <w:widowControl/>
                    <w:jc w:val="center"/>
                    <w:textAlignment w:val="center"/>
                    <w:rPr>
                      <w:rFonts w:hint="default"/>
                      <w:color w:val="auto"/>
                      <w:szCs w:val="21"/>
                      <w:highlight w:val="none"/>
                      <w:lang w:val="en-US"/>
                    </w:rPr>
                  </w:pPr>
                  <w:r>
                    <w:rPr>
                      <w:rFonts w:hint="eastAsia"/>
                      <w:color w:val="auto"/>
                      <w:kern w:val="0"/>
                      <w:szCs w:val="21"/>
                      <w:highlight w:val="none"/>
                      <w:lang w:val="en-US" w:eastAsia="zh-CN" w:bidi="ar"/>
                    </w:rPr>
                    <w:t>1250</w:t>
                  </w:r>
                </w:p>
              </w:tc>
              <w:tc>
                <w:tcPr>
                  <w:tcW w:w="1561" w:type="dxa"/>
                  <w:shd w:val="clear" w:color="auto" w:fill="auto"/>
                  <w:vAlign w:val="center"/>
                </w:tcPr>
                <w:p w14:paraId="22022F1F">
                  <w:pPr>
                    <w:widowControl/>
                    <w:jc w:val="center"/>
                    <w:textAlignment w:val="center"/>
                    <w:rPr>
                      <w:color w:val="auto"/>
                      <w:szCs w:val="21"/>
                      <w:highlight w:val="none"/>
                    </w:rPr>
                  </w:pPr>
                  <w:r>
                    <w:rPr>
                      <w:color w:val="auto"/>
                      <w:kern w:val="0"/>
                      <w:szCs w:val="21"/>
                      <w:highlight w:val="none"/>
                      <w:lang w:bidi="ar"/>
                    </w:rPr>
                    <w:t>1.7</w:t>
                  </w:r>
                  <w:r>
                    <w:rPr>
                      <w:rFonts w:hint="eastAsia"/>
                      <w:color w:val="auto"/>
                      <w:kern w:val="0"/>
                      <w:szCs w:val="21"/>
                      <w:highlight w:val="none"/>
                      <w:lang w:val="en-US" w:eastAsia="zh-CN" w:bidi="ar"/>
                    </w:rPr>
                    <w:t>33</w:t>
                  </w:r>
                  <w:r>
                    <w:rPr>
                      <w:color w:val="auto"/>
                      <w:kern w:val="0"/>
                      <w:szCs w:val="21"/>
                      <w:highlight w:val="none"/>
                      <w:lang w:bidi="ar"/>
                    </w:rPr>
                    <w:t xml:space="preserve"> </w:t>
                  </w:r>
                </w:p>
              </w:tc>
            </w:tr>
            <w:tr w14:paraId="67C0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74" w:type="dxa"/>
                  <w:vMerge w:val="continue"/>
                  <w:vAlign w:val="center"/>
                </w:tcPr>
                <w:p w14:paraId="4EFB64D0">
                  <w:pPr>
                    <w:widowControl/>
                    <w:spacing w:line="300" w:lineRule="exact"/>
                    <w:jc w:val="center"/>
                    <w:rPr>
                      <w:color w:val="auto"/>
                      <w:szCs w:val="21"/>
                      <w:highlight w:val="none"/>
                    </w:rPr>
                  </w:pPr>
                </w:p>
              </w:tc>
              <w:tc>
                <w:tcPr>
                  <w:tcW w:w="2188" w:type="dxa"/>
                  <w:vMerge w:val="continue"/>
                  <w:vAlign w:val="center"/>
                </w:tcPr>
                <w:p w14:paraId="60B66E13">
                  <w:pPr>
                    <w:widowControl/>
                    <w:spacing w:line="300" w:lineRule="exact"/>
                    <w:jc w:val="center"/>
                    <w:rPr>
                      <w:color w:val="auto"/>
                      <w:szCs w:val="21"/>
                      <w:highlight w:val="none"/>
                    </w:rPr>
                  </w:pPr>
                </w:p>
              </w:tc>
              <w:tc>
                <w:tcPr>
                  <w:tcW w:w="1312" w:type="dxa"/>
                  <w:vMerge w:val="continue"/>
                  <w:vAlign w:val="center"/>
                </w:tcPr>
                <w:p w14:paraId="1AA2C0ED">
                  <w:pPr>
                    <w:widowControl/>
                    <w:spacing w:line="300" w:lineRule="exact"/>
                    <w:jc w:val="center"/>
                    <w:rPr>
                      <w:color w:val="auto"/>
                      <w:szCs w:val="21"/>
                      <w:highlight w:val="none"/>
                    </w:rPr>
                  </w:pPr>
                </w:p>
              </w:tc>
              <w:tc>
                <w:tcPr>
                  <w:tcW w:w="0" w:type="auto"/>
                  <w:vAlign w:val="center"/>
                </w:tcPr>
                <w:p w14:paraId="093CAB9A">
                  <w:pPr>
                    <w:widowControl/>
                    <w:spacing w:line="300" w:lineRule="exact"/>
                    <w:jc w:val="center"/>
                    <w:rPr>
                      <w:color w:val="auto"/>
                      <w:szCs w:val="21"/>
                      <w:highlight w:val="none"/>
                    </w:rPr>
                  </w:pPr>
                  <w:r>
                    <w:rPr>
                      <w:color w:val="auto"/>
                      <w:szCs w:val="21"/>
                      <w:highlight w:val="none"/>
                    </w:rPr>
                    <w:t>BOD</w:t>
                  </w:r>
                  <w:r>
                    <w:rPr>
                      <w:color w:val="auto"/>
                      <w:szCs w:val="21"/>
                      <w:highlight w:val="none"/>
                      <w:vertAlign w:val="subscript"/>
                    </w:rPr>
                    <w:t>5</w:t>
                  </w:r>
                </w:p>
              </w:tc>
              <w:tc>
                <w:tcPr>
                  <w:tcW w:w="1782" w:type="dxa"/>
                  <w:vAlign w:val="center"/>
                </w:tcPr>
                <w:p w14:paraId="4427A871">
                  <w:pPr>
                    <w:widowControl/>
                    <w:jc w:val="center"/>
                    <w:textAlignment w:val="center"/>
                    <w:rPr>
                      <w:color w:val="auto"/>
                      <w:szCs w:val="21"/>
                      <w:highlight w:val="none"/>
                    </w:rPr>
                  </w:pPr>
                  <w:r>
                    <w:rPr>
                      <w:color w:val="auto"/>
                      <w:kern w:val="0"/>
                      <w:szCs w:val="21"/>
                      <w:highlight w:val="none"/>
                      <w:lang w:bidi="ar"/>
                    </w:rPr>
                    <w:t xml:space="preserve">500 </w:t>
                  </w:r>
                </w:p>
              </w:tc>
              <w:tc>
                <w:tcPr>
                  <w:tcW w:w="1561" w:type="dxa"/>
                  <w:vAlign w:val="center"/>
                </w:tcPr>
                <w:p w14:paraId="2F423B2A">
                  <w:pPr>
                    <w:widowControl/>
                    <w:jc w:val="center"/>
                    <w:textAlignment w:val="center"/>
                    <w:rPr>
                      <w:color w:val="auto"/>
                      <w:szCs w:val="21"/>
                      <w:highlight w:val="none"/>
                    </w:rPr>
                  </w:pPr>
                  <w:r>
                    <w:rPr>
                      <w:color w:val="auto"/>
                      <w:kern w:val="0"/>
                      <w:szCs w:val="21"/>
                      <w:highlight w:val="none"/>
                      <w:lang w:bidi="ar"/>
                    </w:rPr>
                    <w:t xml:space="preserve">0.693 </w:t>
                  </w:r>
                </w:p>
              </w:tc>
            </w:tr>
            <w:tr w14:paraId="72BD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74" w:type="dxa"/>
                  <w:vMerge w:val="continue"/>
                  <w:vAlign w:val="center"/>
                </w:tcPr>
                <w:p w14:paraId="5BCBF76E">
                  <w:pPr>
                    <w:widowControl/>
                    <w:spacing w:line="300" w:lineRule="exact"/>
                    <w:jc w:val="center"/>
                    <w:rPr>
                      <w:color w:val="auto"/>
                      <w:szCs w:val="21"/>
                      <w:highlight w:val="none"/>
                    </w:rPr>
                  </w:pPr>
                </w:p>
              </w:tc>
              <w:tc>
                <w:tcPr>
                  <w:tcW w:w="2188" w:type="dxa"/>
                  <w:vMerge w:val="continue"/>
                  <w:vAlign w:val="center"/>
                </w:tcPr>
                <w:p w14:paraId="4D046F4B">
                  <w:pPr>
                    <w:widowControl/>
                    <w:spacing w:line="300" w:lineRule="exact"/>
                    <w:jc w:val="center"/>
                    <w:rPr>
                      <w:color w:val="auto"/>
                      <w:szCs w:val="21"/>
                      <w:highlight w:val="none"/>
                    </w:rPr>
                  </w:pPr>
                </w:p>
              </w:tc>
              <w:tc>
                <w:tcPr>
                  <w:tcW w:w="1312" w:type="dxa"/>
                  <w:vMerge w:val="continue"/>
                  <w:vAlign w:val="center"/>
                </w:tcPr>
                <w:p w14:paraId="34C81ADB">
                  <w:pPr>
                    <w:widowControl/>
                    <w:spacing w:line="300" w:lineRule="exact"/>
                    <w:jc w:val="center"/>
                    <w:rPr>
                      <w:color w:val="auto"/>
                      <w:szCs w:val="21"/>
                      <w:highlight w:val="none"/>
                    </w:rPr>
                  </w:pPr>
                </w:p>
              </w:tc>
              <w:tc>
                <w:tcPr>
                  <w:tcW w:w="0" w:type="auto"/>
                  <w:vAlign w:val="center"/>
                </w:tcPr>
                <w:p w14:paraId="3FA5573C">
                  <w:pPr>
                    <w:widowControl/>
                    <w:spacing w:line="300" w:lineRule="exact"/>
                    <w:jc w:val="center"/>
                    <w:rPr>
                      <w:color w:val="auto"/>
                      <w:szCs w:val="21"/>
                      <w:highlight w:val="none"/>
                    </w:rPr>
                  </w:pPr>
                  <w:r>
                    <w:rPr>
                      <w:color w:val="auto"/>
                      <w:szCs w:val="21"/>
                      <w:highlight w:val="none"/>
                    </w:rPr>
                    <w:t>SS</w:t>
                  </w:r>
                </w:p>
              </w:tc>
              <w:tc>
                <w:tcPr>
                  <w:tcW w:w="1782" w:type="dxa"/>
                  <w:vAlign w:val="center"/>
                </w:tcPr>
                <w:p w14:paraId="1C6624E0">
                  <w:pPr>
                    <w:widowControl/>
                    <w:jc w:val="center"/>
                    <w:textAlignment w:val="center"/>
                    <w:rPr>
                      <w:color w:val="auto"/>
                      <w:szCs w:val="21"/>
                      <w:highlight w:val="none"/>
                    </w:rPr>
                  </w:pPr>
                  <w:r>
                    <w:rPr>
                      <w:color w:val="auto"/>
                      <w:kern w:val="0"/>
                      <w:szCs w:val="21"/>
                      <w:highlight w:val="none"/>
                      <w:lang w:bidi="ar"/>
                    </w:rPr>
                    <w:t xml:space="preserve">700 </w:t>
                  </w:r>
                </w:p>
              </w:tc>
              <w:tc>
                <w:tcPr>
                  <w:tcW w:w="1561" w:type="dxa"/>
                  <w:vAlign w:val="center"/>
                </w:tcPr>
                <w:p w14:paraId="1491A35A">
                  <w:pPr>
                    <w:widowControl/>
                    <w:jc w:val="center"/>
                    <w:textAlignment w:val="center"/>
                    <w:rPr>
                      <w:color w:val="auto"/>
                      <w:szCs w:val="21"/>
                      <w:highlight w:val="none"/>
                    </w:rPr>
                  </w:pPr>
                  <w:r>
                    <w:rPr>
                      <w:color w:val="auto"/>
                      <w:kern w:val="0"/>
                      <w:szCs w:val="21"/>
                      <w:highlight w:val="none"/>
                      <w:lang w:bidi="ar"/>
                    </w:rPr>
                    <w:t xml:space="preserve">0.970 </w:t>
                  </w:r>
                </w:p>
              </w:tc>
            </w:tr>
            <w:tr w14:paraId="3EDA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474" w:type="dxa"/>
                  <w:vMerge w:val="continue"/>
                  <w:vAlign w:val="center"/>
                </w:tcPr>
                <w:p w14:paraId="510BB6DA">
                  <w:pPr>
                    <w:widowControl/>
                    <w:spacing w:line="300" w:lineRule="exact"/>
                    <w:jc w:val="center"/>
                    <w:rPr>
                      <w:color w:val="auto"/>
                      <w:szCs w:val="21"/>
                      <w:highlight w:val="none"/>
                    </w:rPr>
                  </w:pPr>
                </w:p>
              </w:tc>
              <w:tc>
                <w:tcPr>
                  <w:tcW w:w="2188" w:type="dxa"/>
                  <w:vMerge w:val="continue"/>
                  <w:vAlign w:val="center"/>
                </w:tcPr>
                <w:p w14:paraId="6681BD48">
                  <w:pPr>
                    <w:widowControl/>
                    <w:spacing w:line="300" w:lineRule="exact"/>
                    <w:jc w:val="center"/>
                    <w:rPr>
                      <w:color w:val="auto"/>
                      <w:szCs w:val="21"/>
                      <w:highlight w:val="none"/>
                    </w:rPr>
                  </w:pPr>
                </w:p>
              </w:tc>
              <w:tc>
                <w:tcPr>
                  <w:tcW w:w="1312" w:type="dxa"/>
                  <w:vMerge w:val="continue"/>
                  <w:vAlign w:val="center"/>
                </w:tcPr>
                <w:p w14:paraId="61B7D434">
                  <w:pPr>
                    <w:widowControl/>
                    <w:spacing w:line="300" w:lineRule="exact"/>
                    <w:jc w:val="center"/>
                    <w:rPr>
                      <w:color w:val="auto"/>
                      <w:szCs w:val="21"/>
                      <w:highlight w:val="none"/>
                    </w:rPr>
                  </w:pPr>
                </w:p>
              </w:tc>
              <w:tc>
                <w:tcPr>
                  <w:tcW w:w="0" w:type="auto"/>
                  <w:vAlign w:val="center"/>
                </w:tcPr>
                <w:p w14:paraId="02B2429A">
                  <w:pPr>
                    <w:widowControl/>
                    <w:spacing w:line="300" w:lineRule="exact"/>
                    <w:jc w:val="center"/>
                    <w:rPr>
                      <w:color w:val="auto"/>
                      <w:szCs w:val="21"/>
                      <w:highlight w:val="none"/>
                    </w:rPr>
                  </w:pPr>
                  <w:r>
                    <w:rPr>
                      <w:color w:val="auto"/>
                      <w:szCs w:val="21"/>
                      <w:highlight w:val="none"/>
                    </w:rPr>
                    <w:t>氨氮</w:t>
                  </w:r>
                </w:p>
              </w:tc>
              <w:tc>
                <w:tcPr>
                  <w:tcW w:w="1782" w:type="dxa"/>
                  <w:vAlign w:val="center"/>
                </w:tcPr>
                <w:p w14:paraId="00A957A0">
                  <w:pPr>
                    <w:widowControl/>
                    <w:jc w:val="center"/>
                    <w:textAlignment w:val="center"/>
                    <w:rPr>
                      <w:color w:val="auto"/>
                      <w:szCs w:val="21"/>
                      <w:highlight w:val="none"/>
                    </w:rPr>
                  </w:pPr>
                  <w:r>
                    <w:rPr>
                      <w:color w:val="auto"/>
                      <w:kern w:val="0"/>
                      <w:szCs w:val="21"/>
                      <w:highlight w:val="none"/>
                      <w:lang w:bidi="ar"/>
                    </w:rPr>
                    <w:t xml:space="preserve">30 </w:t>
                  </w:r>
                </w:p>
              </w:tc>
              <w:tc>
                <w:tcPr>
                  <w:tcW w:w="1561" w:type="dxa"/>
                  <w:vAlign w:val="center"/>
                </w:tcPr>
                <w:p w14:paraId="69E0146E">
                  <w:pPr>
                    <w:widowControl/>
                    <w:jc w:val="center"/>
                    <w:textAlignment w:val="center"/>
                    <w:rPr>
                      <w:color w:val="auto"/>
                      <w:szCs w:val="21"/>
                      <w:highlight w:val="none"/>
                    </w:rPr>
                  </w:pPr>
                  <w:r>
                    <w:rPr>
                      <w:color w:val="auto"/>
                      <w:kern w:val="0"/>
                      <w:szCs w:val="21"/>
                      <w:highlight w:val="none"/>
                      <w:lang w:bidi="ar"/>
                    </w:rPr>
                    <w:t xml:space="preserve">0.041 </w:t>
                  </w:r>
                </w:p>
              </w:tc>
            </w:tr>
            <w:tr w14:paraId="70A8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74" w:type="dxa"/>
                  <w:vMerge w:val="continue"/>
                  <w:vAlign w:val="center"/>
                </w:tcPr>
                <w:p w14:paraId="7CD1A43E">
                  <w:pPr>
                    <w:widowControl/>
                    <w:spacing w:line="300" w:lineRule="exact"/>
                    <w:jc w:val="center"/>
                    <w:rPr>
                      <w:color w:val="auto"/>
                      <w:szCs w:val="21"/>
                      <w:highlight w:val="none"/>
                    </w:rPr>
                  </w:pPr>
                </w:p>
              </w:tc>
              <w:tc>
                <w:tcPr>
                  <w:tcW w:w="2188" w:type="dxa"/>
                  <w:vMerge w:val="continue"/>
                  <w:vAlign w:val="center"/>
                </w:tcPr>
                <w:p w14:paraId="77A0075F">
                  <w:pPr>
                    <w:widowControl/>
                    <w:spacing w:line="300" w:lineRule="exact"/>
                    <w:jc w:val="center"/>
                    <w:rPr>
                      <w:color w:val="auto"/>
                      <w:szCs w:val="21"/>
                      <w:highlight w:val="none"/>
                    </w:rPr>
                  </w:pPr>
                </w:p>
              </w:tc>
              <w:tc>
                <w:tcPr>
                  <w:tcW w:w="1312" w:type="dxa"/>
                  <w:vMerge w:val="continue"/>
                  <w:vAlign w:val="center"/>
                </w:tcPr>
                <w:p w14:paraId="558DE601">
                  <w:pPr>
                    <w:widowControl/>
                    <w:spacing w:line="300" w:lineRule="exact"/>
                    <w:jc w:val="center"/>
                    <w:rPr>
                      <w:color w:val="auto"/>
                      <w:szCs w:val="21"/>
                      <w:highlight w:val="none"/>
                    </w:rPr>
                  </w:pPr>
                </w:p>
              </w:tc>
              <w:tc>
                <w:tcPr>
                  <w:tcW w:w="0" w:type="auto"/>
                  <w:vAlign w:val="center"/>
                </w:tcPr>
                <w:p w14:paraId="502893C0">
                  <w:pPr>
                    <w:widowControl/>
                    <w:spacing w:line="300" w:lineRule="exact"/>
                    <w:jc w:val="center"/>
                    <w:rPr>
                      <w:color w:val="auto"/>
                      <w:szCs w:val="21"/>
                      <w:highlight w:val="none"/>
                    </w:rPr>
                  </w:pPr>
                  <w:r>
                    <w:rPr>
                      <w:color w:val="auto"/>
                      <w:szCs w:val="21"/>
                      <w:highlight w:val="none"/>
                    </w:rPr>
                    <w:t>总氮</w:t>
                  </w:r>
                </w:p>
              </w:tc>
              <w:tc>
                <w:tcPr>
                  <w:tcW w:w="1782" w:type="dxa"/>
                  <w:vAlign w:val="center"/>
                </w:tcPr>
                <w:p w14:paraId="13DBD1DB">
                  <w:pPr>
                    <w:widowControl/>
                    <w:jc w:val="center"/>
                    <w:textAlignment w:val="center"/>
                    <w:rPr>
                      <w:color w:val="auto"/>
                      <w:szCs w:val="21"/>
                      <w:highlight w:val="none"/>
                    </w:rPr>
                  </w:pPr>
                  <w:r>
                    <w:rPr>
                      <w:color w:val="auto"/>
                      <w:kern w:val="0"/>
                      <w:szCs w:val="21"/>
                      <w:highlight w:val="none"/>
                      <w:lang w:bidi="ar"/>
                    </w:rPr>
                    <w:t xml:space="preserve">45 </w:t>
                  </w:r>
                </w:p>
              </w:tc>
              <w:tc>
                <w:tcPr>
                  <w:tcW w:w="1561" w:type="dxa"/>
                  <w:vAlign w:val="center"/>
                </w:tcPr>
                <w:p w14:paraId="52D08D70">
                  <w:pPr>
                    <w:widowControl/>
                    <w:jc w:val="center"/>
                    <w:textAlignment w:val="center"/>
                    <w:rPr>
                      <w:color w:val="auto"/>
                      <w:szCs w:val="21"/>
                      <w:highlight w:val="none"/>
                    </w:rPr>
                  </w:pPr>
                  <w:r>
                    <w:rPr>
                      <w:color w:val="auto"/>
                      <w:kern w:val="0"/>
                      <w:szCs w:val="21"/>
                      <w:highlight w:val="none"/>
                      <w:lang w:bidi="ar"/>
                    </w:rPr>
                    <w:t xml:space="preserve">0.063 </w:t>
                  </w:r>
                </w:p>
              </w:tc>
            </w:tr>
            <w:tr w14:paraId="7FF8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Merge w:val="continue"/>
                  <w:vAlign w:val="center"/>
                </w:tcPr>
                <w:p w14:paraId="63B1824D">
                  <w:pPr>
                    <w:widowControl/>
                    <w:spacing w:line="300" w:lineRule="exact"/>
                    <w:jc w:val="center"/>
                    <w:rPr>
                      <w:color w:val="auto"/>
                      <w:szCs w:val="21"/>
                      <w:highlight w:val="none"/>
                    </w:rPr>
                  </w:pPr>
                </w:p>
              </w:tc>
              <w:tc>
                <w:tcPr>
                  <w:tcW w:w="2188" w:type="dxa"/>
                  <w:vMerge w:val="continue"/>
                  <w:vAlign w:val="center"/>
                </w:tcPr>
                <w:p w14:paraId="27A7145C">
                  <w:pPr>
                    <w:widowControl/>
                    <w:spacing w:line="300" w:lineRule="exact"/>
                    <w:jc w:val="center"/>
                    <w:rPr>
                      <w:color w:val="auto"/>
                      <w:szCs w:val="21"/>
                      <w:highlight w:val="none"/>
                    </w:rPr>
                  </w:pPr>
                </w:p>
              </w:tc>
              <w:tc>
                <w:tcPr>
                  <w:tcW w:w="1312" w:type="dxa"/>
                  <w:vMerge w:val="continue"/>
                  <w:vAlign w:val="center"/>
                </w:tcPr>
                <w:p w14:paraId="0740A5DF">
                  <w:pPr>
                    <w:widowControl/>
                    <w:spacing w:line="300" w:lineRule="exact"/>
                    <w:jc w:val="center"/>
                    <w:rPr>
                      <w:color w:val="auto"/>
                      <w:szCs w:val="21"/>
                      <w:highlight w:val="none"/>
                    </w:rPr>
                  </w:pPr>
                </w:p>
              </w:tc>
              <w:tc>
                <w:tcPr>
                  <w:tcW w:w="0" w:type="auto"/>
                  <w:vAlign w:val="center"/>
                </w:tcPr>
                <w:p w14:paraId="010C5617">
                  <w:pPr>
                    <w:widowControl/>
                    <w:spacing w:line="300" w:lineRule="exact"/>
                    <w:jc w:val="center"/>
                    <w:rPr>
                      <w:color w:val="auto"/>
                      <w:szCs w:val="21"/>
                      <w:highlight w:val="none"/>
                    </w:rPr>
                  </w:pPr>
                  <w:r>
                    <w:rPr>
                      <w:color w:val="auto"/>
                      <w:kern w:val="0"/>
                      <w:szCs w:val="21"/>
                      <w:highlight w:val="none"/>
                      <w:lang w:bidi="ar"/>
                    </w:rPr>
                    <w:t>总磷</w:t>
                  </w:r>
                </w:p>
              </w:tc>
              <w:tc>
                <w:tcPr>
                  <w:tcW w:w="1782" w:type="dxa"/>
                  <w:vAlign w:val="center"/>
                </w:tcPr>
                <w:p w14:paraId="2068BE52">
                  <w:pPr>
                    <w:widowControl/>
                    <w:jc w:val="center"/>
                    <w:textAlignment w:val="center"/>
                    <w:rPr>
                      <w:color w:val="auto"/>
                      <w:kern w:val="0"/>
                      <w:szCs w:val="21"/>
                      <w:highlight w:val="none"/>
                      <w:lang w:bidi="ar"/>
                    </w:rPr>
                  </w:pPr>
                  <w:r>
                    <w:rPr>
                      <w:color w:val="auto"/>
                      <w:kern w:val="0"/>
                      <w:szCs w:val="21"/>
                      <w:highlight w:val="none"/>
                      <w:lang w:bidi="ar"/>
                    </w:rPr>
                    <w:t xml:space="preserve">3 </w:t>
                  </w:r>
                </w:p>
              </w:tc>
              <w:tc>
                <w:tcPr>
                  <w:tcW w:w="1561" w:type="dxa"/>
                  <w:vAlign w:val="center"/>
                </w:tcPr>
                <w:p w14:paraId="35106B40">
                  <w:pPr>
                    <w:widowControl/>
                    <w:jc w:val="center"/>
                    <w:textAlignment w:val="center"/>
                    <w:rPr>
                      <w:color w:val="auto"/>
                      <w:szCs w:val="21"/>
                      <w:highlight w:val="none"/>
                    </w:rPr>
                  </w:pPr>
                  <w:r>
                    <w:rPr>
                      <w:color w:val="auto"/>
                      <w:kern w:val="0"/>
                      <w:szCs w:val="21"/>
                      <w:highlight w:val="none"/>
                      <w:lang w:bidi="ar"/>
                    </w:rPr>
                    <w:t xml:space="preserve">0.004 </w:t>
                  </w:r>
                </w:p>
              </w:tc>
            </w:tr>
            <w:tr w14:paraId="5D09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74" w:type="dxa"/>
                  <w:vMerge w:val="restart"/>
                  <w:vAlign w:val="center"/>
                </w:tcPr>
                <w:p w14:paraId="7C363D2C">
                  <w:pPr>
                    <w:widowControl/>
                    <w:spacing w:line="300" w:lineRule="exact"/>
                    <w:jc w:val="center"/>
                    <w:rPr>
                      <w:color w:val="auto"/>
                      <w:szCs w:val="21"/>
                      <w:highlight w:val="none"/>
                    </w:rPr>
                  </w:pPr>
                  <w:r>
                    <w:rPr>
                      <w:color w:val="auto"/>
                      <w:szCs w:val="21"/>
                      <w:highlight w:val="none"/>
                    </w:rPr>
                    <w:t>2</w:t>
                  </w:r>
                </w:p>
              </w:tc>
              <w:tc>
                <w:tcPr>
                  <w:tcW w:w="2188" w:type="dxa"/>
                  <w:vMerge w:val="restart"/>
                  <w:vAlign w:val="center"/>
                </w:tcPr>
                <w:p w14:paraId="5C069B6D">
                  <w:pPr>
                    <w:widowControl/>
                    <w:spacing w:line="300" w:lineRule="exact"/>
                    <w:jc w:val="center"/>
                    <w:rPr>
                      <w:color w:val="auto"/>
                      <w:szCs w:val="21"/>
                      <w:highlight w:val="none"/>
                    </w:rPr>
                  </w:pPr>
                  <w:r>
                    <w:rPr>
                      <w:color w:val="auto"/>
                      <w:szCs w:val="21"/>
                      <w:highlight w:val="none"/>
                    </w:rPr>
                    <w:t>地面清洁废水W5</w:t>
                  </w:r>
                </w:p>
              </w:tc>
              <w:tc>
                <w:tcPr>
                  <w:tcW w:w="1312" w:type="dxa"/>
                  <w:vMerge w:val="restart"/>
                  <w:vAlign w:val="center"/>
                </w:tcPr>
                <w:p w14:paraId="514882DF">
                  <w:pPr>
                    <w:widowControl/>
                    <w:spacing w:line="300" w:lineRule="exact"/>
                    <w:jc w:val="center"/>
                    <w:rPr>
                      <w:color w:val="auto"/>
                      <w:szCs w:val="21"/>
                      <w:highlight w:val="none"/>
                    </w:rPr>
                  </w:pPr>
                  <w:r>
                    <w:rPr>
                      <w:color w:val="auto"/>
                      <w:szCs w:val="21"/>
                      <w:highlight w:val="none"/>
                    </w:rPr>
                    <w:t>28.577</w:t>
                  </w:r>
                </w:p>
              </w:tc>
              <w:tc>
                <w:tcPr>
                  <w:tcW w:w="0" w:type="auto"/>
                  <w:vAlign w:val="center"/>
                </w:tcPr>
                <w:p w14:paraId="266C8B30">
                  <w:pPr>
                    <w:widowControl/>
                    <w:spacing w:line="300" w:lineRule="exact"/>
                    <w:jc w:val="center"/>
                    <w:rPr>
                      <w:color w:val="auto"/>
                      <w:szCs w:val="21"/>
                      <w:highlight w:val="none"/>
                    </w:rPr>
                  </w:pPr>
                  <w:r>
                    <w:rPr>
                      <w:color w:val="auto"/>
                      <w:szCs w:val="21"/>
                      <w:highlight w:val="none"/>
                    </w:rPr>
                    <w:t>COD</w:t>
                  </w:r>
                </w:p>
              </w:tc>
              <w:tc>
                <w:tcPr>
                  <w:tcW w:w="1782" w:type="dxa"/>
                  <w:vAlign w:val="center"/>
                </w:tcPr>
                <w:p w14:paraId="4A26DEDD">
                  <w:pPr>
                    <w:widowControl/>
                    <w:jc w:val="center"/>
                    <w:textAlignment w:val="center"/>
                    <w:rPr>
                      <w:color w:val="auto"/>
                      <w:szCs w:val="21"/>
                      <w:highlight w:val="none"/>
                    </w:rPr>
                  </w:pPr>
                  <w:r>
                    <w:rPr>
                      <w:color w:val="auto"/>
                      <w:kern w:val="0"/>
                      <w:szCs w:val="21"/>
                      <w:highlight w:val="none"/>
                      <w:lang w:bidi="ar"/>
                    </w:rPr>
                    <w:t xml:space="preserve">600 </w:t>
                  </w:r>
                </w:p>
              </w:tc>
              <w:tc>
                <w:tcPr>
                  <w:tcW w:w="1561" w:type="dxa"/>
                  <w:vAlign w:val="center"/>
                </w:tcPr>
                <w:p w14:paraId="1E0B9C17">
                  <w:pPr>
                    <w:widowControl/>
                    <w:jc w:val="center"/>
                    <w:textAlignment w:val="center"/>
                    <w:rPr>
                      <w:color w:val="auto"/>
                      <w:szCs w:val="21"/>
                      <w:highlight w:val="none"/>
                    </w:rPr>
                  </w:pPr>
                  <w:r>
                    <w:rPr>
                      <w:color w:val="auto"/>
                      <w:kern w:val="0"/>
                      <w:szCs w:val="21"/>
                      <w:highlight w:val="none"/>
                      <w:lang w:bidi="ar"/>
                    </w:rPr>
                    <w:t xml:space="preserve">0.017 </w:t>
                  </w:r>
                </w:p>
              </w:tc>
            </w:tr>
            <w:tr w14:paraId="4146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dxa"/>
                  <w:vMerge w:val="continue"/>
                  <w:vAlign w:val="center"/>
                </w:tcPr>
                <w:p w14:paraId="00CE8B4B">
                  <w:pPr>
                    <w:widowControl/>
                    <w:spacing w:line="300" w:lineRule="exact"/>
                    <w:jc w:val="center"/>
                    <w:rPr>
                      <w:color w:val="auto"/>
                      <w:szCs w:val="21"/>
                      <w:highlight w:val="none"/>
                    </w:rPr>
                  </w:pPr>
                </w:p>
              </w:tc>
              <w:tc>
                <w:tcPr>
                  <w:tcW w:w="2188" w:type="dxa"/>
                  <w:vMerge w:val="continue"/>
                  <w:vAlign w:val="center"/>
                </w:tcPr>
                <w:p w14:paraId="415ABD9A">
                  <w:pPr>
                    <w:widowControl/>
                    <w:spacing w:line="300" w:lineRule="exact"/>
                    <w:jc w:val="center"/>
                    <w:rPr>
                      <w:color w:val="auto"/>
                      <w:szCs w:val="21"/>
                      <w:highlight w:val="none"/>
                    </w:rPr>
                  </w:pPr>
                </w:p>
              </w:tc>
              <w:tc>
                <w:tcPr>
                  <w:tcW w:w="1312" w:type="dxa"/>
                  <w:vMerge w:val="continue"/>
                  <w:vAlign w:val="center"/>
                </w:tcPr>
                <w:p w14:paraId="50292554">
                  <w:pPr>
                    <w:widowControl/>
                    <w:spacing w:line="300" w:lineRule="exact"/>
                    <w:jc w:val="center"/>
                    <w:rPr>
                      <w:color w:val="auto"/>
                      <w:szCs w:val="21"/>
                      <w:highlight w:val="none"/>
                    </w:rPr>
                  </w:pPr>
                </w:p>
              </w:tc>
              <w:tc>
                <w:tcPr>
                  <w:tcW w:w="0" w:type="auto"/>
                  <w:vAlign w:val="center"/>
                </w:tcPr>
                <w:p w14:paraId="65E33D5B">
                  <w:pPr>
                    <w:widowControl/>
                    <w:spacing w:line="300" w:lineRule="exact"/>
                    <w:jc w:val="center"/>
                    <w:rPr>
                      <w:color w:val="auto"/>
                      <w:szCs w:val="21"/>
                      <w:highlight w:val="none"/>
                    </w:rPr>
                  </w:pPr>
                  <w:r>
                    <w:rPr>
                      <w:color w:val="auto"/>
                      <w:szCs w:val="21"/>
                      <w:highlight w:val="none"/>
                    </w:rPr>
                    <w:t>BOD</w:t>
                  </w:r>
                  <w:r>
                    <w:rPr>
                      <w:color w:val="auto"/>
                      <w:szCs w:val="21"/>
                      <w:highlight w:val="none"/>
                      <w:vertAlign w:val="subscript"/>
                    </w:rPr>
                    <w:t>5</w:t>
                  </w:r>
                </w:p>
              </w:tc>
              <w:tc>
                <w:tcPr>
                  <w:tcW w:w="1782" w:type="dxa"/>
                  <w:vAlign w:val="center"/>
                </w:tcPr>
                <w:p w14:paraId="4E7059DC">
                  <w:pPr>
                    <w:widowControl/>
                    <w:jc w:val="center"/>
                    <w:textAlignment w:val="center"/>
                    <w:rPr>
                      <w:color w:val="auto"/>
                      <w:szCs w:val="21"/>
                      <w:highlight w:val="none"/>
                    </w:rPr>
                  </w:pPr>
                  <w:r>
                    <w:rPr>
                      <w:color w:val="auto"/>
                      <w:kern w:val="0"/>
                      <w:szCs w:val="21"/>
                      <w:highlight w:val="none"/>
                      <w:lang w:bidi="ar"/>
                    </w:rPr>
                    <w:t xml:space="preserve">500 </w:t>
                  </w:r>
                </w:p>
              </w:tc>
              <w:tc>
                <w:tcPr>
                  <w:tcW w:w="1561" w:type="dxa"/>
                  <w:vAlign w:val="center"/>
                </w:tcPr>
                <w:p w14:paraId="795DCEA7">
                  <w:pPr>
                    <w:widowControl/>
                    <w:jc w:val="center"/>
                    <w:textAlignment w:val="center"/>
                    <w:rPr>
                      <w:color w:val="auto"/>
                      <w:szCs w:val="21"/>
                      <w:highlight w:val="none"/>
                    </w:rPr>
                  </w:pPr>
                  <w:r>
                    <w:rPr>
                      <w:color w:val="auto"/>
                      <w:kern w:val="0"/>
                      <w:szCs w:val="21"/>
                      <w:highlight w:val="none"/>
                      <w:lang w:bidi="ar"/>
                    </w:rPr>
                    <w:t xml:space="preserve">0.014 </w:t>
                  </w:r>
                </w:p>
              </w:tc>
            </w:tr>
            <w:tr w14:paraId="0851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474" w:type="dxa"/>
                  <w:vMerge w:val="continue"/>
                  <w:vAlign w:val="center"/>
                </w:tcPr>
                <w:p w14:paraId="58691625">
                  <w:pPr>
                    <w:widowControl/>
                    <w:spacing w:line="300" w:lineRule="exact"/>
                    <w:jc w:val="center"/>
                    <w:rPr>
                      <w:color w:val="auto"/>
                      <w:szCs w:val="21"/>
                      <w:highlight w:val="none"/>
                    </w:rPr>
                  </w:pPr>
                </w:p>
              </w:tc>
              <w:tc>
                <w:tcPr>
                  <w:tcW w:w="2188" w:type="dxa"/>
                  <w:vMerge w:val="continue"/>
                  <w:vAlign w:val="center"/>
                </w:tcPr>
                <w:p w14:paraId="58AC8E33">
                  <w:pPr>
                    <w:widowControl/>
                    <w:spacing w:line="300" w:lineRule="exact"/>
                    <w:jc w:val="center"/>
                    <w:rPr>
                      <w:color w:val="auto"/>
                      <w:szCs w:val="21"/>
                      <w:highlight w:val="none"/>
                    </w:rPr>
                  </w:pPr>
                </w:p>
              </w:tc>
              <w:tc>
                <w:tcPr>
                  <w:tcW w:w="1312" w:type="dxa"/>
                  <w:vMerge w:val="continue"/>
                  <w:vAlign w:val="center"/>
                </w:tcPr>
                <w:p w14:paraId="04305A26">
                  <w:pPr>
                    <w:widowControl/>
                    <w:spacing w:line="300" w:lineRule="exact"/>
                    <w:jc w:val="center"/>
                    <w:rPr>
                      <w:color w:val="auto"/>
                      <w:szCs w:val="21"/>
                      <w:highlight w:val="none"/>
                    </w:rPr>
                  </w:pPr>
                </w:p>
              </w:tc>
              <w:tc>
                <w:tcPr>
                  <w:tcW w:w="0" w:type="auto"/>
                  <w:vAlign w:val="center"/>
                </w:tcPr>
                <w:p w14:paraId="17E8633D">
                  <w:pPr>
                    <w:widowControl/>
                    <w:spacing w:line="300" w:lineRule="exact"/>
                    <w:jc w:val="center"/>
                    <w:rPr>
                      <w:color w:val="auto"/>
                      <w:szCs w:val="21"/>
                      <w:highlight w:val="none"/>
                    </w:rPr>
                  </w:pPr>
                  <w:r>
                    <w:rPr>
                      <w:color w:val="auto"/>
                      <w:szCs w:val="21"/>
                      <w:highlight w:val="none"/>
                    </w:rPr>
                    <w:t>SS</w:t>
                  </w:r>
                </w:p>
              </w:tc>
              <w:tc>
                <w:tcPr>
                  <w:tcW w:w="1782" w:type="dxa"/>
                  <w:vAlign w:val="center"/>
                </w:tcPr>
                <w:p w14:paraId="67B39255">
                  <w:pPr>
                    <w:widowControl/>
                    <w:jc w:val="center"/>
                    <w:textAlignment w:val="center"/>
                    <w:rPr>
                      <w:color w:val="auto"/>
                      <w:szCs w:val="21"/>
                      <w:highlight w:val="none"/>
                    </w:rPr>
                  </w:pPr>
                  <w:r>
                    <w:rPr>
                      <w:color w:val="auto"/>
                      <w:kern w:val="0"/>
                      <w:szCs w:val="21"/>
                      <w:highlight w:val="none"/>
                      <w:lang w:bidi="ar"/>
                    </w:rPr>
                    <w:t xml:space="preserve">500 </w:t>
                  </w:r>
                </w:p>
              </w:tc>
              <w:tc>
                <w:tcPr>
                  <w:tcW w:w="1561" w:type="dxa"/>
                  <w:vAlign w:val="center"/>
                </w:tcPr>
                <w:p w14:paraId="7D60042B">
                  <w:pPr>
                    <w:widowControl/>
                    <w:jc w:val="center"/>
                    <w:textAlignment w:val="center"/>
                    <w:rPr>
                      <w:color w:val="auto"/>
                      <w:szCs w:val="21"/>
                      <w:highlight w:val="none"/>
                    </w:rPr>
                  </w:pPr>
                  <w:r>
                    <w:rPr>
                      <w:color w:val="auto"/>
                      <w:kern w:val="0"/>
                      <w:szCs w:val="21"/>
                      <w:highlight w:val="none"/>
                      <w:lang w:bidi="ar"/>
                    </w:rPr>
                    <w:t xml:space="preserve">0.014 </w:t>
                  </w:r>
                </w:p>
              </w:tc>
            </w:tr>
            <w:tr w14:paraId="53D4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74" w:type="dxa"/>
                  <w:vMerge w:val="restart"/>
                  <w:vAlign w:val="center"/>
                </w:tcPr>
                <w:p w14:paraId="329AA736">
                  <w:pPr>
                    <w:widowControl/>
                    <w:spacing w:line="300" w:lineRule="exact"/>
                    <w:jc w:val="center"/>
                    <w:rPr>
                      <w:color w:val="auto"/>
                      <w:szCs w:val="21"/>
                      <w:highlight w:val="none"/>
                    </w:rPr>
                  </w:pPr>
                  <w:r>
                    <w:rPr>
                      <w:color w:val="auto"/>
                      <w:szCs w:val="21"/>
                      <w:highlight w:val="none"/>
                    </w:rPr>
                    <w:t>3</w:t>
                  </w:r>
                </w:p>
              </w:tc>
              <w:tc>
                <w:tcPr>
                  <w:tcW w:w="2188" w:type="dxa"/>
                  <w:vMerge w:val="restart"/>
                  <w:vAlign w:val="center"/>
                </w:tcPr>
                <w:p w14:paraId="23A829D5">
                  <w:pPr>
                    <w:widowControl/>
                    <w:spacing w:line="300" w:lineRule="exact"/>
                    <w:jc w:val="center"/>
                    <w:rPr>
                      <w:color w:val="auto"/>
                      <w:szCs w:val="21"/>
                      <w:highlight w:val="none"/>
                    </w:rPr>
                  </w:pPr>
                  <w:r>
                    <w:rPr>
                      <w:color w:val="auto"/>
                      <w:szCs w:val="21"/>
                      <w:highlight w:val="none"/>
                    </w:rPr>
                    <w:t>设备清洗废水W6</w:t>
                  </w:r>
                </w:p>
              </w:tc>
              <w:tc>
                <w:tcPr>
                  <w:tcW w:w="1312" w:type="dxa"/>
                  <w:vMerge w:val="restart"/>
                  <w:vAlign w:val="center"/>
                </w:tcPr>
                <w:p w14:paraId="5EDD6F60">
                  <w:pPr>
                    <w:widowControl/>
                    <w:spacing w:line="300" w:lineRule="exact"/>
                    <w:jc w:val="center"/>
                    <w:rPr>
                      <w:color w:val="auto"/>
                      <w:szCs w:val="21"/>
                      <w:highlight w:val="none"/>
                    </w:rPr>
                  </w:pPr>
                  <w:r>
                    <w:rPr>
                      <w:color w:val="auto"/>
                      <w:szCs w:val="21"/>
                      <w:highlight w:val="none"/>
                    </w:rPr>
                    <w:t>10.8</w:t>
                  </w:r>
                </w:p>
              </w:tc>
              <w:tc>
                <w:tcPr>
                  <w:tcW w:w="0" w:type="auto"/>
                  <w:vAlign w:val="center"/>
                </w:tcPr>
                <w:p w14:paraId="5D14C863">
                  <w:pPr>
                    <w:widowControl/>
                    <w:spacing w:line="300" w:lineRule="exact"/>
                    <w:jc w:val="center"/>
                    <w:rPr>
                      <w:color w:val="auto"/>
                      <w:szCs w:val="21"/>
                      <w:highlight w:val="none"/>
                    </w:rPr>
                  </w:pPr>
                  <w:r>
                    <w:rPr>
                      <w:color w:val="auto"/>
                      <w:szCs w:val="21"/>
                      <w:highlight w:val="none"/>
                    </w:rPr>
                    <w:t>COD</w:t>
                  </w:r>
                </w:p>
              </w:tc>
              <w:tc>
                <w:tcPr>
                  <w:tcW w:w="1782" w:type="dxa"/>
                  <w:vAlign w:val="center"/>
                </w:tcPr>
                <w:p w14:paraId="159EBA26">
                  <w:pPr>
                    <w:widowControl/>
                    <w:jc w:val="center"/>
                    <w:textAlignment w:val="center"/>
                    <w:rPr>
                      <w:color w:val="auto"/>
                      <w:szCs w:val="21"/>
                      <w:highlight w:val="none"/>
                    </w:rPr>
                  </w:pPr>
                  <w:r>
                    <w:rPr>
                      <w:color w:val="auto"/>
                      <w:kern w:val="0"/>
                      <w:szCs w:val="21"/>
                      <w:highlight w:val="none"/>
                      <w:lang w:bidi="ar"/>
                    </w:rPr>
                    <w:t xml:space="preserve">1000 </w:t>
                  </w:r>
                </w:p>
              </w:tc>
              <w:tc>
                <w:tcPr>
                  <w:tcW w:w="1561" w:type="dxa"/>
                  <w:vAlign w:val="center"/>
                </w:tcPr>
                <w:p w14:paraId="7B6639A1">
                  <w:pPr>
                    <w:widowControl/>
                    <w:jc w:val="center"/>
                    <w:textAlignment w:val="center"/>
                    <w:rPr>
                      <w:color w:val="auto"/>
                      <w:szCs w:val="21"/>
                      <w:highlight w:val="none"/>
                    </w:rPr>
                  </w:pPr>
                  <w:r>
                    <w:rPr>
                      <w:color w:val="auto"/>
                      <w:kern w:val="0"/>
                      <w:szCs w:val="21"/>
                      <w:highlight w:val="none"/>
                      <w:lang w:bidi="ar"/>
                    </w:rPr>
                    <w:t xml:space="preserve">0.011 </w:t>
                  </w:r>
                </w:p>
              </w:tc>
            </w:tr>
            <w:tr w14:paraId="4F7A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74" w:type="dxa"/>
                  <w:vMerge w:val="continue"/>
                  <w:vAlign w:val="center"/>
                </w:tcPr>
                <w:p w14:paraId="4BB1A44E">
                  <w:pPr>
                    <w:widowControl/>
                    <w:spacing w:line="300" w:lineRule="exact"/>
                    <w:jc w:val="center"/>
                    <w:rPr>
                      <w:color w:val="auto"/>
                      <w:szCs w:val="21"/>
                      <w:highlight w:val="none"/>
                    </w:rPr>
                  </w:pPr>
                </w:p>
              </w:tc>
              <w:tc>
                <w:tcPr>
                  <w:tcW w:w="2188" w:type="dxa"/>
                  <w:vMerge w:val="continue"/>
                  <w:vAlign w:val="center"/>
                </w:tcPr>
                <w:p w14:paraId="533EB276">
                  <w:pPr>
                    <w:widowControl/>
                    <w:spacing w:line="300" w:lineRule="exact"/>
                    <w:jc w:val="center"/>
                    <w:rPr>
                      <w:color w:val="auto"/>
                      <w:szCs w:val="21"/>
                      <w:highlight w:val="none"/>
                    </w:rPr>
                  </w:pPr>
                </w:p>
              </w:tc>
              <w:tc>
                <w:tcPr>
                  <w:tcW w:w="1312" w:type="dxa"/>
                  <w:vMerge w:val="continue"/>
                  <w:vAlign w:val="center"/>
                </w:tcPr>
                <w:p w14:paraId="61A456D1">
                  <w:pPr>
                    <w:widowControl/>
                    <w:spacing w:line="300" w:lineRule="exact"/>
                    <w:jc w:val="center"/>
                    <w:rPr>
                      <w:color w:val="auto"/>
                      <w:szCs w:val="21"/>
                      <w:highlight w:val="none"/>
                    </w:rPr>
                  </w:pPr>
                </w:p>
              </w:tc>
              <w:tc>
                <w:tcPr>
                  <w:tcW w:w="0" w:type="auto"/>
                  <w:vAlign w:val="center"/>
                </w:tcPr>
                <w:p w14:paraId="0970779E">
                  <w:pPr>
                    <w:widowControl/>
                    <w:spacing w:line="300" w:lineRule="exact"/>
                    <w:jc w:val="center"/>
                    <w:rPr>
                      <w:color w:val="auto"/>
                      <w:szCs w:val="21"/>
                      <w:highlight w:val="none"/>
                    </w:rPr>
                  </w:pPr>
                  <w:r>
                    <w:rPr>
                      <w:color w:val="auto"/>
                      <w:szCs w:val="21"/>
                      <w:highlight w:val="none"/>
                    </w:rPr>
                    <w:t>BOD</w:t>
                  </w:r>
                  <w:r>
                    <w:rPr>
                      <w:color w:val="auto"/>
                      <w:szCs w:val="21"/>
                      <w:highlight w:val="none"/>
                      <w:vertAlign w:val="subscript"/>
                    </w:rPr>
                    <w:t>5</w:t>
                  </w:r>
                </w:p>
              </w:tc>
              <w:tc>
                <w:tcPr>
                  <w:tcW w:w="1782" w:type="dxa"/>
                  <w:vAlign w:val="center"/>
                </w:tcPr>
                <w:p w14:paraId="73BD7C23">
                  <w:pPr>
                    <w:widowControl/>
                    <w:jc w:val="center"/>
                    <w:textAlignment w:val="center"/>
                    <w:rPr>
                      <w:color w:val="auto"/>
                      <w:szCs w:val="21"/>
                      <w:highlight w:val="none"/>
                    </w:rPr>
                  </w:pPr>
                  <w:r>
                    <w:rPr>
                      <w:color w:val="auto"/>
                      <w:kern w:val="0"/>
                      <w:szCs w:val="21"/>
                      <w:highlight w:val="none"/>
                      <w:lang w:bidi="ar"/>
                    </w:rPr>
                    <w:t xml:space="preserve">400 </w:t>
                  </w:r>
                </w:p>
              </w:tc>
              <w:tc>
                <w:tcPr>
                  <w:tcW w:w="1561" w:type="dxa"/>
                  <w:vAlign w:val="center"/>
                </w:tcPr>
                <w:p w14:paraId="4E2E3179">
                  <w:pPr>
                    <w:widowControl/>
                    <w:jc w:val="center"/>
                    <w:textAlignment w:val="center"/>
                    <w:rPr>
                      <w:color w:val="auto"/>
                      <w:szCs w:val="21"/>
                      <w:highlight w:val="none"/>
                    </w:rPr>
                  </w:pPr>
                  <w:r>
                    <w:rPr>
                      <w:color w:val="auto"/>
                      <w:kern w:val="0"/>
                      <w:szCs w:val="21"/>
                      <w:highlight w:val="none"/>
                      <w:lang w:bidi="ar"/>
                    </w:rPr>
                    <w:t xml:space="preserve">0.004 </w:t>
                  </w:r>
                </w:p>
              </w:tc>
            </w:tr>
            <w:tr w14:paraId="1DF1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dxa"/>
                  <w:vMerge w:val="continue"/>
                  <w:vAlign w:val="center"/>
                </w:tcPr>
                <w:p w14:paraId="6EA8A65F">
                  <w:pPr>
                    <w:widowControl/>
                    <w:spacing w:line="300" w:lineRule="exact"/>
                    <w:jc w:val="center"/>
                    <w:rPr>
                      <w:color w:val="auto"/>
                      <w:szCs w:val="21"/>
                      <w:highlight w:val="none"/>
                    </w:rPr>
                  </w:pPr>
                </w:p>
              </w:tc>
              <w:tc>
                <w:tcPr>
                  <w:tcW w:w="2188" w:type="dxa"/>
                  <w:vMerge w:val="continue"/>
                  <w:vAlign w:val="center"/>
                </w:tcPr>
                <w:p w14:paraId="0DE4361A">
                  <w:pPr>
                    <w:widowControl/>
                    <w:spacing w:line="300" w:lineRule="exact"/>
                    <w:jc w:val="center"/>
                    <w:rPr>
                      <w:color w:val="auto"/>
                      <w:szCs w:val="21"/>
                      <w:highlight w:val="none"/>
                    </w:rPr>
                  </w:pPr>
                </w:p>
              </w:tc>
              <w:tc>
                <w:tcPr>
                  <w:tcW w:w="1312" w:type="dxa"/>
                  <w:vMerge w:val="continue"/>
                  <w:vAlign w:val="center"/>
                </w:tcPr>
                <w:p w14:paraId="4784A4CD">
                  <w:pPr>
                    <w:widowControl/>
                    <w:spacing w:line="300" w:lineRule="exact"/>
                    <w:jc w:val="center"/>
                    <w:rPr>
                      <w:color w:val="auto"/>
                      <w:szCs w:val="21"/>
                      <w:highlight w:val="none"/>
                    </w:rPr>
                  </w:pPr>
                </w:p>
              </w:tc>
              <w:tc>
                <w:tcPr>
                  <w:tcW w:w="0" w:type="auto"/>
                  <w:vAlign w:val="center"/>
                </w:tcPr>
                <w:p w14:paraId="452DB548">
                  <w:pPr>
                    <w:widowControl/>
                    <w:spacing w:line="300" w:lineRule="exact"/>
                    <w:jc w:val="center"/>
                    <w:rPr>
                      <w:color w:val="auto"/>
                      <w:szCs w:val="21"/>
                      <w:highlight w:val="none"/>
                    </w:rPr>
                  </w:pPr>
                  <w:r>
                    <w:rPr>
                      <w:color w:val="auto"/>
                      <w:szCs w:val="21"/>
                      <w:highlight w:val="none"/>
                    </w:rPr>
                    <w:t>SS</w:t>
                  </w:r>
                </w:p>
              </w:tc>
              <w:tc>
                <w:tcPr>
                  <w:tcW w:w="1782" w:type="dxa"/>
                  <w:vAlign w:val="center"/>
                </w:tcPr>
                <w:p w14:paraId="7426DF47">
                  <w:pPr>
                    <w:widowControl/>
                    <w:jc w:val="center"/>
                    <w:textAlignment w:val="center"/>
                    <w:rPr>
                      <w:color w:val="auto"/>
                      <w:szCs w:val="21"/>
                      <w:highlight w:val="none"/>
                    </w:rPr>
                  </w:pPr>
                  <w:r>
                    <w:rPr>
                      <w:color w:val="auto"/>
                      <w:kern w:val="0"/>
                      <w:szCs w:val="21"/>
                      <w:highlight w:val="none"/>
                      <w:lang w:bidi="ar"/>
                    </w:rPr>
                    <w:t xml:space="preserve">300 </w:t>
                  </w:r>
                </w:p>
              </w:tc>
              <w:tc>
                <w:tcPr>
                  <w:tcW w:w="1561" w:type="dxa"/>
                  <w:vAlign w:val="center"/>
                </w:tcPr>
                <w:p w14:paraId="46DFF4F4">
                  <w:pPr>
                    <w:widowControl/>
                    <w:jc w:val="center"/>
                    <w:textAlignment w:val="center"/>
                    <w:rPr>
                      <w:color w:val="auto"/>
                      <w:szCs w:val="21"/>
                      <w:highlight w:val="none"/>
                    </w:rPr>
                  </w:pPr>
                  <w:r>
                    <w:rPr>
                      <w:color w:val="auto"/>
                      <w:kern w:val="0"/>
                      <w:szCs w:val="21"/>
                      <w:highlight w:val="none"/>
                      <w:lang w:bidi="ar"/>
                    </w:rPr>
                    <w:t xml:space="preserve">0.003 </w:t>
                  </w:r>
                </w:p>
              </w:tc>
            </w:tr>
            <w:tr w14:paraId="03AA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662" w:type="dxa"/>
                  <w:gridSpan w:val="2"/>
                  <w:vMerge w:val="restart"/>
                  <w:vAlign w:val="center"/>
                </w:tcPr>
                <w:p w14:paraId="4862E66B">
                  <w:pPr>
                    <w:widowControl/>
                    <w:spacing w:line="300" w:lineRule="exact"/>
                    <w:jc w:val="center"/>
                    <w:rPr>
                      <w:color w:val="auto"/>
                      <w:szCs w:val="21"/>
                      <w:highlight w:val="none"/>
                    </w:rPr>
                  </w:pPr>
                  <w:r>
                    <w:rPr>
                      <w:color w:val="auto"/>
                      <w:szCs w:val="21"/>
                      <w:highlight w:val="none"/>
                    </w:rPr>
                    <w:t>生产废水：小计</w:t>
                  </w:r>
                </w:p>
              </w:tc>
              <w:tc>
                <w:tcPr>
                  <w:tcW w:w="1312" w:type="dxa"/>
                  <w:vMerge w:val="restart"/>
                  <w:vAlign w:val="center"/>
                </w:tcPr>
                <w:p w14:paraId="591601A8">
                  <w:pPr>
                    <w:widowControl/>
                    <w:jc w:val="center"/>
                    <w:textAlignment w:val="center"/>
                    <w:rPr>
                      <w:color w:val="auto"/>
                      <w:szCs w:val="21"/>
                      <w:highlight w:val="none"/>
                    </w:rPr>
                  </w:pPr>
                  <w:r>
                    <w:rPr>
                      <w:color w:val="auto"/>
                      <w:kern w:val="0"/>
                      <w:szCs w:val="21"/>
                      <w:highlight w:val="none"/>
                      <w:lang w:bidi="ar"/>
                    </w:rPr>
                    <w:t>1425.377</w:t>
                  </w:r>
                </w:p>
              </w:tc>
              <w:tc>
                <w:tcPr>
                  <w:tcW w:w="0" w:type="auto"/>
                  <w:shd w:val="clear" w:color="auto" w:fill="auto"/>
                  <w:vAlign w:val="center"/>
                </w:tcPr>
                <w:p w14:paraId="7AE286E9">
                  <w:pPr>
                    <w:widowControl/>
                    <w:spacing w:line="300" w:lineRule="exact"/>
                    <w:jc w:val="center"/>
                    <w:rPr>
                      <w:color w:val="auto"/>
                      <w:szCs w:val="21"/>
                      <w:highlight w:val="none"/>
                    </w:rPr>
                  </w:pPr>
                  <w:r>
                    <w:rPr>
                      <w:color w:val="auto"/>
                      <w:szCs w:val="21"/>
                      <w:highlight w:val="none"/>
                    </w:rPr>
                    <w:t>pH</w:t>
                  </w:r>
                </w:p>
              </w:tc>
              <w:tc>
                <w:tcPr>
                  <w:tcW w:w="1782" w:type="dxa"/>
                  <w:shd w:val="clear" w:color="auto" w:fill="auto"/>
                  <w:vAlign w:val="center"/>
                </w:tcPr>
                <w:p w14:paraId="4E1443C0">
                  <w:pPr>
                    <w:widowControl/>
                    <w:jc w:val="center"/>
                    <w:textAlignment w:val="center"/>
                    <w:rPr>
                      <w:color w:val="auto"/>
                      <w:szCs w:val="21"/>
                      <w:highlight w:val="none"/>
                    </w:rPr>
                  </w:pPr>
                  <w:r>
                    <w:rPr>
                      <w:color w:val="auto"/>
                      <w:szCs w:val="21"/>
                      <w:highlight w:val="none"/>
                    </w:rPr>
                    <w:t>6~9</w:t>
                  </w:r>
                </w:p>
              </w:tc>
              <w:tc>
                <w:tcPr>
                  <w:tcW w:w="1561" w:type="dxa"/>
                  <w:shd w:val="clear" w:color="auto" w:fill="auto"/>
                  <w:vAlign w:val="center"/>
                </w:tcPr>
                <w:p w14:paraId="676247D7">
                  <w:pPr>
                    <w:widowControl/>
                    <w:jc w:val="center"/>
                    <w:textAlignment w:val="center"/>
                    <w:rPr>
                      <w:color w:val="auto"/>
                      <w:szCs w:val="21"/>
                      <w:highlight w:val="none"/>
                    </w:rPr>
                  </w:pPr>
                  <w:r>
                    <w:rPr>
                      <w:color w:val="auto"/>
                      <w:szCs w:val="21"/>
                      <w:highlight w:val="none"/>
                    </w:rPr>
                    <w:t>/</w:t>
                  </w:r>
                </w:p>
              </w:tc>
            </w:tr>
            <w:tr w14:paraId="2F98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662" w:type="dxa"/>
                  <w:gridSpan w:val="2"/>
                  <w:vMerge w:val="continue"/>
                  <w:vAlign w:val="center"/>
                </w:tcPr>
                <w:p w14:paraId="5E12BEA5">
                  <w:pPr>
                    <w:widowControl/>
                    <w:spacing w:line="300" w:lineRule="exact"/>
                    <w:jc w:val="center"/>
                    <w:rPr>
                      <w:color w:val="auto"/>
                      <w:szCs w:val="21"/>
                      <w:highlight w:val="none"/>
                    </w:rPr>
                  </w:pPr>
                </w:p>
              </w:tc>
              <w:tc>
                <w:tcPr>
                  <w:tcW w:w="1312" w:type="dxa"/>
                  <w:vMerge w:val="continue"/>
                  <w:vAlign w:val="center"/>
                </w:tcPr>
                <w:p w14:paraId="1BC1D514">
                  <w:pPr>
                    <w:widowControl/>
                    <w:jc w:val="center"/>
                    <w:textAlignment w:val="center"/>
                    <w:rPr>
                      <w:color w:val="auto"/>
                      <w:kern w:val="0"/>
                      <w:szCs w:val="21"/>
                      <w:highlight w:val="none"/>
                      <w:lang w:bidi="ar"/>
                    </w:rPr>
                  </w:pPr>
                </w:p>
              </w:tc>
              <w:tc>
                <w:tcPr>
                  <w:tcW w:w="0" w:type="auto"/>
                  <w:shd w:val="clear" w:color="auto" w:fill="auto"/>
                  <w:vAlign w:val="center"/>
                </w:tcPr>
                <w:p w14:paraId="14039905">
                  <w:pPr>
                    <w:widowControl/>
                    <w:jc w:val="center"/>
                    <w:textAlignment w:val="center"/>
                    <w:rPr>
                      <w:color w:val="auto"/>
                      <w:szCs w:val="21"/>
                      <w:highlight w:val="none"/>
                    </w:rPr>
                  </w:pPr>
                  <w:r>
                    <w:rPr>
                      <w:color w:val="auto"/>
                      <w:kern w:val="0"/>
                      <w:szCs w:val="21"/>
                      <w:highlight w:val="none"/>
                      <w:lang w:bidi="ar"/>
                    </w:rPr>
                    <w:t>COD</w:t>
                  </w:r>
                </w:p>
              </w:tc>
              <w:tc>
                <w:tcPr>
                  <w:tcW w:w="1782" w:type="dxa"/>
                  <w:shd w:val="clear" w:color="auto" w:fill="auto"/>
                  <w:vAlign w:val="center"/>
                </w:tcPr>
                <w:p w14:paraId="08DD70EA">
                  <w:pPr>
                    <w:widowControl/>
                    <w:jc w:val="center"/>
                    <w:textAlignment w:val="center"/>
                    <w:rPr>
                      <w:color w:val="auto"/>
                      <w:kern w:val="0"/>
                      <w:szCs w:val="21"/>
                      <w:highlight w:val="none"/>
                      <w:lang w:bidi="ar"/>
                    </w:rPr>
                  </w:pPr>
                  <w:r>
                    <w:rPr>
                      <w:color w:val="auto"/>
                      <w:kern w:val="0"/>
                      <w:szCs w:val="21"/>
                      <w:highlight w:val="none"/>
                      <w:lang w:bidi="ar"/>
                    </w:rPr>
                    <w:t>123</w:t>
                  </w:r>
                  <w:r>
                    <w:rPr>
                      <w:rFonts w:hint="eastAsia"/>
                      <w:color w:val="auto"/>
                      <w:kern w:val="0"/>
                      <w:szCs w:val="21"/>
                      <w:highlight w:val="none"/>
                      <w:lang w:val="en-US" w:eastAsia="zh-CN" w:bidi="ar"/>
                    </w:rPr>
                    <w:t>5</w:t>
                  </w:r>
                  <w:r>
                    <w:rPr>
                      <w:color w:val="auto"/>
                      <w:kern w:val="0"/>
                      <w:szCs w:val="21"/>
                      <w:highlight w:val="none"/>
                      <w:lang w:bidi="ar"/>
                    </w:rPr>
                    <w:t xml:space="preserve"> </w:t>
                  </w:r>
                </w:p>
              </w:tc>
              <w:tc>
                <w:tcPr>
                  <w:tcW w:w="1561" w:type="dxa"/>
                  <w:shd w:val="clear" w:color="auto" w:fill="auto"/>
                  <w:vAlign w:val="center"/>
                </w:tcPr>
                <w:p w14:paraId="4B55D929">
                  <w:pPr>
                    <w:widowControl/>
                    <w:jc w:val="center"/>
                    <w:textAlignment w:val="center"/>
                    <w:rPr>
                      <w:rFonts w:hint="default" w:eastAsia="宋体"/>
                      <w:color w:val="auto"/>
                      <w:kern w:val="0"/>
                      <w:szCs w:val="21"/>
                      <w:highlight w:val="none"/>
                      <w:lang w:val="en-US" w:eastAsia="zh-CN" w:bidi="ar"/>
                    </w:rPr>
                  </w:pPr>
                  <w:r>
                    <w:rPr>
                      <w:color w:val="auto"/>
                      <w:kern w:val="0"/>
                      <w:szCs w:val="21"/>
                      <w:highlight w:val="none"/>
                      <w:lang w:bidi="ar"/>
                    </w:rPr>
                    <w:t>1.7</w:t>
                  </w:r>
                  <w:r>
                    <w:rPr>
                      <w:rFonts w:hint="eastAsia"/>
                      <w:color w:val="auto"/>
                      <w:kern w:val="0"/>
                      <w:szCs w:val="21"/>
                      <w:highlight w:val="none"/>
                      <w:lang w:val="en-US" w:eastAsia="zh-CN" w:bidi="ar"/>
                    </w:rPr>
                    <w:t>61</w:t>
                  </w:r>
                </w:p>
              </w:tc>
            </w:tr>
            <w:tr w14:paraId="1C8E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662" w:type="dxa"/>
                  <w:gridSpan w:val="2"/>
                  <w:vMerge w:val="continue"/>
                  <w:vAlign w:val="center"/>
                </w:tcPr>
                <w:p w14:paraId="269F2F6A">
                  <w:pPr>
                    <w:widowControl/>
                    <w:jc w:val="center"/>
                    <w:textAlignment w:val="center"/>
                    <w:rPr>
                      <w:color w:val="auto"/>
                      <w:szCs w:val="21"/>
                      <w:highlight w:val="none"/>
                    </w:rPr>
                  </w:pPr>
                </w:p>
              </w:tc>
              <w:tc>
                <w:tcPr>
                  <w:tcW w:w="1312" w:type="dxa"/>
                  <w:vMerge w:val="continue"/>
                  <w:vAlign w:val="center"/>
                </w:tcPr>
                <w:p w14:paraId="1318B550">
                  <w:pPr>
                    <w:jc w:val="center"/>
                    <w:rPr>
                      <w:color w:val="auto"/>
                      <w:szCs w:val="21"/>
                      <w:highlight w:val="none"/>
                    </w:rPr>
                  </w:pPr>
                </w:p>
              </w:tc>
              <w:tc>
                <w:tcPr>
                  <w:tcW w:w="0" w:type="auto"/>
                  <w:vAlign w:val="center"/>
                </w:tcPr>
                <w:p w14:paraId="657BC804">
                  <w:pPr>
                    <w:widowControl/>
                    <w:jc w:val="center"/>
                    <w:textAlignment w:val="center"/>
                    <w:rPr>
                      <w:color w:val="auto"/>
                      <w:szCs w:val="21"/>
                      <w:highlight w:val="none"/>
                    </w:rPr>
                  </w:pPr>
                  <w:r>
                    <w:rPr>
                      <w:color w:val="auto"/>
                      <w:kern w:val="0"/>
                      <w:szCs w:val="21"/>
                      <w:highlight w:val="none"/>
                      <w:lang w:bidi="ar"/>
                    </w:rPr>
                    <w:t>BOD</w:t>
                  </w:r>
                  <w:r>
                    <w:rPr>
                      <w:rStyle w:val="62"/>
                      <w:color w:val="auto"/>
                      <w:highlight w:val="none"/>
                      <w:lang w:bidi="ar"/>
                    </w:rPr>
                    <w:t>5</w:t>
                  </w:r>
                </w:p>
              </w:tc>
              <w:tc>
                <w:tcPr>
                  <w:tcW w:w="1782" w:type="dxa"/>
                  <w:vAlign w:val="center"/>
                </w:tcPr>
                <w:p w14:paraId="363B7CF7">
                  <w:pPr>
                    <w:widowControl/>
                    <w:jc w:val="center"/>
                    <w:textAlignment w:val="center"/>
                    <w:rPr>
                      <w:color w:val="auto"/>
                      <w:szCs w:val="21"/>
                      <w:highlight w:val="none"/>
                    </w:rPr>
                  </w:pPr>
                  <w:r>
                    <w:rPr>
                      <w:color w:val="auto"/>
                      <w:kern w:val="0"/>
                      <w:szCs w:val="21"/>
                      <w:highlight w:val="none"/>
                      <w:lang w:bidi="ar"/>
                    </w:rPr>
                    <w:t xml:space="preserve">499 </w:t>
                  </w:r>
                </w:p>
              </w:tc>
              <w:tc>
                <w:tcPr>
                  <w:tcW w:w="1561" w:type="dxa"/>
                  <w:vAlign w:val="center"/>
                </w:tcPr>
                <w:p w14:paraId="05DB19E5">
                  <w:pPr>
                    <w:widowControl/>
                    <w:jc w:val="center"/>
                    <w:textAlignment w:val="center"/>
                    <w:rPr>
                      <w:color w:val="auto"/>
                      <w:szCs w:val="21"/>
                      <w:highlight w:val="none"/>
                    </w:rPr>
                  </w:pPr>
                  <w:r>
                    <w:rPr>
                      <w:color w:val="auto"/>
                      <w:kern w:val="0"/>
                      <w:szCs w:val="21"/>
                      <w:highlight w:val="none"/>
                      <w:lang w:bidi="ar"/>
                    </w:rPr>
                    <w:t xml:space="preserve">0.711 </w:t>
                  </w:r>
                </w:p>
              </w:tc>
            </w:tr>
            <w:tr w14:paraId="6B6E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662" w:type="dxa"/>
                  <w:gridSpan w:val="2"/>
                  <w:vMerge w:val="continue"/>
                  <w:vAlign w:val="center"/>
                </w:tcPr>
                <w:p w14:paraId="6A01CCE3">
                  <w:pPr>
                    <w:widowControl/>
                    <w:jc w:val="center"/>
                    <w:textAlignment w:val="center"/>
                    <w:rPr>
                      <w:color w:val="auto"/>
                      <w:szCs w:val="21"/>
                      <w:highlight w:val="none"/>
                    </w:rPr>
                  </w:pPr>
                </w:p>
              </w:tc>
              <w:tc>
                <w:tcPr>
                  <w:tcW w:w="1312" w:type="dxa"/>
                  <w:vMerge w:val="continue"/>
                  <w:vAlign w:val="center"/>
                </w:tcPr>
                <w:p w14:paraId="20660985">
                  <w:pPr>
                    <w:jc w:val="center"/>
                    <w:rPr>
                      <w:color w:val="auto"/>
                      <w:szCs w:val="21"/>
                      <w:highlight w:val="none"/>
                    </w:rPr>
                  </w:pPr>
                </w:p>
              </w:tc>
              <w:tc>
                <w:tcPr>
                  <w:tcW w:w="0" w:type="auto"/>
                  <w:vAlign w:val="center"/>
                </w:tcPr>
                <w:p w14:paraId="401C5602">
                  <w:pPr>
                    <w:widowControl/>
                    <w:jc w:val="center"/>
                    <w:textAlignment w:val="center"/>
                    <w:rPr>
                      <w:color w:val="auto"/>
                      <w:szCs w:val="21"/>
                      <w:highlight w:val="none"/>
                    </w:rPr>
                  </w:pPr>
                  <w:r>
                    <w:rPr>
                      <w:color w:val="auto"/>
                      <w:kern w:val="0"/>
                      <w:szCs w:val="21"/>
                      <w:highlight w:val="none"/>
                      <w:lang w:bidi="ar"/>
                    </w:rPr>
                    <w:t>SS</w:t>
                  </w:r>
                </w:p>
              </w:tc>
              <w:tc>
                <w:tcPr>
                  <w:tcW w:w="1782" w:type="dxa"/>
                  <w:vAlign w:val="center"/>
                </w:tcPr>
                <w:p w14:paraId="3F574246">
                  <w:pPr>
                    <w:widowControl/>
                    <w:jc w:val="center"/>
                    <w:textAlignment w:val="center"/>
                    <w:rPr>
                      <w:color w:val="auto"/>
                      <w:szCs w:val="21"/>
                      <w:highlight w:val="none"/>
                    </w:rPr>
                  </w:pPr>
                  <w:r>
                    <w:rPr>
                      <w:color w:val="auto"/>
                      <w:kern w:val="0"/>
                      <w:szCs w:val="21"/>
                      <w:highlight w:val="none"/>
                      <w:lang w:bidi="ar"/>
                    </w:rPr>
                    <w:t xml:space="preserve">692 </w:t>
                  </w:r>
                </w:p>
              </w:tc>
              <w:tc>
                <w:tcPr>
                  <w:tcW w:w="1561" w:type="dxa"/>
                  <w:vAlign w:val="center"/>
                </w:tcPr>
                <w:p w14:paraId="7B685356">
                  <w:pPr>
                    <w:widowControl/>
                    <w:jc w:val="center"/>
                    <w:textAlignment w:val="center"/>
                    <w:rPr>
                      <w:color w:val="auto"/>
                      <w:szCs w:val="21"/>
                      <w:highlight w:val="none"/>
                    </w:rPr>
                  </w:pPr>
                  <w:r>
                    <w:rPr>
                      <w:color w:val="auto"/>
                      <w:kern w:val="0"/>
                      <w:szCs w:val="21"/>
                      <w:highlight w:val="none"/>
                      <w:lang w:bidi="ar"/>
                    </w:rPr>
                    <w:t xml:space="preserve">0.987 </w:t>
                  </w:r>
                </w:p>
              </w:tc>
            </w:tr>
            <w:tr w14:paraId="3D23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662" w:type="dxa"/>
                  <w:gridSpan w:val="2"/>
                  <w:vMerge w:val="continue"/>
                  <w:vAlign w:val="center"/>
                </w:tcPr>
                <w:p w14:paraId="16B3F30A">
                  <w:pPr>
                    <w:widowControl/>
                    <w:jc w:val="center"/>
                    <w:textAlignment w:val="center"/>
                    <w:rPr>
                      <w:color w:val="auto"/>
                      <w:szCs w:val="21"/>
                      <w:highlight w:val="none"/>
                    </w:rPr>
                  </w:pPr>
                </w:p>
              </w:tc>
              <w:tc>
                <w:tcPr>
                  <w:tcW w:w="1312" w:type="dxa"/>
                  <w:vMerge w:val="continue"/>
                  <w:vAlign w:val="center"/>
                </w:tcPr>
                <w:p w14:paraId="48A17AE0">
                  <w:pPr>
                    <w:jc w:val="center"/>
                    <w:rPr>
                      <w:color w:val="auto"/>
                      <w:szCs w:val="21"/>
                      <w:highlight w:val="none"/>
                    </w:rPr>
                  </w:pPr>
                </w:p>
              </w:tc>
              <w:tc>
                <w:tcPr>
                  <w:tcW w:w="0" w:type="auto"/>
                  <w:vAlign w:val="center"/>
                </w:tcPr>
                <w:p w14:paraId="25E261B1">
                  <w:pPr>
                    <w:widowControl/>
                    <w:jc w:val="center"/>
                    <w:textAlignment w:val="center"/>
                    <w:rPr>
                      <w:color w:val="auto"/>
                      <w:szCs w:val="21"/>
                      <w:highlight w:val="none"/>
                    </w:rPr>
                  </w:pPr>
                  <w:r>
                    <w:rPr>
                      <w:color w:val="auto"/>
                      <w:kern w:val="0"/>
                      <w:szCs w:val="21"/>
                      <w:highlight w:val="none"/>
                      <w:lang w:bidi="ar"/>
                    </w:rPr>
                    <w:t>氨氮</w:t>
                  </w:r>
                </w:p>
              </w:tc>
              <w:tc>
                <w:tcPr>
                  <w:tcW w:w="1782" w:type="dxa"/>
                  <w:vAlign w:val="center"/>
                </w:tcPr>
                <w:p w14:paraId="45FD374C">
                  <w:pPr>
                    <w:widowControl/>
                    <w:jc w:val="center"/>
                    <w:textAlignment w:val="center"/>
                    <w:rPr>
                      <w:color w:val="auto"/>
                      <w:szCs w:val="21"/>
                      <w:highlight w:val="none"/>
                    </w:rPr>
                  </w:pPr>
                  <w:r>
                    <w:rPr>
                      <w:color w:val="auto"/>
                      <w:kern w:val="0"/>
                      <w:szCs w:val="21"/>
                      <w:highlight w:val="none"/>
                      <w:lang w:bidi="ar"/>
                    </w:rPr>
                    <w:t xml:space="preserve">29 </w:t>
                  </w:r>
                </w:p>
              </w:tc>
              <w:tc>
                <w:tcPr>
                  <w:tcW w:w="1561" w:type="dxa"/>
                  <w:vAlign w:val="center"/>
                </w:tcPr>
                <w:p w14:paraId="11322DAA">
                  <w:pPr>
                    <w:widowControl/>
                    <w:jc w:val="center"/>
                    <w:textAlignment w:val="center"/>
                    <w:rPr>
                      <w:color w:val="auto"/>
                      <w:szCs w:val="21"/>
                      <w:highlight w:val="none"/>
                    </w:rPr>
                  </w:pPr>
                  <w:r>
                    <w:rPr>
                      <w:color w:val="auto"/>
                      <w:kern w:val="0"/>
                      <w:szCs w:val="21"/>
                      <w:highlight w:val="none"/>
                      <w:lang w:bidi="ar"/>
                    </w:rPr>
                    <w:t xml:space="preserve">0.041 </w:t>
                  </w:r>
                </w:p>
              </w:tc>
            </w:tr>
            <w:tr w14:paraId="082A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662" w:type="dxa"/>
                  <w:gridSpan w:val="2"/>
                  <w:vMerge w:val="continue"/>
                  <w:vAlign w:val="center"/>
                </w:tcPr>
                <w:p w14:paraId="285894C6">
                  <w:pPr>
                    <w:widowControl/>
                    <w:jc w:val="center"/>
                    <w:textAlignment w:val="center"/>
                    <w:rPr>
                      <w:color w:val="auto"/>
                      <w:szCs w:val="21"/>
                      <w:highlight w:val="none"/>
                    </w:rPr>
                  </w:pPr>
                </w:p>
              </w:tc>
              <w:tc>
                <w:tcPr>
                  <w:tcW w:w="1312" w:type="dxa"/>
                  <w:vMerge w:val="continue"/>
                  <w:vAlign w:val="center"/>
                </w:tcPr>
                <w:p w14:paraId="2DC9815C">
                  <w:pPr>
                    <w:jc w:val="center"/>
                    <w:rPr>
                      <w:color w:val="auto"/>
                      <w:szCs w:val="21"/>
                      <w:highlight w:val="none"/>
                    </w:rPr>
                  </w:pPr>
                </w:p>
              </w:tc>
              <w:tc>
                <w:tcPr>
                  <w:tcW w:w="0" w:type="auto"/>
                  <w:vAlign w:val="center"/>
                </w:tcPr>
                <w:p w14:paraId="76467EB2">
                  <w:pPr>
                    <w:widowControl/>
                    <w:jc w:val="center"/>
                    <w:textAlignment w:val="center"/>
                    <w:rPr>
                      <w:color w:val="auto"/>
                      <w:szCs w:val="21"/>
                      <w:highlight w:val="none"/>
                    </w:rPr>
                  </w:pPr>
                  <w:r>
                    <w:rPr>
                      <w:color w:val="auto"/>
                      <w:kern w:val="0"/>
                      <w:szCs w:val="21"/>
                      <w:highlight w:val="none"/>
                      <w:lang w:bidi="ar"/>
                    </w:rPr>
                    <w:t>总氮</w:t>
                  </w:r>
                </w:p>
              </w:tc>
              <w:tc>
                <w:tcPr>
                  <w:tcW w:w="1782" w:type="dxa"/>
                  <w:vAlign w:val="center"/>
                </w:tcPr>
                <w:p w14:paraId="7F180438">
                  <w:pPr>
                    <w:widowControl/>
                    <w:jc w:val="center"/>
                    <w:textAlignment w:val="center"/>
                    <w:rPr>
                      <w:color w:val="auto"/>
                      <w:szCs w:val="21"/>
                      <w:highlight w:val="none"/>
                    </w:rPr>
                  </w:pPr>
                  <w:r>
                    <w:rPr>
                      <w:color w:val="auto"/>
                      <w:kern w:val="0"/>
                      <w:szCs w:val="21"/>
                      <w:highlight w:val="none"/>
                      <w:lang w:bidi="ar"/>
                    </w:rPr>
                    <w:t xml:space="preserve">44 </w:t>
                  </w:r>
                </w:p>
              </w:tc>
              <w:tc>
                <w:tcPr>
                  <w:tcW w:w="1561" w:type="dxa"/>
                  <w:vAlign w:val="center"/>
                </w:tcPr>
                <w:p w14:paraId="1AAEE9D5">
                  <w:pPr>
                    <w:widowControl/>
                    <w:jc w:val="center"/>
                    <w:textAlignment w:val="center"/>
                    <w:rPr>
                      <w:color w:val="auto"/>
                      <w:szCs w:val="21"/>
                      <w:highlight w:val="none"/>
                    </w:rPr>
                  </w:pPr>
                  <w:r>
                    <w:rPr>
                      <w:color w:val="auto"/>
                      <w:kern w:val="0"/>
                      <w:szCs w:val="21"/>
                      <w:highlight w:val="none"/>
                      <w:lang w:bidi="ar"/>
                    </w:rPr>
                    <w:t xml:space="preserve">0.063 </w:t>
                  </w:r>
                </w:p>
              </w:tc>
            </w:tr>
            <w:tr w14:paraId="3C96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662" w:type="dxa"/>
                  <w:gridSpan w:val="2"/>
                  <w:vMerge w:val="continue"/>
                  <w:vAlign w:val="center"/>
                </w:tcPr>
                <w:p w14:paraId="3D840C2E">
                  <w:pPr>
                    <w:widowControl/>
                    <w:jc w:val="center"/>
                    <w:textAlignment w:val="center"/>
                    <w:rPr>
                      <w:color w:val="auto"/>
                      <w:szCs w:val="21"/>
                      <w:highlight w:val="none"/>
                    </w:rPr>
                  </w:pPr>
                </w:p>
              </w:tc>
              <w:tc>
                <w:tcPr>
                  <w:tcW w:w="1312" w:type="dxa"/>
                  <w:vMerge w:val="continue"/>
                  <w:vAlign w:val="center"/>
                </w:tcPr>
                <w:p w14:paraId="3A1D36E2">
                  <w:pPr>
                    <w:jc w:val="center"/>
                    <w:rPr>
                      <w:color w:val="auto"/>
                      <w:szCs w:val="21"/>
                      <w:highlight w:val="none"/>
                    </w:rPr>
                  </w:pPr>
                </w:p>
              </w:tc>
              <w:tc>
                <w:tcPr>
                  <w:tcW w:w="0" w:type="auto"/>
                  <w:vAlign w:val="center"/>
                </w:tcPr>
                <w:p w14:paraId="57A85114">
                  <w:pPr>
                    <w:widowControl/>
                    <w:jc w:val="center"/>
                    <w:textAlignment w:val="center"/>
                    <w:rPr>
                      <w:color w:val="auto"/>
                      <w:szCs w:val="21"/>
                      <w:highlight w:val="none"/>
                    </w:rPr>
                  </w:pPr>
                  <w:r>
                    <w:rPr>
                      <w:color w:val="auto"/>
                      <w:kern w:val="0"/>
                      <w:szCs w:val="21"/>
                      <w:highlight w:val="none"/>
                      <w:lang w:bidi="ar"/>
                    </w:rPr>
                    <w:t>总磷</w:t>
                  </w:r>
                </w:p>
              </w:tc>
              <w:tc>
                <w:tcPr>
                  <w:tcW w:w="1782" w:type="dxa"/>
                  <w:vAlign w:val="center"/>
                </w:tcPr>
                <w:p w14:paraId="03A10AA5">
                  <w:pPr>
                    <w:widowControl/>
                    <w:jc w:val="center"/>
                    <w:textAlignment w:val="center"/>
                    <w:rPr>
                      <w:color w:val="auto"/>
                      <w:szCs w:val="21"/>
                      <w:highlight w:val="none"/>
                    </w:rPr>
                  </w:pPr>
                  <w:r>
                    <w:rPr>
                      <w:color w:val="auto"/>
                      <w:kern w:val="0"/>
                      <w:szCs w:val="21"/>
                      <w:highlight w:val="none"/>
                      <w:lang w:bidi="ar"/>
                    </w:rPr>
                    <w:t xml:space="preserve">3 </w:t>
                  </w:r>
                </w:p>
              </w:tc>
              <w:tc>
                <w:tcPr>
                  <w:tcW w:w="1561" w:type="dxa"/>
                  <w:vAlign w:val="center"/>
                </w:tcPr>
                <w:p w14:paraId="7C365339">
                  <w:pPr>
                    <w:widowControl/>
                    <w:jc w:val="center"/>
                    <w:textAlignment w:val="center"/>
                    <w:rPr>
                      <w:color w:val="auto"/>
                      <w:szCs w:val="21"/>
                      <w:highlight w:val="none"/>
                    </w:rPr>
                  </w:pPr>
                  <w:r>
                    <w:rPr>
                      <w:color w:val="auto"/>
                      <w:kern w:val="0"/>
                      <w:szCs w:val="21"/>
                      <w:highlight w:val="none"/>
                      <w:lang w:bidi="ar"/>
                    </w:rPr>
                    <w:t xml:space="preserve">0.004 </w:t>
                  </w:r>
                </w:p>
              </w:tc>
            </w:tr>
            <w:tr w14:paraId="6162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74" w:type="dxa"/>
                  <w:vMerge w:val="restart"/>
                  <w:vAlign w:val="center"/>
                </w:tcPr>
                <w:p w14:paraId="1F61C499">
                  <w:pPr>
                    <w:widowControl/>
                    <w:spacing w:line="300" w:lineRule="exact"/>
                    <w:jc w:val="center"/>
                    <w:rPr>
                      <w:color w:val="auto"/>
                      <w:szCs w:val="21"/>
                      <w:highlight w:val="none"/>
                    </w:rPr>
                  </w:pPr>
                  <w:r>
                    <w:rPr>
                      <w:color w:val="auto"/>
                      <w:szCs w:val="21"/>
                      <w:highlight w:val="none"/>
                    </w:rPr>
                    <w:t>5</w:t>
                  </w:r>
                </w:p>
              </w:tc>
              <w:tc>
                <w:tcPr>
                  <w:tcW w:w="2188" w:type="dxa"/>
                  <w:vMerge w:val="restart"/>
                  <w:vAlign w:val="center"/>
                </w:tcPr>
                <w:p w14:paraId="53C990A8">
                  <w:pPr>
                    <w:widowControl/>
                    <w:spacing w:line="300" w:lineRule="exact"/>
                    <w:jc w:val="center"/>
                    <w:rPr>
                      <w:color w:val="auto"/>
                      <w:szCs w:val="21"/>
                      <w:highlight w:val="none"/>
                    </w:rPr>
                  </w:pPr>
                  <w:r>
                    <w:rPr>
                      <w:color w:val="auto"/>
                      <w:szCs w:val="21"/>
                      <w:highlight w:val="none"/>
                    </w:rPr>
                    <w:t>生活污水W7</w:t>
                  </w:r>
                </w:p>
              </w:tc>
              <w:tc>
                <w:tcPr>
                  <w:tcW w:w="1312" w:type="dxa"/>
                  <w:vMerge w:val="restart"/>
                  <w:vAlign w:val="center"/>
                </w:tcPr>
                <w:p w14:paraId="4CF651C1">
                  <w:pPr>
                    <w:widowControl/>
                    <w:spacing w:line="300" w:lineRule="exact"/>
                    <w:jc w:val="center"/>
                    <w:rPr>
                      <w:color w:val="auto"/>
                      <w:szCs w:val="21"/>
                      <w:highlight w:val="none"/>
                    </w:rPr>
                  </w:pPr>
                  <w:r>
                    <w:rPr>
                      <w:color w:val="auto"/>
                      <w:szCs w:val="21"/>
                      <w:highlight w:val="none"/>
                    </w:rPr>
                    <w:t>51</w:t>
                  </w:r>
                </w:p>
              </w:tc>
              <w:tc>
                <w:tcPr>
                  <w:tcW w:w="0" w:type="auto"/>
                  <w:shd w:val="clear" w:color="auto" w:fill="auto"/>
                  <w:vAlign w:val="center"/>
                </w:tcPr>
                <w:p w14:paraId="5C211426">
                  <w:pPr>
                    <w:widowControl/>
                    <w:spacing w:line="300" w:lineRule="exact"/>
                    <w:jc w:val="center"/>
                    <w:rPr>
                      <w:color w:val="auto"/>
                      <w:szCs w:val="21"/>
                      <w:highlight w:val="none"/>
                    </w:rPr>
                  </w:pPr>
                  <w:r>
                    <w:rPr>
                      <w:color w:val="auto"/>
                      <w:szCs w:val="21"/>
                      <w:highlight w:val="none"/>
                    </w:rPr>
                    <w:t>pH</w:t>
                  </w:r>
                </w:p>
              </w:tc>
              <w:tc>
                <w:tcPr>
                  <w:tcW w:w="1782" w:type="dxa"/>
                  <w:shd w:val="clear" w:color="auto" w:fill="auto"/>
                  <w:vAlign w:val="center"/>
                </w:tcPr>
                <w:p w14:paraId="61E9A345">
                  <w:pPr>
                    <w:widowControl/>
                    <w:jc w:val="center"/>
                    <w:textAlignment w:val="center"/>
                    <w:rPr>
                      <w:color w:val="auto"/>
                      <w:szCs w:val="21"/>
                      <w:highlight w:val="none"/>
                    </w:rPr>
                  </w:pPr>
                  <w:r>
                    <w:rPr>
                      <w:color w:val="auto"/>
                      <w:szCs w:val="21"/>
                      <w:highlight w:val="none"/>
                    </w:rPr>
                    <w:t>6~9</w:t>
                  </w:r>
                </w:p>
              </w:tc>
              <w:tc>
                <w:tcPr>
                  <w:tcW w:w="1561" w:type="dxa"/>
                  <w:shd w:val="clear" w:color="auto" w:fill="auto"/>
                  <w:vAlign w:val="center"/>
                </w:tcPr>
                <w:p w14:paraId="1BC403DA">
                  <w:pPr>
                    <w:widowControl/>
                    <w:jc w:val="center"/>
                    <w:textAlignment w:val="center"/>
                    <w:rPr>
                      <w:color w:val="auto"/>
                      <w:szCs w:val="21"/>
                      <w:highlight w:val="none"/>
                    </w:rPr>
                  </w:pPr>
                  <w:r>
                    <w:rPr>
                      <w:color w:val="auto"/>
                      <w:szCs w:val="21"/>
                      <w:highlight w:val="none"/>
                    </w:rPr>
                    <w:t>/</w:t>
                  </w:r>
                </w:p>
              </w:tc>
            </w:tr>
            <w:tr w14:paraId="6CAA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74" w:type="dxa"/>
                  <w:vMerge w:val="continue"/>
                  <w:vAlign w:val="center"/>
                </w:tcPr>
                <w:p w14:paraId="662211F6">
                  <w:pPr>
                    <w:widowControl/>
                    <w:spacing w:line="300" w:lineRule="exact"/>
                    <w:jc w:val="center"/>
                    <w:rPr>
                      <w:color w:val="auto"/>
                      <w:szCs w:val="21"/>
                      <w:highlight w:val="none"/>
                    </w:rPr>
                  </w:pPr>
                </w:p>
              </w:tc>
              <w:tc>
                <w:tcPr>
                  <w:tcW w:w="2188" w:type="dxa"/>
                  <w:vMerge w:val="continue"/>
                  <w:vAlign w:val="center"/>
                </w:tcPr>
                <w:p w14:paraId="301E37C7">
                  <w:pPr>
                    <w:widowControl/>
                    <w:spacing w:line="300" w:lineRule="exact"/>
                    <w:jc w:val="center"/>
                    <w:rPr>
                      <w:color w:val="auto"/>
                      <w:szCs w:val="21"/>
                      <w:highlight w:val="none"/>
                    </w:rPr>
                  </w:pPr>
                </w:p>
              </w:tc>
              <w:tc>
                <w:tcPr>
                  <w:tcW w:w="1312" w:type="dxa"/>
                  <w:vMerge w:val="continue"/>
                  <w:vAlign w:val="center"/>
                </w:tcPr>
                <w:p w14:paraId="7D49D14F">
                  <w:pPr>
                    <w:widowControl/>
                    <w:spacing w:line="300" w:lineRule="exact"/>
                    <w:jc w:val="center"/>
                    <w:rPr>
                      <w:color w:val="auto"/>
                      <w:szCs w:val="21"/>
                      <w:highlight w:val="none"/>
                    </w:rPr>
                  </w:pPr>
                </w:p>
              </w:tc>
              <w:tc>
                <w:tcPr>
                  <w:tcW w:w="0" w:type="auto"/>
                  <w:shd w:val="clear" w:color="auto" w:fill="auto"/>
                  <w:vAlign w:val="center"/>
                </w:tcPr>
                <w:p w14:paraId="7FF4B4D4">
                  <w:pPr>
                    <w:widowControl/>
                    <w:spacing w:line="300" w:lineRule="exact"/>
                    <w:jc w:val="center"/>
                    <w:rPr>
                      <w:color w:val="auto"/>
                      <w:kern w:val="0"/>
                      <w:szCs w:val="21"/>
                      <w:highlight w:val="none"/>
                      <w:lang w:bidi="ar"/>
                    </w:rPr>
                  </w:pPr>
                  <w:r>
                    <w:rPr>
                      <w:color w:val="auto"/>
                      <w:szCs w:val="21"/>
                      <w:highlight w:val="none"/>
                    </w:rPr>
                    <w:t>COD</w:t>
                  </w:r>
                </w:p>
              </w:tc>
              <w:tc>
                <w:tcPr>
                  <w:tcW w:w="1782" w:type="dxa"/>
                  <w:shd w:val="clear" w:color="auto" w:fill="auto"/>
                  <w:vAlign w:val="center"/>
                </w:tcPr>
                <w:p w14:paraId="618E59C2">
                  <w:pPr>
                    <w:widowControl/>
                    <w:jc w:val="center"/>
                    <w:textAlignment w:val="center"/>
                    <w:rPr>
                      <w:color w:val="auto"/>
                      <w:kern w:val="0"/>
                      <w:szCs w:val="21"/>
                      <w:highlight w:val="none"/>
                      <w:lang w:bidi="ar"/>
                    </w:rPr>
                  </w:pPr>
                  <w:r>
                    <w:rPr>
                      <w:color w:val="auto"/>
                      <w:kern w:val="0"/>
                      <w:szCs w:val="21"/>
                      <w:highlight w:val="none"/>
                      <w:lang w:bidi="ar"/>
                    </w:rPr>
                    <w:t xml:space="preserve">400 </w:t>
                  </w:r>
                </w:p>
              </w:tc>
              <w:tc>
                <w:tcPr>
                  <w:tcW w:w="1561" w:type="dxa"/>
                  <w:shd w:val="clear" w:color="auto" w:fill="auto"/>
                  <w:vAlign w:val="center"/>
                </w:tcPr>
                <w:p w14:paraId="4FA01C89">
                  <w:pPr>
                    <w:widowControl/>
                    <w:jc w:val="center"/>
                    <w:textAlignment w:val="center"/>
                    <w:rPr>
                      <w:color w:val="auto"/>
                      <w:kern w:val="0"/>
                      <w:szCs w:val="21"/>
                      <w:highlight w:val="none"/>
                      <w:lang w:bidi="ar"/>
                    </w:rPr>
                  </w:pPr>
                  <w:r>
                    <w:rPr>
                      <w:color w:val="auto"/>
                      <w:kern w:val="0"/>
                      <w:szCs w:val="21"/>
                      <w:highlight w:val="none"/>
                      <w:lang w:bidi="ar"/>
                    </w:rPr>
                    <w:t xml:space="preserve">0.020 </w:t>
                  </w:r>
                </w:p>
              </w:tc>
            </w:tr>
            <w:tr w14:paraId="43D4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74" w:type="dxa"/>
                  <w:vMerge w:val="continue"/>
                  <w:vAlign w:val="center"/>
                </w:tcPr>
                <w:p w14:paraId="422131AE">
                  <w:pPr>
                    <w:widowControl/>
                    <w:spacing w:line="300" w:lineRule="exact"/>
                    <w:jc w:val="center"/>
                    <w:rPr>
                      <w:color w:val="auto"/>
                      <w:szCs w:val="21"/>
                      <w:highlight w:val="none"/>
                    </w:rPr>
                  </w:pPr>
                </w:p>
              </w:tc>
              <w:tc>
                <w:tcPr>
                  <w:tcW w:w="2188" w:type="dxa"/>
                  <w:vMerge w:val="continue"/>
                  <w:vAlign w:val="center"/>
                </w:tcPr>
                <w:p w14:paraId="76160E13">
                  <w:pPr>
                    <w:widowControl/>
                    <w:spacing w:line="300" w:lineRule="exact"/>
                    <w:jc w:val="center"/>
                    <w:rPr>
                      <w:color w:val="auto"/>
                      <w:szCs w:val="21"/>
                      <w:highlight w:val="none"/>
                    </w:rPr>
                  </w:pPr>
                </w:p>
              </w:tc>
              <w:tc>
                <w:tcPr>
                  <w:tcW w:w="1312" w:type="dxa"/>
                  <w:vMerge w:val="continue"/>
                  <w:vAlign w:val="center"/>
                </w:tcPr>
                <w:p w14:paraId="2D81E9E3">
                  <w:pPr>
                    <w:widowControl/>
                    <w:spacing w:line="300" w:lineRule="exact"/>
                    <w:jc w:val="center"/>
                    <w:rPr>
                      <w:color w:val="auto"/>
                      <w:szCs w:val="21"/>
                      <w:highlight w:val="none"/>
                    </w:rPr>
                  </w:pPr>
                </w:p>
              </w:tc>
              <w:tc>
                <w:tcPr>
                  <w:tcW w:w="0" w:type="auto"/>
                  <w:vAlign w:val="center"/>
                </w:tcPr>
                <w:p w14:paraId="343EE355">
                  <w:pPr>
                    <w:widowControl/>
                    <w:spacing w:line="300" w:lineRule="exact"/>
                    <w:jc w:val="center"/>
                    <w:rPr>
                      <w:color w:val="auto"/>
                      <w:szCs w:val="21"/>
                      <w:highlight w:val="none"/>
                    </w:rPr>
                  </w:pPr>
                  <w:r>
                    <w:rPr>
                      <w:color w:val="auto"/>
                      <w:szCs w:val="21"/>
                      <w:highlight w:val="none"/>
                    </w:rPr>
                    <w:t>BOD</w:t>
                  </w:r>
                  <w:r>
                    <w:rPr>
                      <w:color w:val="auto"/>
                      <w:szCs w:val="21"/>
                      <w:highlight w:val="none"/>
                      <w:vertAlign w:val="subscript"/>
                    </w:rPr>
                    <w:t>5</w:t>
                  </w:r>
                </w:p>
              </w:tc>
              <w:tc>
                <w:tcPr>
                  <w:tcW w:w="1782" w:type="dxa"/>
                  <w:vAlign w:val="center"/>
                </w:tcPr>
                <w:p w14:paraId="74AB6E5A">
                  <w:pPr>
                    <w:widowControl/>
                    <w:jc w:val="center"/>
                    <w:textAlignment w:val="center"/>
                    <w:rPr>
                      <w:color w:val="auto"/>
                      <w:szCs w:val="21"/>
                      <w:highlight w:val="none"/>
                    </w:rPr>
                  </w:pPr>
                  <w:r>
                    <w:rPr>
                      <w:color w:val="auto"/>
                      <w:kern w:val="0"/>
                      <w:szCs w:val="21"/>
                      <w:highlight w:val="none"/>
                      <w:lang w:bidi="ar"/>
                    </w:rPr>
                    <w:t xml:space="preserve">300 </w:t>
                  </w:r>
                </w:p>
              </w:tc>
              <w:tc>
                <w:tcPr>
                  <w:tcW w:w="1561" w:type="dxa"/>
                  <w:vAlign w:val="center"/>
                </w:tcPr>
                <w:p w14:paraId="0BCEF295">
                  <w:pPr>
                    <w:widowControl/>
                    <w:jc w:val="center"/>
                    <w:textAlignment w:val="center"/>
                    <w:rPr>
                      <w:color w:val="auto"/>
                      <w:szCs w:val="21"/>
                      <w:highlight w:val="none"/>
                    </w:rPr>
                  </w:pPr>
                  <w:r>
                    <w:rPr>
                      <w:color w:val="auto"/>
                      <w:kern w:val="0"/>
                      <w:szCs w:val="21"/>
                      <w:highlight w:val="none"/>
                      <w:lang w:bidi="ar"/>
                    </w:rPr>
                    <w:t xml:space="preserve">0.015 </w:t>
                  </w:r>
                </w:p>
              </w:tc>
            </w:tr>
            <w:tr w14:paraId="75E8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74" w:type="dxa"/>
                  <w:vMerge w:val="continue"/>
                  <w:vAlign w:val="center"/>
                </w:tcPr>
                <w:p w14:paraId="64DE159E">
                  <w:pPr>
                    <w:widowControl/>
                    <w:spacing w:line="300" w:lineRule="exact"/>
                    <w:jc w:val="center"/>
                    <w:rPr>
                      <w:color w:val="auto"/>
                      <w:szCs w:val="21"/>
                      <w:highlight w:val="none"/>
                    </w:rPr>
                  </w:pPr>
                </w:p>
              </w:tc>
              <w:tc>
                <w:tcPr>
                  <w:tcW w:w="2188" w:type="dxa"/>
                  <w:vMerge w:val="continue"/>
                  <w:vAlign w:val="center"/>
                </w:tcPr>
                <w:p w14:paraId="1AFEA369">
                  <w:pPr>
                    <w:widowControl/>
                    <w:spacing w:line="300" w:lineRule="exact"/>
                    <w:jc w:val="center"/>
                    <w:rPr>
                      <w:color w:val="auto"/>
                      <w:szCs w:val="21"/>
                      <w:highlight w:val="none"/>
                    </w:rPr>
                  </w:pPr>
                </w:p>
              </w:tc>
              <w:tc>
                <w:tcPr>
                  <w:tcW w:w="1312" w:type="dxa"/>
                  <w:vMerge w:val="continue"/>
                  <w:vAlign w:val="center"/>
                </w:tcPr>
                <w:p w14:paraId="222CCE03">
                  <w:pPr>
                    <w:widowControl/>
                    <w:spacing w:line="300" w:lineRule="exact"/>
                    <w:jc w:val="center"/>
                    <w:rPr>
                      <w:color w:val="auto"/>
                      <w:szCs w:val="21"/>
                      <w:highlight w:val="none"/>
                    </w:rPr>
                  </w:pPr>
                </w:p>
              </w:tc>
              <w:tc>
                <w:tcPr>
                  <w:tcW w:w="0" w:type="auto"/>
                  <w:vAlign w:val="center"/>
                </w:tcPr>
                <w:p w14:paraId="341233E1">
                  <w:pPr>
                    <w:widowControl/>
                    <w:spacing w:line="300" w:lineRule="exact"/>
                    <w:jc w:val="center"/>
                    <w:rPr>
                      <w:color w:val="auto"/>
                      <w:szCs w:val="21"/>
                      <w:highlight w:val="none"/>
                    </w:rPr>
                  </w:pPr>
                  <w:r>
                    <w:rPr>
                      <w:color w:val="auto"/>
                      <w:szCs w:val="21"/>
                      <w:highlight w:val="none"/>
                    </w:rPr>
                    <w:t>SS</w:t>
                  </w:r>
                </w:p>
              </w:tc>
              <w:tc>
                <w:tcPr>
                  <w:tcW w:w="1782" w:type="dxa"/>
                  <w:vAlign w:val="center"/>
                </w:tcPr>
                <w:p w14:paraId="1903E54B">
                  <w:pPr>
                    <w:widowControl/>
                    <w:jc w:val="center"/>
                    <w:textAlignment w:val="center"/>
                    <w:rPr>
                      <w:color w:val="auto"/>
                      <w:szCs w:val="21"/>
                      <w:highlight w:val="none"/>
                    </w:rPr>
                  </w:pPr>
                  <w:r>
                    <w:rPr>
                      <w:color w:val="auto"/>
                      <w:kern w:val="0"/>
                      <w:szCs w:val="21"/>
                      <w:highlight w:val="none"/>
                      <w:lang w:bidi="ar"/>
                    </w:rPr>
                    <w:t xml:space="preserve">200 </w:t>
                  </w:r>
                </w:p>
              </w:tc>
              <w:tc>
                <w:tcPr>
                  <w:tcW w:w="1561" w:type="dxa"/>
                  <w:vAlign w:val="center"/>
                </w:tcPr>
                <w:p w14:paraId="6B592A62">
                  <w:pPr>
                    <w:widowControl/>
                    <w:jc w:val="center"/>
                    <w:textAlignment w:val="center"/>
                    <w:rPr>
                      <w:color w:val="auto"/>
                      <w:szCs w:val="21"/>
                      <w:highlight w:val="none"/>
                    </w:rPr>
                  </w:pPr>
                  <w:r>
                    <w:rPr>
                      <w:color w:val="auto"/>
                      <w:kern w:val="0"/>
                      <w:szCs w:val="21"/>
                      <w:highlight w:val="none"/>
                      <w:lang w:bidi="ar"/>
                    </w:rPr>
                    <w:t xml:space="preserve">0.010 </w:t>
                  </w:r>
                </w:p>
              </w:tc>
            </w:tr>
            <w:tr w14:paraId="0988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74" w:type="dxa"/>
                  <w:vMerge w:val="continue"/>
                  <w:vAlign w:val="center"/>
                </w:tcPr>
                <w:p w14:paraId="664968E2">
                  <w:pPr>
                    <w:widowControl/>
                    <w:spacing w:line="300" w:lineRule="exact"/>
                    <w:jc w:val="center"/>
                    <w:rPr>
                      <w:color w:val="auto"/>
                      <w:szCs w:val="21"/>
                      <w:highlight w:val="none"/>
                    </w:rPr>
                  </w:pPr>
                </w:p>
              </w:tc>
              <w:tc>
                <w:tcPr>
                  <w:tcW w:w="2188" w:type="dxa"/>
                  <w:vMerge w:val="continue"/>
                  <w:vAlign w:val="center"/>
                </w:tcPr>
                <w:p w14:paraId="11D861A7">
                  <w:pPr>
                    <w:widowControl/>
                    <w:spacing w:line="300" w:lineRule="exact"/>
                    <w:jc w:val="center"/>
                    <w:rPr>
                      <w:color w:val="auto"/>
                      <w:szCs w:val="21"/>
                      <w:highlight w:val="none"/>
                    </w:rPr>
                  </w:pPr>
                </w:p>
              </w:tc>
              <w:tc>
                <w:tcPr>
                  <w:tcW w:w="1312" w:type="dxa"/>
                  <w:vMerge w:val="continue"/>
                  <w:vAlign w:val="center"/>
                </w:tcPr>
                <w:p w14:paraId="2C115E51">
                  <w:pPr>
                    <w:widowControl/>
                    <w:spacing w:line="300" w:lineRule="exact"/>
                    <w:jc w:val="center"/>
                    <w:rPr>
                      <w:color w:val="auto"/>
                      <w:szCs w:val="21"/>
                      <w:highlight w:val="none"/>
                    </w:rPr>
                  </w:pPr>
                </w:p>
              </w:tc>
              <w:tc>
                <w:tcPr>
                  <w:tcW w:w="0" w:type="auto"/>
                  <w:vAlign w:val="center"/>
                </w:tcPr>
                <w:p w14:paraId="150A2AB0">
                  <w:pPr>
                    <w:widowControl/>
                    <w:spacing w:line="300" w:lineRule="exact"/>
                    <w:jc w:val="center"/>
                    <w:rPr>
                      <w:color w:val="auto"/>
                      <w:szCs w:val="21"/>
                      <w:highlight w:val="none"/>
                    </w:rPr>
                  </w:pPr>
                  <w:r>
                    <w:rPr>
                      <w:color w:val="auto"/>
                      <w:szCs w:val="21"/>
                      <w:highlight w:val="none"/>
                    </w:rPr>
                    <w:t>氨氮</w:t>
                  </w:r>
                </w:p>
              </w:tc>
              <w:tc>
                <w:tcPr>
                  <w:tcW w:w="1782" w:type="dxa"/>
                  <w:vAlign w:val="center"/>
                </w:tcPr>
                <w:p w14:paraId="09066642">
                  <w:pPr>
                    <w:widowControl/>
                    <w:jc w:val="center"/>
                    <w:textAlignment w:val="center"/>
                    <w:rPr>
                      <w:color w:val="auto"/>
                      <w:szCs w:val="21"/>
                      <w:highlight w:val="none"/>
                    </w:rPr>
                  </w:pPr>
                  <w:r>
                    <w:rPr>
                      <w:color w:val="auto"/>
                      <w:kern w:val="0"/>
                      <w:szCs w:val="21"/>
                      <w:highlight w:val="none"/>
                      <w:lang w:bidi="ar"/>
                    </w:rPr>
                    <w:t xml:space="preserve">30 </w:t>
                  </w:r>
                </w:p>
              </w:tc>
              <w:tc>
                <w:tcPr>
                  <w:tcW w:w="1561" w:type="dxa"/>
                  <w:vAlign w:val="center"/>
                </w:tcPr>
                <w:p w14:paraId="21DCB926">
                  <w:pPr>
                    <w:widowControl/>
                    <w:jc w:val="center"/>
                    <w:textAlignment w:val="center"/>
                    <w:rPr>
                      <w:color w:val="auto"/>
                      <w:szCs w:val="21"/>
                      <w:highlight w:val="none"/>
                    </w:rPr>
                  </w:pPr>
                  <w:r>
                    <w:rPr>
                      <w:color w:val="auto"/>
                      <w:kern w:val="0"/>
                      <w:szCs w:val="21"/>
                      <w:highlight w:val="none"/>
                      <w:lang w:bidi="ar"/>
                    </w:rPr>
                    <w:t xml:space="preserve">0.002 </w:t>
                  </w:r>
                </w:p>
              </w:tc>
            </w:tr>
            <w:tr w14:paraId="12CA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74" w:type="dxa"/>
                  <w:vMerge w:val="continue"/>
                  <w:vAlign w:val="center"/>
                </w:tcPr>
                <w:p w14:paraId="18671C34">
                  <w:pPr>
                    <w:widowControl/>
                    <w:spacing w:line="300" w:lineRule="exact"/>
                    <w:jc w:val="center"/>
                    <w:rPr>
                      <w:color w:val="auto"/>
                      <w:szCs w:val="21"/>
                      <w:highlight w:val="none"/>
                    </w:rPr>
                  </w:pPr>
                </w:p>
              </w:tc>
              <w:tc>
                <w:tcPr>
                  <w:tcW w:w="2188" w:type="dxa"/>
                  <w:vMerge w:val="continue"/>
                  <w:vAlign w:val="center"/>
                </w:tcPr>
                <w:p w14:paraId="4889E92D">
                  <w:pPr>
                    <w:widowControl/>
                    <w:spacing w:line="300" w:lineRule="exact"/>
                    <w:jc w:val="center"/>
                    <w:rPr>
                      <w:color w:val="auto"/>
                      <w:szCs w:val="21"/>
                      <w:highlight w:val="none"/>
                    </w:rPr>
                  </w:pPr>
                </w:p>
              </w:tc>
              <w:tc>
                <w:tcPr>
                  <w:tcW w:w="1312" w:type="dxa"/>
                  <w:vMerge w:val="continue"/>
                  <w:vAlign w:val="center"/>
                </w:tcPr>
                <w:p w14:paraId="4508DB57">
                  <w:pPr>
                    <w:widowControl/>
                    <w:spacing w:line="300" w:lineRule="exact"/>
                    <w:jc w:val="center"/>
                    <w:rPr>
                      <w:color w:val="auto"/>
                      <w:szCs w:val="21"/>
                      <w:highlight w:val="none"/>
                    </w:rPr>
                  </w:pPr>
                </w:p>
              </w:tc>
              <w:tc>
                <w:tcPr>
                  <w:tcW w:w="0" w:type="auto"/>
                  <w:vAlign w:val="center"/>
                </w:tcPr>
                <w:p w14:paraId="61DF57CB">
                  <w:pPr>
                    <w:widowControl/>
                    <w:spacing w:line="300" w:lineRule="exact"/>
                    <w:jc w:val="center"/>
                    <w:rPr>
                      <w:color w:val="auto"/>
                      <w:szCs w:val="21"/>
                      <w:highlight w:val="none"/>
                    </w:rPr>
                  </w:pPr>
                  <w:r>
                    <w:rPr>
                      <w:color w:val="auto"/>
                      <w:szCs w:val="21"/>
                      <w:highlight w:val="none"/>
                    </w:rPr>
                    <w:t>总氮</w:t>
                  </w:r>
                </w:p>
              </w:tc>
              <w:tc>
                <w:tcPr>
                  <w:tcW w:w="1782" w:type="dxa"/>
                  <w:vAlign w:val="center"/>
                </w:tcPr>
                <w:p w14:paraId="428B8F9C">
                  <w:pPr>
                    <w:widowControl/>
                    <w:jc w:val="center"/>
                    <w:textAlignment w:val="center"/>
                    <w:rPr>
                      <w:color w:val="auto"/>
                      <w:szCs w:val="21"/>
                      <w:highlight w:val="none"/>
                    </w:rPr>
                  </w:pPr>
                  <w:r>
                    <w:rPr>
                      <w:color w:val="auto"/>
                      <w:kern w:val="0"/>
                      <w:szCs w:val="21"/>
                      <w:highlight w:val="none"/>
                      <w:lang w:bidi="ar"/>
                    </w:rPr>
                    <w:t xml:space="preserve">50 </w:t>
                  </w:r>
                </w:p>
              </w:tc>
              <w:tc>
                <w:tcPr>
                  <w:tcW w:w="1561" w:type="dxa"/>
                  <w:vAlign w:val="center"/>
                </w:tcPr>
                <w:p w14:paraId="04A027B7">
                  <w:pPr>
                    <w:widowControl/>
                    <w:jc w:val="center"/>
                    <w:textAlignment w:val="center"/>
                    <w:rPr>
                      <w:color w:val="auto"/>
                      <w:szCs w:val="21"/>
                      <w:highlight w:val="none"/>
                    </w:rPr>
                  </w:pPr>
                  <w:r>
                    <w:rPr>
                      <w:color w:val="auto"/>
                      <w:kern w:val="0"/>
                      <w:szCs w:val="21"/>
                      <w:highlight w:val="none"/>
                      <w:lang w:bidi="ar"/>
                    </w:rPr>
                    <w:t xml:space="preserve">0.003 </w:t>
                  </w:r>
                </w:p>
              </w:tc>
            </w:tr>
            <w:tr w14:paraId="6E05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74" w:type="dxa"/>
                  <w:vMerge w:val="continue"/>
                  <w:vAlign w:val="center"/>
                </w:tcPr>
                <w:p w14:paraId="2FA14B2C">
                  <w:pPr>
                    <w:widowControl/>
                    <w:spacing w:line="300" w:lineRule="exact"/>
                    <w:jc w:val="center"/>
                    <w:rPr>
                      <w:color w:val="auto"/>
                      <w:szCs w:val="21"/>
                      <w:highlight w:val="none"/>
                    </w:rPr>
                  </w:pPr>
                </w:p>
              </w:tc>
              <w:tc>
                <w:tcPr>
                  <w:tcW w:w="2188" w:type="dxa"/>
                  <w:vMerge w:val="continue"/>
                  <w:vAlign w:val="center"/>
                </w:tcPr>
                <w:p w14:paraId="2C3AFCEA">
                  <w:pPr>
                    <w:widowControl/>
                    <w:spacing w:line="300" w:lineRule="exact"/>
                    <w:jc w:val="center"/>
                    <w:rPr>
                      <w:color w:val="auto"/>
                      <w:szCs w:val="21"/>
                      <w:highlight w:val="none"/>
                    </w:rPr>
                  </w:pPr>
                </w:p>
              </w:tc>
              <w:tc>
                <w:tcPr>
                  <w:tcW w:w="1312" w:type="dxa"/>
                  <w:vMerge w:val="continue"/>
                  <w:vAlign w:val="center"/>
                </w:tcPr>
                <w:p w14:paraId="09BF17BD">
                  <w:pPr>
                    <w:widowControl/>
                    <w:spacing w:line="300" w:lineRule="exact"/>
                    <w:jc w:val="center"/>
                    <w:rPr>
                      <w:color w:val="auto"/>
                      <w:szCs w:val="21"/>
                      <w:highlight w:val="none"/>
                    </w:rPr>
                  </w:pPr>
                </w:p>
              </w:tc>
              <w:tc>
                <w:tcPr>
                  <w:tcW w:w="0" w:type="auto"/>
                  <w:vAlign w:val="center"/>
                </w:tcPr>
                <w:p w14:paraId="3C896DDE">
                  <w:pPr>
                    <w:widowControl/>
                    <w:spacing w:line="300" w:lineRule="exact"/>
                    <w:jc w:val="center"/>
                    <w:rPr>
                      <w:color w:val="auto"/>
                      <w:szCs w:val="21"/>
                      <w:highlight w:val="none"/>
                    </w:rPr>
                  </w:pPr>
                  <w:r>
                    <w:rPr>
                      <w:color w:val="auto"/>
                      <w:szCs w:val="21"/>
                      <w:highlight w:val="none"/>
                    </w:rPr>
                    <w:t>总磷</w:t>
                  </w:r>
                </w:p>
              </w:tc>
              <w:tc>
                <w:tcPr>
                  <w:tcW w:w="1782" w:type="dxa"/>
                  <w:vAlign w:val="center"/>
                </w:tcPr>
                <w:p w14:paraId="541E3EBD">
                  <w:pPr>
                    <w:widowControl/>
                    <w:jc w:val="center"/>
                    <w:textAlignment w:val="center"/>
                    <w:rPr>
                      <w:color w:val="auto"/>
                      <w:szCs w:val="21"/>
                      <w:highlight w:val="none"/>
                    </w:rPr>
                  </w:pPr>
                  <w:r>
                    <w:rPr>
                      <w:color w:val="auto"/>
                      <w:kern w:val="0"/>
                      <w:szCs w:val="21"/>
                      <w:highlight w:val="none"/>
                      <w:lang w:bidi="ar"/>
                    </w:rPr>
                    <w:t xml:space="preserve">5 </w:t>
                  </w:r>
                </w:p>
              </w:tc>
              <w:tc>
                <w:tcPr>
                  <w:tcW w:w="1561" w:type="dxa"/>
                  <w:vAlign w:val="center"/>
                </w:tcPr>
                <w:p w14:paraId="7CAFA73A">
                  <w:pPr>
                    <w:widowControl/>
                    <w:jc w:val="center"/>
                    <w:textAlignment w:val="center"/>
                    <w:rPr>
                      <w:color w:val="auto"/>
                      <w:szCs w:val="21"/>
                      <w:highlight w:val="none"/>
                    </w:rPr>
                  </w:pPr>
                  <w:r>
                    <w:rPr>
                      <w:color w:val="auto"/>
                      <w:kern w:val="0"/>
                      <w:szCs w:val="21"/>
                      <w:highlight w:val="none"/>
                      <w:lang w:bidi="ar"/>
                    </w:rPr>
                    <w:t xml:space="preserve">0.0003 </w:t>
                  </w:r>
                </w:p>
              </w:tc>
            </w:tr>
            <w:tr w14:paraId="4DFD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662" w:type="dxa"/>
                  <w:gridSpan w:val="2"/>
                  <w:vMerge w:val="restart"/>
                  <w:vAlign w:val="center"/>
                </w:tcPr>
                <w:p w14:paraId="4F36CAF3">
                  <w:pPr>
                    <w:widowControl/>
                    <w:spacing w:line="300" w:lineRule="exact"/>
                    <w:jc w:val="center"/>
                    <w:rPr>
                      <w:color w:val="auto"/>
                      <w:szCs w:val="21"/>
                      <w:highlight w:val="none"/>
                    </w:rPr>
                  </w:pPr>
                  <w:r>
                    <w:rPr>
                      <w:color w:val="auto"/>
                      <w:szCs w:val="21"/>
                      <w:highlight w:val="none"/>
                    </w:rPr>
                    <w:t>全厂综合废水：合计</w:t>
                  </w:r>
                </w:p>
              </w:tc>
              <w:tc>
                <w:tcPr>
                  <w:tcW w:w="1312" w:type="dxa"/>
                  <w:vMerge w:val="restart"/>
                  <w:vAlign w:val="center"/>
                </w:tcPr>
                <w:p w14:paraId="5AD3C3F1">
                  <w:pPr>
                    <w:widowControl/>
                    <w:spacing w:line="300" w:lineRule="exact"/>
                    <w:jc w:val="center"/>
                    <w:rPr>
                      <w:color w:val="auto"/>
                      <w:szCs w:val="21"/>
                      <w:highlight w:val="none"/>
                    </w:rPr>
                  </w:pPr>
                  <w:r>
                    <w:rPr>
                      <w:color w:val="auto"/>
                      <w:szCs w:val="21"/>
                      <w:highlight w:val="none"/>
                    </w:rPr>
                    <w:t>1476.377</w:t>
                  </w:r>
                </w:p>
              </w:tc>
              <w:tc>
                <w:tcPr>
                  <w:tcW w:w="0" w:type="auto"/>
                  <w:shd w:val="clear" w:color="auto" w:fill="auto"/>
                  <w:vAlign w:val="center"/>
                </w:tcPr>
                <w:p w14:paraId="42714E35">
                  <w:pPr>
                    <w:widowControl/>
                    <w:spacing w:line="300" w:lineRule="exact"/>
                    <w:jc w:val="center"/>
                    <w:rPr>
                      <w:color w:val="auto"/>
                      <w:szCs w:val="21"/>
                      <w:highlight w:val="none"/>
                    </w:rPr>
                  </w:pPr>
                  <w:r>
                    <w:rPr>
                      <w:color w:val="auto"/>
                      <w:szCs w:val="21"/>
                      <w:highlight w:val="none"/>
                    </w:rPr>
                    <w:t>pH</w:t>
                  </w:r>
                </w:p>
              </w:tc>
              <w:tc>
                <w:tcPr>
                  <w:tcW w:w="1782" w:type="dxa"/>
                  <w:shd w:val="clear" w:color="auto" w:fill="auto"/>
                  <w:vAlign w:val="center"/>
                </w:tcPr>
                <w:p w14:paraId="0D93C0E5">
                  <w:pPr>
                    <w:widowControl/>
                    <w:jc w:val="center"/>
                    <w:textAlignment w:val="center"/>
                    <w:rPr>
                      <w:color w:val="auto"/>
                      <w:szCs w:val="21"/>
                      <w:highlight w:val="none"/>
                    </w:rPr>
                  </w:pPr>
                  <w:r>
                    <w:rPr>
                      <w:color w:val="auto"/>
                      <w:szCs w:val="21"/>
                      <w:highlight w:val="none"/>
                    </w:rPr>
                    <w:t>6~9</w:t>
                  </w:r>
                </w:p>
              </w:tc>
              <w:tc>
                <w:tcPr>
                  <w:tcW w:w="1561" w:type="dxa"/>
                  <w:shd w:val="clear" w:color="auto" w:fill="auto"/>
                  <w:vAlign w:val="center"/>
                </w:tcPr>
                <w:p w14:paraId="4BF3CFB0">
                  <w:pPr>
                    <w:widowControl/>
                    <w:jc w:val="center"/>
                    <w:textAlignment w:val="center"/>
                    <w:rPr>
                      <w:color w:val="auto"/>
                      <w:szCs w:val="21"/>
                      <w:highlight w:val="none"/>
                    </w:rPr>
                  </w:pPr>
                  <w:r>
                    <w:rPr>
                      <w:color w:val="auto"/>
                      <w:szCs w:val="21"/>
                      <w:highlight w:val="none"/>
                    </w:rPr>
                    <w:t>/</w:t>
                  </w:r>
                </w:p>
              </w:tc>
            </w:tr>
            <w:tr w14:paraId="7EAF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662" w:type="dxa"/>
                  <w:gridSpan w:val="2"/>
                  <w:vMerge w:val="continue"/>
                  <w:vAlign w:val="center"/>
                </w:tcPr>
                <w:p w14:paraId="39DC46F6">
                  <w:pPr>
                    <w:widowControl/>
                    <w:spacing w:line="300" w:lineRule="exact"/>
                    <w:jc w:val="center"/>
                    <w:rPr>
                      <w:color w:val="auto"/>
                      <w:szCs w:val="21"/>
                      <w:highlight w:val="none"/>
                    </w:rPr>
                  </w:pPr>
                </w:p>
              </w:tc>
              <w:tc>
                <w:tcPr>
                  <w:tcW w:w="1312" w:type="dxa"/>
                  <w:vMerge w:val="continue"/>
                  <w:vAlign w:val="center"/>
                </w:tcPr>
                <w:p w14:paraId="2B89254B">
                  <w:pPr>
                    <w:widowControl/>
                    <w:spacing w:line="300" w:lineRule="exact"/>
                    <w:jc w:val="center"/>
                    <w:rPr>
                      <w:color w:val="auto"/>
                      <w:szCs w:val="21"/>
                      <w:highlight w:val="none"/>
                    </w:rPr>
                  </w:pPr>
                </w:p>
              </w:tc>
              <w:tc>
                <w:tcPr>
                  <w:tcW w:w="0" w:type="auto"/>
                  <w:shd w:val="clear" w:color="auto" w:fill="auto"/>
                  <w:vAlign w:val="center"/>
                </w:tcPr>
                <w:p w14:paraId="7C46B1AE">
                  <w:pPr>
                    <w:widowControl/>
                    <w:spacing w:line="300" w:lineRule="exact"/>
                    <w:jc w:val="center"/>
                    <w:rPr>
                      <w:color w:val="auto"/>
                      <w:szCs w:val="21"/>
                      <w:highlight w:val="none"/>
                    </w:rPr>
                  </w:pPr>
                  <w:r>
                    <w:rPr>
                      <w:color w:val="auto"/>
                      <w:szCs w:val="21"/>
                      <w:highlight w:val="none"/>
                    </w:rPr>
                    <w:t>COD</w:t>
                  </w:r>
                </w:p>
              </w:tc>
              <w:tc>
                <w:tcPr>
                  <w:tcW w:w="1782" w:type="dxa"/>
                  <w:shd w:val="clear" w:color="auto" w:fill="auto"/>
                  <w:vAlign w:val="center"/>
                </w:tcPr>
                <w:p w14:paraId="2C4F8444">
                  <w:pPr>
                    <w:widowControl/>
                    <w:jc w:val="center"/>
                    <w:textAlignment w:val="center"/>
                    <w:rPr>
                      <w:color w:val="auto"/>
                      <w:kern w:val="0"/>
                      <w:szCs w:val="21"/>
                      <w:highlight w:val="none"/>
                      <w:lang w:bidi="ar"/>
                    </w:rPr>
                  </w:pPr>
                  <w:r>
                    <w:rPr>
                      <w:color w:val="auto"/>
                      <w:kern w:val="0"/>
                      <w:szCs w:val="21"/>
                      <w:highlight w:val="none"/>
                      <w:lang w:bidi="ar"/>
                    </w:rPr>
                    <w:t>/</w:t>
                  </w:r>
                </w:p>
              </w:tc>
              <w:tc>
                <w:tcPr>
                  <w:tcW w:w="1561" w:type="dxa"/>
                  <w:shd w:val="clear" w:color="auto" w:fill="auto"/>
                  <w:vAlign w:val="center"/>
                </w:tcPr>
                <w:p w14:paraId="18DA1911">
                  <w:pPr>
                    <w:widowControl/>
                    <w:jc w:val="center"/>
                    <w:textAlignment w:val="center"/>
                    <w:rPr>
                      <w:color w:val="auto"/>
                      <w:kern w:val="0"/>
                      <w:szCs w:val="21"/>
                      <w:highlight w:val="none"/>
                      <w:lang w:bidi="ar"/>
                    </w:rPr>
                  </w:pPr>
                  <w:r>
                    <w:rPr>
                      <w:color w:val="auto"/>
                      <w:kern w:val="0"/>
                      <w:szCs w:val="21"/>
                      <w:highlight w:val="none"/>
                      <w:lang w:bidi="ar"/>
                    </w:rPr>
                    <w:t>1.</w:t>
                  </w:r>
                  <w:r>
                    <w:rPr>
                      <w:rFonts w:hint="eastAsia"/>
                      <w:color w:val="auto"/>
                      <w:kern w:val="0"/>
                      <w:szCs w:val="21"/>
                      <w:highlight w:val="none"/>
                      <w:lang w:val="en-US" w:eastAsia="zh-CN" w:bidi="ar"/>
                    </w:rPr>
                    <w:t>781</w:t>
                  </w:r>
                  <w:r>
                    <w:rPr>
                      <w:color w:val="auto"/>
                      <w:kern w:val="0"/>
                      <w:szCs w:val="21"/>
                      <w:highlight w:val="none"/>
                      <w:lang w:bidi="ar"/>
                    </w:rPr>
                    <w:t xml:space="preserve"> </w:t>
                  </w:r>
                </w:p>
              </w:tc>
            </w:tr>
            <w:tr w14:paraId="07DD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662" w:type="dxa"/>
                  <w:gridSpan w:val="2"/>
                  <w:vMerge w:val="continue"/>
                  <w:vAlign w:val="center"/>
                </w:tcPr>
                <w:p w14:paraId="5C9462CB">
                  <w:pPr>
                    <w:widowControl/>
                    <w:spacing w:line="300" w:lineRule="exact"/>
                    <w:jc w:val="center"/>
                    <w:rPr>
                      <w:color w:val="auto"/>
                      <w:szCs w:val="21"/>
                      <w:highlight w:val="none"/>
                    </w:rPr>
                  </w:pPr>
                </w:p>
              </w:tc>
              <w:tc>
                <w:tcPr>
                  <w:tcW w:w="1312" w:type="dxa"/>
                  <w:vMerge w:val="continue"/>
                  <w:vAlign w:val="center"/>
                </w:tcPr>
                <w:p w14:paraId="3EAFA436">
                  <w:pPr>
                    <w:widowControl/>
                    <w:spacing w:line="300" w:lineRule="exact"/>
                    <w:jc w:val="center"/>
                    <w:rPr>
                      <w:color w:val="auto"/>
                      <w:szCs w:val="21"/>
                      <w:highlight w:val="none"/>
                    </w:rPr>
                  </w:pPr>
                </w:p>
              </w:tc>
              <w:tc>
                <w:tcPr>
                  <w:tcW w:w="0" w:type="auto"/>
                  <w:vAlign w:val="center"/>
                </w:tcPr>
                <w:p w14:paraId="63AE3C30">
                  <w:pPr>
                    <w:widowControl/>
                    <w:spacing w:line="300" w:lineRule="exact"/>
                    <w:jc w:val="center"/>
                    <w:rPr>
                      <w:color w:val="auto"/>
                      <w:szCs w:val="21"/>
                      <w:highlight w:val="none"/>
                    </w:rPr>
                  </w:pPr>
                  <w:r>
                    <w:rPr>
                      <w:color w:val="auto"/>
                      <w:szCs w:val="21"/>
                      <w:highlight w:val="none"/>
                    </w:rPr>
                    <w:t>BOD</w:t>
                  </w:r>
                  <w:r>
                    <w:rPr>
                      <w:color w:val="auto"/>
                      <w:szCs w:val="21"/>
                      <w:highlight w:val="none"/>
                      <w:vertAlign w:val="subscript"/>
                    </w:rPr>
                    <w:t>5</w:t>
                  </w:r>
                </w:p>
              </w:tc>
              <w:tc>
                <w:tcPr>
                  <w:tcW w:w="1782" w:type="dxa"/>
                  <w:vAlign w:val="center"/>
                </w:tcPr>
                <w:p w14:paraId="731DE229">
                  <w:pPr>
                    <w:widowControl/>
                    <w:jc w:val="center"/>
                    <w:textAlignment w:val="center"/>
                    <w:rPr>
                      <w:color w:val="auto"/>
                      <w:szCs w:val="21"/>
                      <w:highlight w:val="none"/>
                    </w:rPr>
                  </w:pPr>
                  <w:r>
                    <w:rPr>
                      <w:color w:val="auto"/>
                      <w:kern w:val="0"/>
                      <w:szCs w:val="21"/>
                      <w:highlight w:val="none"/>
                      <w:lang w:bidi="ar"/>
                    </w:rPr>
                    <w:t>/</w:t>
                  </w:r>
                </w:p>
              </w:tc>
              <w:tc>
                <w:tcPr>
                  <w:tcW w:w="1561" w:type="dxa"/>
                  <w:vAlign w:val="center"/>
                </w:tcPr>
                <w:p w14:paraId="1F9342DC">
                  <w:pPr>
                    <w:widowControl/>
                    <w:jc w:val="center"/>
                    <w:textAlignment w:val="center"/>
                    <w:rPr>
                      <w:color w:val="auto"/>
                      <w:szCs w:val="21"/>
                      <w:highlight w:val="none"/>
                    </w:rPr>
                  </w:pPr>
                  <w:r>
                    <w:rPr>
                      <w:color w:val="auto"/>
                      <w:kern w:val="0"/>
                      <w:szCs w:val="21"/>
                      <w:highlight w:val="none"/>
                      <w:lang w:bidi="ar"/>
                    </w:rPr>
                    <w:t xml:space="preserve">0.726 </w:t>
                  </w:r>
                </w:p>
              </w:tc>
            </w:tr>
            <w:tr w14:paraId="0D78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2" w:type="dxa"/>
                  <w:gridSpan w:val="2"/>
                  <w:vMerge w:val="continue"/>
                  <w:vAlign w:val="center"/>
                </w:tcPr>
                <w:p w14:paraId="17CF78D7">
                  <w:pPr>
                    <w:widowControl/>
                    <w:spacing w:line="300" w:lineRule="exact"/>
                    <w:jc w:val="center"/>
                    <w:rPr>
                      <w:color w:val="auto"/>
                      <w:szCs w:val="21"/>
                      <w:highlight w:val="none"/>
                    </w:rPr>
                  </w:pPr>
                </w:p>
              </w:tc>
              <w:tc>
                <w:tcPr>
                  <w:tcW w:w="1312" w:type="dxa"/>
                  <w:vMerge w:val="continue"/>
                  <w:vAlign w:val="center"/>
                </w:tcPr>
                <w:p w14:paraId="73A4D2A2">
                  <w:pPr>
                    <w:widowControl/>
                    <w:spacing w:line="300" w:lineRule="exact"/>
                    <w:jc w:val="center"/>
                    <w:rPr>
                      <w:color w:val="auto"/>
                      <w:szCs w:val="21"/>
                      <w:highlight w:val="none"/>
                    </w:rPr>
                  </w:pPr>
                </w:p>
              </w:tc>
              <w:tc>
                <w:tcPr>
                  <w:tcW w:w="0" w:type="auto"/>
                  <w:vAlign w:val="center"/>
                </w:tcPr>
                <w:p w14:paraId="246C008A">
                  <w:pPr>
                    <w:widowControl/>
                    <w:spacing w:line="300" w:lineRule="exact"/>
                    <w:jc w:val="center"/>
                    <w:rPr>
                      <w:color w:val="auto"/>
                      <w:szCs w:val="21"/>
                      <w:highlight w:val="none"/>
                    </w:rPr>
                  </w:pPr>
                  <w:r>
                    <w:rPr>
                      <w:color w:val="auto"/>
                      <w:szCs w:val="21"/>
                      <w:highlight w:val="none"/>
                    </w:rPr>
                    <w:t>SS</w:t>
                  </w:r>
                </w:p>
              </w:tc>
              <w:tc>
                <w:tcPr>
                  <w:tcW w:w="1782" w:type="dxa"/>
                  <w:vAlign w:val="center"/>
                </w:tcPr>
                <w:p w14:paraId="3B84A794">
                  <w:pPr>
                    <w:widowControl/>
                    <w:jc w:val="center"/>
                    <w:textAlignment w:val="center"/>
                    <w:rPr>
                      <w:color w:val="auto"/>
                      <w:szCs w:val="21"/>
                      <w:highlight w:val="none"/>
                    </w:rPr>
                  </w:pPr>
                  <w:r>
                    <w:rPr>
                      <w:color w:val="auto"/>
                      <w:kern w:val="0"/>
                      <w:szCs w:val="21"/>
                      <w:highlight w:val="none"/>
                      <w:lang w:bidi="ar"/>
                    </w:rPr>
                    <w:t>/</w:t>
                  </w:r>
                </w:p>
              </w:tc>
              <w:tc>
                <w:tcPr>
                  <w:tcW w:w="1561" w:type="dxa"/>
                  <w:vAlign w:val="center"/>
                </w:tcPr>
                <w:p w14:paraId="5D4B6317">
                  <w:pPr>
                    <w:widowControl/>
                    <w:jc w:val="center"/>
                    <w:textAlignment w:val="center"/>
                    <w:rPr>
                      <w:color w:val="auto"/>
                      <w:szCs w:val="21"/>
                      <w:highlight w:val="none"/>
                    </w:rPr>
                  </w:pPr>
                  <w:r>
                    <w:rPr>
                      <w:color w:val="auto"/>
                      <w:kern w:val="0"/>
                      <w:szCs w:val="21"/>
                      <w:highlight w:val="none"/>
                      <w:lang w:bidi="ar"/>
                    </w:rPr>
                    <w:t xml:space="preserve">0.998 </w:t>
                  </w:r>
                </w:p>
              </w:tc>
            </w:tr>
            <w:tr w14:paraId="5233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662" w:type="dxa"/>
                  <w:gridSpan w:val="2"/>
                  <w:vMerge w:val="continue"/>
                  <w:vAlign w:val="center"/>
                </w:tcPr>
                <w:p w14:paraId="51B8F210">
                  <w:pPr>
                    <w:widowControl/>
                    <w:spacing w:line="300" w:lineRule="exact"/>
                    <w:jc w:val="center"/>
                    <w:rPr>
                      <w:color w:val="auto"/>
                      <w:szCs w:val="21"/>
                      <w:highlight w:val="none"/>
                    </w:rPr>
                  </w:pPr>
                </w:p>
              </w:tc>
              <w:tc>
                <w:tcPr>
                  <w:tcW w:w="1312" w:type="dxa"/>
                  <w:vMerge w:val="continue"/>
                  <w:vAlign w:val="center"/>
                </w:tcPr>
                <w:p w14:paraId="272CF812">
                  <w:pPr>
                    <w:widowControl/>
                    <w:spacing w:line="300" w:lineRule="exact"/>
                    <w:jc w:val="center"/>
                    <w:rPr>
                      <w:color w:val="auto"/>
                      <w:szCs w:val="21"/>
                      <w:highlight w:val="none"/>
                    </w:rPr>
                  </w:pPr>
                </w:p>
              </w:tc>
              <w:tc>
                <w:tcPr>
                  <w:tcW w:w="0" w:type="auto"/>
                  <w:vAlign w:val="center"/>
                </w:tcPr>
                <w:p w14:paraId="442D2EC0">
                  <w:pPr>
                    <w:widowControl/>
                    <w:spacing w:line="300" w:lineRule="exact"/>
                    <w:jc w:val="center"/>
                    <w:rPr>
                      <w:color w:val="auto"/>
                      <w:szCs w:val="21"/>
                      <w:highlight w:val="none"/>
                    </w:rPr>
                  </w:pPr>
                  <w:r>
                    <w:rPr>
                      <w:color w:val="auto"/>
                      <w:szCs w:val="21"/>
                      <w:highlight w:val="none"/>
                    </w:rPr>
                    <w:t>氨氮</w:t>
                  </w:r>
                </w:p>
              </w:tc>
              <w:tc>
                <w:tcPr>
                  <w:tcW w:w="1782" w:type="dxa"/>
                  <w:vAlign w:val="center"/>
                </w:tcPr>
                <w:p w14:paraId="6100DB93">
                  <w:pPr>
                    <w:widowControl/>
                    <w:jc w:val="center"/>
                    <w:textAlignment w:val="center"/>
                    <w:rPr>
                      <w:color w:val="auto"/>
                      <w:szCs w:val="21"/>
                      <w:highlight w:val="none"/>
                    </w:rPr>
                  </w:pPr>
                  <w:r>
                    <w:rPr>
                      <w:color w:val="auto"/>
                      <w:kern w:val="0"/>
                      <w:szCs w:val="21"/>
                      <w:highlight w:val="none"/>
                      <w:lang w:bidi="ar"/>
                    </w:rPr>
                    <w:t>/</w:t>
                  </w:r>
                </w:p>
              </w:tc>
              <w:tc>
                <w:tcPr>
                  <w:tcW w:w="1561" w:type="dxa"/>
                  <w:vAlign w:val="center"/>
                </w:tcPr>
                <w:p w14:paraId="292B3CA0">
                  <w:pPr>
                    <w:widowControl/>
                    <w:jc w:val="center"/>
                    <w:textAlignment w:val="center"/>
                    <w:rPr>
                      <w:color w:val="auto"/>
                      <w:szCs w:val="21"/>
                      <w:highlight w:val="none"/>
                    </w:rPr>
                  </w:pPr>
                  <w:r>
                    <w:rPr>
                      <w:color w:val="auto"/>
                      <w:kern w:val="0"/>
                      <w:szCs w:val="21"/>
                      <w:highlight w:val="none"/>
                      <w:lang w:bidi="ar"/>
                    </w:rPr>
                    <w:t xml:space="preserve">0.043 </w:t>
                  </w:r>
                </w:p>
              </w:tc>
            </w:tr>
            <w:tr w14:paraId="3269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662" w:type="dxa"/>
                  <w:gridSpan w:val="2"/>
                  <w:vMerge w:val="continue"/>
                  <w:vAlign w:val="center"/>
                </w:tcPr>
                <w:p w14:paraId="3A1506EC">
                  <w:pPr>
                    <w:widowControl/>
                    <w:spacing w:line="300" w:lineRule="exact"/>
                    <w:jc w:val="center"/>
                    <w:rPr>
                      <w:color w:val="auto"/>
                      <w:szCs w:val="21"/>
                      <w:highlight w:val="none"/>
                    </w:rPr>
                  </w:pPr>
                </w:p>
              </w:tc>
              <w:tc>
                <w:tcPr>
                  <w:tcW w:w="1312" w:type="dxa"/>
                  <w:vMerge w:val="continue"/>
                  <w:vAlign w:val="center"/>
                </w:tcPr>
                <w:p w14:paraId="1DF06B40">
                  <w:pPr>
                    <w:widowControl/>
                    <w:spacing w:line="300" w:lineRule="exact"/>
                    <w:jc w:val="center"/>
                    <w:rPr>
                      <w:color w:val="auto"/>
                      <w:szCs w:val="21"/>
                      <w:highlight w:val="none"/>
                    </w:rPr>
                  </w:pPr>
                </w:p>
              </w:tc>
              <w:tc>
                <w:tcPr>
                  <w:tcW w:w="0" w:type="auto"/>
                  <w:vAlign w:val="center"/>
                </w:tcPr>
                <w:p w14:paraId="0ED8F182">
                  <w:pPr>
                    <w:widowControl/>
                    <w:spacing w:line="300" w:lineRule="exact"/>
                    <w:jc w:val="center"/>
                    <w:rPr>
                      <w:color w:val="auto"/>
                      <w:szCs w:val="21"/>
                      <w:highlight w:val="none"/>
                    </w:rPr>
                  </w:pPr>
                  <w:r>
                    <w:rPr>
                      <w:color w:val="auto"/>
                      <w:szCs w:val="21"/>
                      <w:highlight w:val="none"/>
                    </w:rPr>
                    <w:t>总氮</w:t>
                  </w:r>
                </w:p>
              </w:tc>
              <w:tc>
                <w:tcPr>
                  <w:tcW w:w="1782" w:type="dxa"/>
                  <w:vAlign w:val="center"/>
                </w:tcPr>
                <w:p w14:paraId="71DA7075">
                  <w:pPr>
                    <w:widowControl/>
                    <w:jc w:val="center"/>
                    <w:textAlignment w:val="center"/>
                    <w:rPr>
                      <w:color w:val="auto"/>
                      <w:szCs w:val="21"/>
                      <w:highlight w:val="none"/>
                    </w:rPr>
                  </w:pPr>
                  <w:r>
                    <w:rPr>
                      <w:color w:val="auto"/>
                      <w:kern w:val="0"/>
                      <w:szCs w:val="21"/>
                      <w:highlight w:val="none"/>
                      <w:lang w:bidi="ar"/>
                    </w:rPr>
                    <w:t>/</w:t>
                  </w:r>
                </w:p>
              </w:tc>
              <w:tc>
                <w:tcPr>
                  <w:tcW w:w="1561" w:type="dxa"/>
                  <w:vAlign w:val="center"/>
                </w:tcPr>
                <w:p w14:paraId="5570F008">
                  <w:pPr>
                    <w:widowControl/>
                    <w:jc w:val="center"/>
                    <w:textAlignment w:val="center"/>
                    <w:rPr>
                      <w:color w:val="auto"/>
                      <w:szCs w:val="21"/>
                      <w:highlight w:val="none"/>
                    </w:rPr>
                  </w:pPr>
                  <w:r>
                    <w:rPr>
                      <w:color w:val="auto"/>
                      <w:kern w:val="0"/>
                      <w:szCs w:val="21"/>
                      <w:highlight w:val="none"/>
                      <w:lang w:bidi="ar"/>
                    </w:rPr>
                    <w:t xml:space="preserve">0.066 </w:t>
                  </w:r>
                </w:p>
              </w:tc>
            </w:tr>
            <w:tr w14:paraId="1301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662" w:type="dxa"/>
                  <w:gridSpan w:val="2"/>
                  <w:vMerge w:val="continue"/>
                  <w:vAlign w:val="center"/>
                </w:tcPr>
                <w:p w14:paraId="64BB67FA">
                  <w:pPr>
                    <w:widowControl/>
                    <w:spacing w:line="300" w:lineRule="exact"/>
                    <w:jc w:val="center"/>
                    <w:rPr>
                      <w:color w:val="auto"/>
                      <w:szCs w:val="21"/>
                      <w:highlight w:val="none"/>
                    </w:rPr>
                  </w:pPr>
                </w:p>
              </w:tc>
              <w:tc>
                <w:tcPr>
                  <w:tcW w:w="1312" w:type="dxa"/>
                  <w:vMerge w:val="continue"/>
                  <w:vAlign w:val="center"/>
                </w:tcPr>
                <w:p w14:paraId="0408AAEB">
                  <w:pPr>
                    <w:widowControl/>
                    <w:spacing w:line="300" w:lineRule="exact"/>
                    <w:jc w:val="center"/>
                    <w:rPr>
                      <w:color w:val="auto"/>
                      <w:szCs w:val="21"/>
                      <w:highlight w:val="none"/>
                    </w:rPr>
                  </w:pPr>
                </w:p>
              </w:tc>
              <w:tc>
                <w:tcPr>
                  <w:tcW w:w="0" w:type="auto"/>
                  <w:vAlign w:val="center"/>
                </w:tcPr>
                <w:p w14:paraId="38E3E48C">
                  <w:pPr>
                    <w:widowControl/>
                    <w:spacing w:line="300" w:lineRule="exact"/>
                    <w:jc w:val="center"/>
                    <w:rPr>
                      <w:color w:val="auto"/>
                      <w:szCs w:val="21"/>
                      <w:highlight w:val="none"/>
                    </w:rPr>
                  </w:pPr>
                  <w:r>
                    <w:rPr>
                      <w:color w:val="auto"/>
                      <w:szCs w:val="21"/>
                      <w:highlight w:val="none"/>
                    </w:rPr>
                    <w:t>总磷</w:t>
                  </w:r>
                </w:p>
              </w:tc>
              <w:tc>
                <w:tcPr>
                  <w:tcW w:w="1782" w:type="dxa"/>
                  <w:vAlign w:val="center"/>
                </w:tcPr>
                <w:p w14:paraId="656D15C8">
                  <w:pPr>
                    <w:widowControl/>
                    <w:jc w:val="center"/>
                    <w:textAlignment w:val="center"/>
                    <w:rPr>
                      <w:color w:val="auto"/>
                      <w:szCs w:val="21"/>
                      <w:highlight w:val="none"/>
                    </w:rPr>
                  </w:pPr>
                  <w:r>
                    <w:rPr>
                      <w:color w:val="auto"/>
                      <w:kern w:val="0"/>
                      <w:szCs w:val="21"/>
                      <w:highlight w:val="none"/>
                      <w:lang w:bidi="ar"/>
                    </w:rPr>
                    <w:t>/</w:t>
                  </w:r>
                </w:p>
              </w:tc>
              <w:tc>
                <w:tcPr>
                  <w:tcW w:w="1561" w:type="dxa"/>
                  <w:vAlign w:val="center"/>
                </w:tcPr>
                <w:p w14:paraId="74868528">
                  <w:pPr>
                    <w:widowControl/>
                    <w:jc w:val="center"/>
                    <w:textAlignment w:val="center"/>
                    <w:rPr>
                      <w:color w:val="auto"/>
                      <w:szCs w:val="21"/>
                      <w:highlight w:val="none"/>
                    </w:rPr>
                  </w:pPr>
                  <w:r>
                    <w:rPr>
                      <w:color w:val="auto"/>
                      <w:kern w:val="0"/>
                      <w:szCs w:val="21"/>
                      <w:highlight w:val="none"/>
                      <w:lang w:bidi="ar"/>
                    </w:rPr>
                    <w:t xml:space="preserve">0.004 </w:t>
                  </w:r>
                </w:p>
              </w:tc>
            </w:tr>
          </w:tbl>
          <w:p w14:paraId="563C2E6E">
            <w:pPr>
              <w:adjustRightInd w:val="0"/>
              <w:snapToGrid w:val="0"/>
              <w:spacing w:line="360" w:lineRule="auto"/>
              <w:rPr>
                <w:b/>
                <w:color w:val="auto"/>
                <w:spacing w:val="-10"/>
                <w:sz w:val="24"/>
                <w:highlight w:val="none"/>
              </w:rPr>
            </w:pPr>
          </w:p>
          <w:p w14:paraId="1DF506AD">
            <w:pPr>
              <w:adjustRightInd w:val="0"/>
              <w:snapToGrid w:val="0"/>
              <w:spacing w:line="360" w:lineRule="auto"/>
              <w:rPr>
                <w:b/>
                <w:color w:val="auto"/>
                <w:spacing w:val="-10"/>
                <w:sz w:val="24"/>
                <w:highlight w:val="none"/>
              </w:rPr>
            </w:pPr>
            <w:r>
              <w:rPr>
                <w:b/>
                <w:color w:val="auto"/>
                <w:spacing w:val="-10"/>
                <w:sz w:val="24"/>
                <w:highlight w:val="none"/>
              </w:rPr>
              <w:t>4.2.2.2废水处理措施及去向</w:t>
            </w:r>
          </w:p>
          <w:p w14:paraId="7F3AD858">
            <w:pPr>
              <w:pStyle w:val="15"/>
              <w:spacing w:before="0" w:beforeAutospacing="0" w:after="0" w:afterAutospacing="0" w:line="460" w:lineRule="exact"/>
              <w:ind w:firstLine="480" w:firstLineChars="200"/>
              <w:rPr>
                <w:rFonts w:ascii="Times New Roman" w:hAnsi="Times New Roman"/>
                <w:color w:val="auto"/>
                <w:szCs w:val="24"/>
                <w:highlight w:val="none"/>
              </w:rPr>
            </w:pPr>
            <w:r>
              <w:rPr>
                <w:rFonts w:ascii="Times New Roman" w:hAnsi="Times New Roman"/>
                <w:color w:val="auto"/>
                <w:szCs w:val="24"/>
                <w:highlight w:val="none"/>
              </w:rPr>
              <w:t>本项目生产废水（W1、W2、W3、W4、W5和W6）合计最大产生量为</w:t>
            </w:r>
            <w:r>
              <w:rPr>
                <w:rFonts w:ascii="Times New Roman" w:hAnsi="Times New Roman"/>
                <w:color w:val="auto"/>
                <w:szCs w:val="21"/>
                <w:highlight w:val="none"/>
              </w:rPr>
              <w:t>13.061</w:t>
            </w:r>
            <w:r>
              <w:rPr>
                <w:rFonts w:ascii="Times New Roman" w:hAnsi="Times New Roman"/>
                <w:color w:val="auto"/>
                <w:szCs w:val="24"/>
                <w:highlight w:val="none"/>
              </w:rPr>
              <w:t>m</w:t>
            </w:r>
            <w:r>
              <w:rPr>
                <w:rFonts w:ascii="Times New Roman" w:hAnsi="Times New Roman"/>
                <w:color w:val="auto"/>
                <w:szCs w:val="24"/>
                <w:highlight w:val="none"/>
                <w:vertAlign w:val="superscript"/>
              </w:rPr>
              <w:t>3</w:t>
            </w:r>
            <w:r>
              <w:rPr>
                <w:rFonts w:ascii="Times New Roman" w:hAnsi="Times New Roman"/>
                <w:color w:val="auto"/>
                <w:szCs w:val="24"/>
                <w:highlight w:val="none"/>
              </w:rPr>
              <w:t>/d，自建废水处理设施设计处理能力15m</w:t>
            </w:r>
            <w:r>
              <w:rPr>
                <w:rFonts w:ascii="Times New Roman" w:hAnsi="Times New Roman"/>
                <w:color w:val="auto"/>
                <w:szCs w:val="24"/>
                <w:highlight w:val="none"/>
                <w:vertAlign w:val="superscript"/>
              </w:rPr>
              <w:t>3</w:t>
            </w:r>
            <w:r>
              <w:rPr>
                <w:rFonts w:ascii="Times New Roman" w:hAnsi="Times New Roman"/>
                <w:color w:val="auto"/>
                <w:szCs w:val="24"/>
                <w:highlight w:val="none"/>
              </w:rPr>
              <w:t>/d，采用</w:t>
            </w:r>
            <w:r>
              <w:rPr>
                <w:rFonts w:hint="eastAsia" w:ascii="Times New Roman" w:hAnsi="Times New Roman"/>
                <w:color w:val="auto"/>
                <w:szCs w:val="24"/>
                <w:highlight w:val="none"/>
              </w:rPr>
              <w:t>“</w:t>
            </w:r>
            <w:r>
              <w:rPr>
                <w:rFonts w:ascii="Times New Roman" w:hAnsi="Times New Roman"/>
                <w:color w:val="auto"/>
                <w:szCs w:val="24"/>
                <w:highlight w:val="none"/>
              </w:rPr>
              <w:t>厌氧UASB+好氧</w:t>
            </w:r>
            <w:r>
              <w:rPr>
                <w:rFonts w:hint="eastAsia" w:ascii="Times New Roman" w:hAnsi="Times New Roman"/>
                <w:color w:val="auto"/>
                <w:szCs w:val="24"/>
                <w:highlight w:val="none"/>
              </w:rPr>
              <w:t>”</w:t>
            </w:r>
            <w:r>
              <w:rPr>
                <w:rFonts w:ascii="Times New Roman" w:hAnsi="Times New Roman"/>
                <w:color w:val="auto"/>
                <w:szCs w:val="24"/>
                <w:highlight w:val="none"/>
              </w:rPr>
              <w:t>工艺。</w:t>
            </w:r>
          </w:p>
          <w:p w14:paraId="3644A582">
            <w:pPr>
              <w:pStyle w:val="15"/>
              <w:spacing w:before="0" w:beforeAutospacing="0" w:after="0" w:afterAutospacing="0" w:line="460" w:lineRule="exact"/>
              <w:ind w:firstLine="480" w:firstLineChars="200"/>
              <w:rPr>
                <w:rFonts w:ascii="Times New Roman" w:hAnsi="Times New Roman"/>
                <w:color w:val="auto"/>
                <w:szCs w:val="24"/>
                <w:highlight w:val="none"/>
              </w:rPr>
            </w:pPr>
            <w:r>
              <w:rPr>
                <w:rFonts w:ascii="Times New Roman" w:hAnsi="Times New Roman"/>
                <w:color w:val="auto"/>
                <w:szCs w:val="24"/>
                <w:highlight w:val="none"/>
              </w:rPr>
              <w:t>本项目生产废水处理工艺流程详见图4.2-1。</w:t>
            </w:r>
          </w:p>
          <w:p w14:paraId="753B2CA1">
            <w:pPr>
              <w:pStyle w:val="15"/>
              <w:spacing w:before="0" w:beforeAutospacing="0" w:after="0" w:afterAutospacing="0" w:line="460" w:lineRule="exact"/>
              <w:ind w:firstLine="480" w:firstLineChars="200"/>
              <w:rPr>
                <w:rFonts w:ascii="Times New Roman" w:hAnsi="Times New Roman"/>
                <w:color w:val="auto"/>
                <w:szCs w:val="24"/>
                <w:highlight w:val="none"/>
              </w:rPr>
            </w:pPr>
          </w:p>
          <w:p w14:paraId="1DB9C345">
            <w:pPr>
              <w:adjustRightInd w:val="0"/>
              <w:snapToGrid w:val="0"/>
              <w:spacing w:line="360" w:lineRule="auto"/>
              <w:rPr>
                <w:b/>
                <w:bCs/>
                <w:color w:val="auto"/>
                <w:kern w:val="0"/>
                <w:sz w:val="24"/>
                <w:highlight w:val="none"/>
                <w:lang w:bidi="ar"/>
              </w:rPr>
            </w:pPr>
            <w:r>
              <w:rPr>
                <w:b/>
                <w:bCs/>
                <w:color w:val="auto"/>
                <w:kern w:val="0"/>
                <w:sz w:val="24"/>
                <w:highlight w:val="none"/>
              </w:rPr>
              <w:drawing>
                <wp:anchor distT="0" distB="0" distL="114300" distR="114300" simplePos="0" relativeHeight="251680768" behindDoc="0" locked="0" layoutInCell="1" allowOverlap="1">
                  <wp:simplePos x="0" y="0"/>
                  <wp:positionH relativeFrom="column">
                    <wp:posOffset>-86360</wp:posOffset>
                  </wp:positionH>
                  <wp:positionV relativeFrom="paragraph">
                    <wp:posOffset>-7964170</wp:posOffset>
                  </wp:positionV>
                  <wp:extent cx="5523865" cy="2599055"/>
                  <wp:effectExtent l="0" t="0" r="0" b="0"/>
                  <wp:wrapTopAndBottom/>
                  <wp:docPr id="30" name="图片 30"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工艺流程"/>
                          <pic:cNvPicPr>
                            <a:picLocks noChangeAspect="1"/>
                          </pic:cNvPicPr>
                        </pic:nvPicPr>
                        <pic:blipFill>
                          <a:blip r:embed="rId13"/>
                          <a:stretch>
                            <a:fillRect/>
                          </a:stretch>
                        </pic:blipFill>
                        <pic:spPr>
                          <a:xfrm>
                            <a:off x="0" y="0"/>
                            <a:ext cx="5523865" cy="2599055"/>
                          </a:xfrm>
                          <a:prstGeom prst="rect">
                            <a:avLst/>
                          </a:prstGeom>
                        </pic:spPr>
                      </pic:pic>
                    </a:graphicData>
                  </a:graphic>
                </wp:anchor>
              </w:drawing>
            </w:r>
          </w:p>
          <w:p w14:paraId="2F1D088A">
            <w:pPr>
              <w:adjustRightInd w:val="0"/>
              <w:snapToGrid w:val="0"/>
              <w:spacing w:line="360" w:lineRule="auto"/>
              <w:jc w:val="center"/>
              <w:rPr>
                <w:b/>
                <w:bCs/>
                <w:color w:val="auto"/>
                <w:kern w:val="0"/>
                <w:sz w:val="24"/>
                <w:highlight w:val="none"/>
                <w:lang w:bidi="ar"/>
              </w:rPr>
            </w:pPr>
            <w:r>
              <w:rPr>
                <w:b/>
                <w:bCs/>
                <w:color w:val="auto"/>
                <w:kern w:val="0"/>
                <w:sz w:val="24"/>
                <w:highlight w:val="none"/>
                <w:lang w:bidi="ar"/>
              </w:rPr>
              <w:t>图4.2-1 新建废水处理工艺流程图</w:t>
            </w:r>
          </w:p>
          <w:p w14:paraId="29C3BC71">
            <w:pPr>
              <w:adjustRightInd w:val="0"/>
              <w:snapToGrid w:val="0"/>
              <w:spacing w:line="360" w:lineRule="auto"/>
              <w:ind w:firstLine="480" w:firstLineChars="200"/>
              <w:rPr>
                <w:b/>
                <w:color w:val="auto"/>
                <w:sz w:val="24"/>
                <w:highlight w:val="none"/>
              </w:rPr>
            </w:pPr>
            <w:r>
              <w:rPr>
                <w:color w:val="auto"/>
                <w:sz w:val="24"/>
                <w:highlight w:val="none"/>
              </w:rPr>
              <w:t>生产废水收集后经自建污水处理设施处理达《淀粉工业水污染物排放限值》（GB25461-2010）表2中的间接排放标准后龙市镇工业污水处理厂，经龙市镇工业污水处理厂处理达《城镇污水处理厂污染物排放标准》（GB18918-2002）一级A标准后排放地表水体。</w:t>
            </w:r>
          </w:p>
          <w:p w14:paraId="6A17115F">
            <w:pPr>
              <w:adjustRightInd w:val="0"/>
              <w:snapToGrid w:val="0"/>
              <w:spacing w:line="360" w:lineRule="auto"/>
              <w:ind w:firstLine="480" w:firstLineChars="200"/>
              <w:rPr>
                <w:color w:val="auto"/>
                <w:sz w:val="24"/>
                <w:highlight w:val="none"/>
              </w:rPr>
            </w:pPr>
            <w:r>
              <w:rPr>
                <w:color w:val="auto"/>
                <w:sz w:val="24"/>
                <w:highlight w:val="none"/>
              </w:rPr>
              <w:t>本项目产生的生活污水依托</w:t>
            </w:r>
            <w:r>
              <w:rPr>
                <w:rFonts w:hint="eastAsia"/>
                <w:color w:val="auto"/>
                <w:sz w:val="24"/>
                <w:highlight w:val="none"/>
              </w:rPr>
              <w:t>厨鼎食品公司</w:t>
            </w:r>
            <w:r>
              <w:rPr>
                <w:color w:val="auto"/>
                <w:sz w:val="24"/>
                <w:highlight w:val="none"/>
              </w:rPr>
              <w:t>厂区已建化粪池处理后排入龙市镇工业污水处理厂深度处理达《城镇污水处理厂污染物排放标准》（GB18918-2002）一级A标准后排放。</w:t>
            </w:r>
          </w:p>
          <w:p w14:paraId="3B7DAB47">
            <w:pPr>
              <w:widowControl/>
              <w:spacing w:line="360" w:lineRule="auto"/>
              <w:ind w:firstLine="480"/>
              <w:jc w:val="left"/>
              <w:rPr>
                <w:b/>
                <w:bCs/>
                <w:color w:val="auto"/>
                <w:sz w:val="24"/>
                <w:highlight w:val="none"/>
              </w:rPr>
            </w:pPr>
            <w:r>
              <w:rPr>
                <w:b/>
                <w:bCs/>
                <w:color w:val="auto"/>
                <w:sz w:val="24"/>
                <w:highlight w:val="none"/>
              </w:rPr>
              <w:t>本项目废水污染物</w:t>
            </w:r>
            <w:r>
              <w:rPr>
                <w:rFonts w:hint="eastAsia"/>
                <w:b/>
                <w:bCs/>
                <w:color w:val="auto"/>
                <w:sz w:val="24"/>
                <w:highlight w:val="none"/>
              </w:rPr>
              <w:t>产生</w:t>
            </w:r>
            <w:r>
              <w:rPr>
                <w:b/>
                <w:bCs/>
                <w:color w:val="auto"/>
                <w:sz w:val="24"/>
                <w:highlight w:val="none"/>
              </w:rPr>
              <w:t>、排放情况见表4.2-</w:t>
            </w:r>
            <w:r>
              <w:rPr>
                <w:rFonts w:hint="eastAsia"/>
                <w:b/>
                <w:bCs/>
                <w:color w:val="auto"/>
                <w:sz w:val="24"/>
                <w:highlight w:val="none"/>
              </w:rPr>
              <w:t>4</w:t>
            </w:r>
            <w:r>
              <w:rPr>
                <w:b/>
                <w:bCs/>
                <w:color w:val="auto"/>
                <w:sz w:val="24"/>
                <w:highlight w:val="none"/>
              </w:rPr>
              <w:t>。</w:t>
            </w:r>
          </w:p>
          <w:p w14:paraId="1448DB4B">
            <w:pPr>
              <w:widowControl/>
              <w:spacing w:line="360" w:lineRule="auto"/>
              <w:ind w:firstLine="480"/>
              <w:jc w:val="left"/>
              <w:rPr>
                <w:b/>
                <w:bCs/>
                <w:color w:val="auto"/>
                <w:sz w:val="24"/>
                <w:highlight w:val="none"/>
              </w:rPr>
            </w:pPr>
          </w:p>
          <w:p w14:paraId="7CCFEE5A">
            <w:pPr>
              <w:widowControl/>
              <w:spacing w:line="360" w:lineRule="auto"/>
              <w:ind w:firstLine="480"/>
              <w:jc w:val="left"/>
              <w:rPr>
                <w:b/>
                <w:bCs/>
                <w:color w:val="auto"/>
                <w:sz w:val="24"/>
                <w:highlight w:val="none"/>
              </w:rPr>
            </w:pPr>
          </w:p>
          <w:p w14:paraId="299E8417">
            <w:pPr>
              <w:widowControl/>
              <w:spacing w:line="360" w:lineRule="auto"/>
              <w:ind w:firstLine="480"/>
              <w:jc w:val="left"/>
              <w:rPr>
                <w:b/>
                <w:bCs/>
                <w:color w:val="auto"/>
                <w:sz w:val="24"/>
                <w:highlight w:val="none"/>
              </w:rPr>
            </w:pPr>
          </w:p>
          <w:p w14:paraId="048773A4">
            <w:pPr>
              <w:widowControl/>
              <w:spacing w:line="360" w:lineRule="auto"/>
              <w:ind w:firstLine="480"/>
              <w:jc w:val="left"/>
              <w:rPr>
                <w:b/>
                <w:bCs/>
                <w:color w:val="auto"/>
                <w:sz w:val="24"/>
                <w:highlight w:val="none"/>
              </w:rPr>
            </w:pPr>
          </w:p>
          <w:p w14:paraId="17C3A1F0">
            <w:pPr>
              <w:widowControl/>
              <w:spacing w:line="360" w:lineRule="auto"/>
              <w:ind w:firstLine="480"/>
              <w:jc w:val="left"/>
              <w:rPr>
                <w:b/>
                <w:bCs/>
                <w:color w:val="auto"/>
                <w:sz w:val="24"/>
                <w:highlight w:val="none"/>
              </w:rPr>
            </w:pPr>
          </w:p>
          <w:p w14:paraId="52CCE687">
            <w:pPr>
              <w:pStyle w:val="3"/>
              <w:rPr>
                <w:b/>
                <w:bCs/>
                <w:color w:val="auto"/>
                <w:sz w:val="24"/>
                <w:highlight w:val="none"/>
              </w:rPr>
            </w:pPr>
          </w:p>
          <w:p w14:paraId="0E897F92">
            <w:pPr>
              <w:rPr>
                <w:b/>
                <w:bCs/>
                <w:color w:val="auto"/>
                <w:sz w:val="24"/>
                <w:highlight w:val="none"/>
              </w:rPr>
            </w:pPr>
          </w:p>
          <w:p w14:paraId="2DFD7A2A">
            <w:pPr>
              <w:pStyle w:val="3"/>
              <w:rPr>
                <w:color w:val="auto"/>
                <w:highlight w:val="none"/>
              </w:rPr>
            </w:pPr>
          </w:p>
          <w:p w14:paraId="3AFE5DB9">
            <w:pPr>
              <w:widowControl/>
              <w:spacing w:line="360" w:lineRule="auto"/>
              <w:ind w:firstLine="480"/>
              <w:jc w:val="left"/>
              <w:rPr>
                <w:b/>
                <w:bCs/>
                <w:color w:val="auto"/>
                <w:sz w:val="24"/>
                <w:highlight w:val="none"/>
              </w:rPr>
            </w:pPr>
          </w:p>
          <w:p w14:paraId="76EF0CFA">
            <w:pPr>
              <w:widowControl/>
              <w:spacing w:line="360" w:lineRule="auto"/>
              <w:ind w:firstLine="480"/>
              <w:jc w:val="left"/>
              <w:rPr>
                <w:b/>
                <w:bCs/>
                <w:color w:val="auto"/>
                <w:sz w:val="24"/>
                <w:highlight w:val="none"/>
              </w:rPr>
            </w:pPr>
          </w:p>
        </w:tc>
      </w:tr>
    </w:tbl>
    <w:p w14:paraId="1C46FBA3">
      <w:pPr>
        <w:adjustRightInd w:val="0"/>
        <w:snapToGrid w:val="0"/>
        <w:rPr>
          <w:rFonts w:ascii="宋体" w:hAnsi="宋体" w:cs="宋体"/>
          <w:bCs/>
          <w:color w:val="auto"/>
          <w:szCs w:val="21"/>
          <w:highlight w:val="none"/>
        </w:rPr>
      </w:pPr>
    </w:p>
    <w:p w14:paraId="25BE38EB">
      <w:pPr>
        <w:adjustRightInd w:val="0"/>
        <w:snapToGrid w:val="0"/>
        <w:rPr>
          <w:rFonts w:ascii="宋体" w:hAnsi="宋体" w:cs="宋体"/>
          <w:bCs/>
          <w:color w:val="auto"/>
          <w:szCs w:val="21"/>
          <w:highlight w:val="none"/>
        </w:rPr>
        <w:sectPr>
          <w:pgSz w:w="11907" w:h="16840"/>
          <w:pgMar w:top="1701" w:right="1531" w:bottom="2127" w:left="1531" w:header="851" w:footer="851" w:gutter="0"/>
          <w:cols w:space="720" w:num="1"/>
          <w:docGrid w:linePitch="312" w:charSpace="0"/>
        </w:sectPr>
      </w:pPr>
    </w:p>
    <w:tbl>
      <w:tblPr>
        <w:tblStyle w:val="19"/>
        <w:tblW w:w="134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631"/>
      </w:tblGrid>
      <w:tr w14:paraId="4EB1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14:paraId="6CB01E31">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14:paraId="560914C6">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14:paraId="47ED5607">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14:paraId="6FB77CF6">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14:paraId="6B92FF10">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14:paraId="51AF8470">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12631" w:type="dxa"/>
          </w:tcPr>
          <w:p w14:paraId="53B617FF">
            <w:pPr>
              <w:adjustRightInd w:val="0"/>
              <w:snapToGrid w:val="0"/>
              <w:ind w:firstLine="482" w:firstLineChars="200"/>
              <w:jc w:val="center"/>
              <w:rPr>
                <w:rFonts w:ascii="宋体" w:hAnsi="宋体" w:cs="宋体"/>
                <w:bCs/>
                <w:color w:val="auto"/>
                <w:szCs w:val="21"/>
                <w:highlight w:val="none"/>
              </w:rPr>
            </w:pPr>
            <w:r>
              <w:rPr>
                <w:rFonts w:hint="eastAsia"/>
                <w:b/>
                <w:bCs/>
                <w:color w:val="auto"/>
                <w:sz w:val="24"/>
                <w:highlight w:val="none"/>
              </w:rPr>
              <w:t>表4.2-4  本项目废水污染物产、排放情况汇总表</w:t>
            </w:r>
          </w:p>
          <w:tbl>
            <w:tblPr>
              <w:tblStyle w:val="19"/>
              <w:tblW w:w="12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1052"/>
              <w:gridCol w:w="1208"/>
              <w:gridCol w:w="1063"/>
              <w:gridCol w:w="914"/>
              <w:gridCol w:w="1389"/>
              <w:gridCol w:w="1091"/>
              <w:gridCol w:w="929"/>
              <w:gridCol w:w="1847"/>
              <w:gridCol w:w="1091"/>
              <w:gridCol w:w="900"/>
            </w:tblGrid>
            <w:tr w14:paraId="77CE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426" w:type="dxa"/>
                  <w:vMerge w:val="restart"/>
                  <w:vAlign w:val="center"/>
                </w:tcPr>
                <w:p w14:paraId="0D72B81D">
                  <w:pPr>
                    <w:widowControl/>
                    <w:spacing w:line="300" w:lineRule="exact"/>
                    <w:jc w:val="center"/>
                    <w:rPr>
                      <w:color w:val="auto"/>
                      <w:szCs w:val="21"/>
                      <w:highlight w:val="none"/>
                    </w:rPr>
                  </w:pPr>
                  <w:r>
                    <w:rPr>
                      <w:rFonts w:hint="eastAsia"/>
                      <w:color w:val="auto"/>
                      <w:szCs w:val="21"/>
                      <w:highlight w:val="none"/>
                    </w:rPr>
                    <w:t>序号</w:t>
                  </w:r>
                </w:p>
              </w:tc>
              <w:tc>
                <w:tcPr>
                  <w:tcW w:w="426" w:type="dxa"/>
                  <w:vMerge w:val="restart"/>
                  <w:vAlign w:val="center"/>
                </w:tcPr>
                <w:p w14:paraId="76ECBA06">
                  <w:pPr>
                    <w:widowControl/>
                    <w:spacing w:line="300" w:lineRule="exact"/>
                    <w:jc w:val="center"/>
                    <w:rPr>
                      <w:color w:val="auto"/>
                      <w:szCs w:val="21"/>
                      <w:highlight w:val="none"/>
                    </w:rPr>
                  </w:pPr>
                  <w:r>
                    <w:rPr>
                      <w:rFonts w:hint="eastAsia"/>
                      <w:color w:val="auto"/>
                      <w:szCs w:val="21"/>
                      <w:highlight w:val="none"/>
                    </w:rPr>
                    <w:t>废水类别</w:t>
                  </w:r>
                </w:p>
              </w:tc>
              <w:tc>
                <w:tcPr>
                  <w:tcW w:w="1052" w:type="dxa"/>
                  <w:vMerge w:val="restart"/>
                  <w:vAlign w:val="center"/>
                </w:tcPr>
                <w:p w14:paraId="2CB121E3">
                  <w:pPr>
                    <w:widowControl/>
                    <w:spacing w:line="300" w:lineRule="exact"/>
                    <w:jc w:val="center"/>
                    <w:rPr>
                      <w:color w:val="auto"/>
                      <w:szCs w:val="21"/>
                      <w:highlight w:val="none"/>
                    </w:rPr>
                  </w:pPr>
                  <w:r>
                    <w:rPr>
                      <w:rFonts w:hint="eastAsia"/>
                      <w:color w:val="auto"/>
                      <w:szCs w:val="21"/>
                      <w:highlight w:val="none"/>
                    </w:rPr>
                    <w:t>废水产生量（m</w:t>
                  </w:r>
                  <w:r>
                    <w:rPr>
                      <w:rFonts w:hint="eastAsia"/>
                      <w:color w:val="auto"/>
                      <w:szCs w:val="21"/>
                      <w:highlight w:val="none"/>
                      <w:vertAlign w:val="superscript"/>
                    </w:rPr>
                    <w:t>3</w:t>
                  </w:r>
                  <w:r>
                    <w:rPr>
                      <w:rFonts w:hint="eastAsia"/>
                      <w:color w:val="auto"/>
                      <w:szCs w:val="21"/>
                      <w:highlight w:val="none"/>
                    </w:rPr>
                    <w:t>/a）</w:t>
                  </w:r>
                </w:p>
              </w:tc>
              <w:tc>
                <w:tcPr>
                  <w:tcW w:w="1208" w:type="dxa"/>
                  <w:vMerge w:val="restart"/>
                  <w:shd w:val="clear" w:color="auto" w:fill="auto"/>
                  <w:vAlign w:val="center"/>
                </w:tcPr>
                <w:p w14:paraId="37ED90E0">
                  <w:pPr>
                    <w:widowControl/>
                    <w:spacing w:line="300" w:lineRule="exact"/>
                    <w:jc w:val="center"/>
                    <w:rPr>
                      <w:color w:val="auto"/>
                      <w:szCs w:val="21"/>
                      <w:highlight w:val="none"/>
                    </w:rPr>
                  </w:pPr>
                  <w:r>
                    <w:rPr>
                      <w:rFonts w:hint="eastAsia"/>
                      <w:color w:val="auto"/>
                      <w:szCs w:val="21"/>
                      <w:highlight w:val="none"/>
                    </w:rPr>
                    <w:t>主要污染因子</w:t>
                  </w:r>
                </w:p>
              </w:tc>
              <w:tc>
                <w:tcPr>
                  <w:tcW w:w="1977" w:type="dxa"/>
                  <w:gridSpan w:val="2"/>
                  <w:shd w:val="clear" w:color="auto" w:fill="auto"/>
                  <w:vAlign w:val="center"/>
                </w:tcPr>
                <w:p w14:paraId="3D9B2EF0">
                  <w:pPr>
                    <w:widowControl/>
                    <w:spacing w:line="300" w:lineRule="exact"/>
                    <w:jc w:val="center"/>
                    <w:rPr>
                      <w:color w:val="auto"/>
                      <w:szCs w:val="21"/>
                      <w:highlight w:val="none"/>
                    </w:rPr>
                  </w:pPr>
                  <w:r>
                    <w:rPr>
                      <w:rFonts w:ascii="宋体" w:hAnsi="宋体" w:cs="宋体"/>
                      <w:color w:val="auto"/>
                      <w:szCs w:val="21"/>
                      <w:highlight w:val="none"/>
                    </w:rPr>
                    <w:t>污染物产生量</w:t>
                  </w:r>
                </w:p>
              </w:tc>
              <w:tc>
                <w:tcPr>
                  <w:tcW w:w="1389" w:type="dxa"/>
                  <w:vMerge w:val="restart"/>
                  <w:vAlign w:val="center"/>
                </w:tcPr>
                <w:p w14:paraId="4F6961A3">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治理措施</w:t>
                  </w:r>
                </w:p>
              </w:tc>
              <w:tc>
                <w:tcPr>
                  <w:tcW w:w="2020" w:type="dxa"/>
                  <w:gridSpan w:val="2"/>
                  <w:vAlign w:val="center"/>
                </w:tcPr>
                <w:p w14:paraId="1F99CC53">
                  <w:pPr>
                    <w:widowControl/>
                    <w:spacing w:line="300" w:lineRule="exact"/>
                    <w:jc w:val="center"/>
                    <w:rPr>
                      <w:color w:val="auto"/>
                      <w:szCs w:val="21"/>
                      <w:highlight w:val="none"/>
                    </w:rPr>
                  </w:pPr>
                  <w:r>
                    <w:rPr>
                      <w:rFonts w:hint="eastAsia"/>
                      <w:color w:val="auto"/>
                      <w:szCs w:val="21"/>
                      <w:highlight w:val="none"/>
                    </w:rPr>
                    <w:t>间接排放量</w:t>
                  </w:r>
                </w:p>
              </w:tc>
              <w:tc>
                <w:tcPr>
                  <w:tcW w:w="1847" w:type="dxa"/>
                  <w:vMerge w:val="restart"/>
                  <w:vAlign w:val="center"/>
                </w:tcPr>
                <w:p w14:paraId="15CAB73C">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去向</w:t>
                  </w:r>
                </w:p>
              </w:tc>
              <w:tc>
                <w:tcPr>
                  <w:tcW w:w="1991" w:type="dxa"/>
                  <w:gridSpan w:val="2"/>
                  <w:vAlign w:val="center"/>
                </w:tcPr>
                <w:p w14:paraId="3B3699AB">
                  <w:pPr>
                    <w:widowControl/>
                    <w:spacing w:line="300" w:lineRule="exact"/>
                    <w:jc w:val="center"/>
                    <w:rPr>
                      <w:color w:val="auto"/>
                      <w:szCs w:val="21"/>
                      <w:highlight w:val="none"/>
                    </w:rPr>
                  </w:pPr>
                  <w:r>
                    <w:rPr>
                      <w:rFonts w:hint="eastAsia" w:ascii="宋体" w:hAnsi="宋体" w:cs="宋体"/>
                      <w:color w:val="auto"/>
                      <w:szCs w:val="21"/>
                      <w:highlight w:val="none"/>
                    </w:rPr>
                    <w:t>排入外环境</w:t>
                  </w:r>
                </w:p>
              </w:tc>
            </w:tr>
            <w:tr w14:paraId="2A86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426" w:type="dxa"/>
                  <w:vMerge w:val="continue"/>
                  <w:vAlign w:val="center"/>
                </w:tcPr>
                <w:p w14:paraId="7EE4555E">
                  <w:pPr>
                    <w:widowControl/>
                    <w:spacing w:line="300" w:lineRule="exact"/>
                    <w:jc w:val="center"/>
                    <w:rPr>
                      <w:color w:val="auto"/>
                      <w:szCs w:val="21"/>
                      <w:highlight w:val="none"/>
                    </w:rPr>
                  </w:pPr>
                </w:p>
              </w:tc>
              <w:tc>
                <w:tcPr>
                  <w:tcW w:w="426" w:type="dxa"/>
                  <w:vMerge w:val="continue"/>
                  <w:vAlign w:val="center"/>
                </w:tcPr>
                <w:p w14:paraId="7FEFDF08">
                  <w:pPr>
                    <w:widowControl/>
                    <w:spacing w:line="300" w:lineRule="exact"/>
                    <w:jc w:val="center"/>
                    <w:rPr>
                      <w:color w:val="auto"/>
                      <w:szCs w:val="21"/>
                      <w:highlight w:val="none"/>
                    </w:rPr>
                  </w:pPr>
                </w:p>
              </w:tc>
              <w:tc>
                <w:tcPr>
                  <w:tcW w:w="1052" w:type="dxa"/>
                  <w:vMerge w:val="continue"/>
                  <w:vAlign w:val="center"/>
                </w:tcPr>
                <w:p w14:paraId="6401964D">
                  <w:pPr>
                    <w:widowControl/>
                    <w:spacing w:line="300" w:lineRule="exact"/>
                    <w:jc w:val="center"/>
                    <w:rPr>
                      <w:color w:val="auto"/>
                      <w:szCs w:val="21"/>
                      <w:highlight w:val="none"/>
                    </w:rPr>
                  </w:pPr>
                </w:p>
              </w:tc>
              <w:tc>
                <w:tcPr>
                  <w:tcW w:w="1208" w:type="dxa"/>
                  <w:vMerge w:val="continue"/>
                  <w:shd w:val="clear" w:color="auto" w:fill="auto"/>
                  <w:vAlign w:val="center"/>
                </w:tcPr>
                <w:p w14:paraId="0CB714EB">
                  <w:pPr>
                    <w:widowControl/>
                    <w:spacing w:line="300" w:lineRule="exact"/>
                    <w:jc w:val="center"/>
                    <w:rPr>
                      <w:color w:val="auto"/>
                      <w:szCs w:val="21"/>
                      <w:highlight w:val="none"/>
                    </w:rPr>
                  </w:pPr>
                </w:p>
              </w:tc>
              <w:tc>
                <w:tcPr>
                  <w:tcW w:w="1063" w:type="dxa"/>
                  <w:shd w:val="clear" w:color="auto" w:fill="auto"/>
                  <w:vAlign w:val="center"/>
                </w:tcPr>
                <w:p w14:paraId="1B637BCB">
                  <w:pPr>
                    <w:widowControl/>
                    <w:spacing w:line="300" w:lineRule="exact"/>
                    <w:jc w:val="center"/>
                    <w:rPr>
                      <w:color w:val="auto"/>
                      <w:szCs w:val="21"/>
                      <w:highlight w:val="none"/>
                    </w:rPr>
                  </w:pPr>
                  <w:r>
                    <w:rPr>
                      <w:rFonts w:hint="eastAsia"/>
                      <w:color w:val="auto"/>
                      <w:szCs w:val="21"/>
                      <w:highlight w:val="none"/>
                    </w:rPr>
                    <w:t>产生</w:t>
                  </w:r>
                  <w:r>
                    <w:rPr>
                      <w:color w:val="auto"/>
                      <w:szCs w:val="21"/>
                      <w:highlight w:val="none"/>
                    </w:rPr>
                    <w:t>浓度（mg/L）</w:t>
                  </w:r>
                </w:p>
              </w:tc>
              <w:tc>
                <w:tcPr>
                  <w:tcW w:w="914" w:type="dxa"/>
                  <w:shd w:val="clear" w:color="auto" w:fill="auto"/>
                  <w:vAlign w:val="center"/>
                </w:tcPr>
                <w:p w14:paraId="5CE72D4B">
                  <w:pPr>
                    <w:widowControl/>
                    <w:spacing w:line="300" w:lineRule="exact"/>
                    <w:jc w:val="center"/>
                    <w:rPr>
                      <w:color w:val="auto"/>
                      <w:szCs w:val="21"/>
                      <w:highlight w:val="none"/>
                    </w:rPr>
                  </w:pPr>
                  <w:r>
                    <w:rPr>
                      <w:color w:val="auto"/>
                      <w:szCs w:val="21"/>
                      <w:highlight w:val="none"/>
                    </w:rPr>
                    <w:t>产生量（t/a）</w:t>
                  </w:r>
                </w:p>
              </w:tc>
              <w:tc>
                <w:tcPr>
                  <w:tcW w:w="1389" w:type="dxa"/>
                  <w:vMerge w:val="continue"/>
                  <w:shd w:val="clear" w:color="auto" w:fill="auto"/>
                  <w:vAlign w:val="center"/>
                </w:tcPr>
                <w:p w14:paraId="165EC22C">
                  <w:pPr>
                    <w:widowControl/>
                    <w:spacing w:line="300" w:lineRule="exact"/>
                    <w:jc w:val="center"/>
                    <w:rPr>
                      <w:color w:val="auto"/>
                      <w:szCs w:val="21"/>
                      <w:highlight w:val="none"/>
                    </w:rPr>
                  </w:pPr>
                </w:p>
              </w:tc>
              <w:tc>
                <w:tcPr>
                  <w:tcW w:w="1091" w:type="dxa"/>
                  <w:shd w:val="clear" w:color="auto" w:fill="auto"/>
                  <w:vAlign w:val="center"/>
                </w:tcPr>
                <w:p w14:paraId="20CC8C52">
                  <w:pPr>
                    <w:widowControl/>
                    <w:spacing w:line="300" w:lineRule="exact"/>
                    <w:jc w:val="center"/>
                    <w:rPr>
                      <w:color w:val="auto"/>
                      <w:szCs w:val="21"/>
                      <w:highlight w:val="none"/>
                    </w:rPr>
                  </w:pPr>
                  <w:r>
                    <w:rPr>
                      <w:rFonts w:hint="eastAsia"/>
                      <w:color w:val="auto"/>
                      <w:szCs w:val="21"/>
                      <w:highlight w:val="none"/>
                    </w:rPr>
                    <w:t>排放</w:t>
                  </w:r>
                  <w:r>
                    <w:rPr>
                      <w:color w:val="auto"/>
                      <w:szCs w:val="21"/>
                      <w:highlight w:val="none"/>
                    </w:rPr>
                    <w:t>浓度</w:t>
                  </w:r>
                </w:p>
                <w:p w14:paraId="7A6FFD56">
                  <w:pPr>
                    <w:widowControl/>
                    <w:spacing w:line="300" w:lineRule="exact"/>
                    <w:jc w:val="center"/>
                    <w:rPr>
                      <w:color w:val="auto"/>
                      <w:szCs w:val="21"/>
                      <w:highlight w:val="none"/>
                    </w:rPr>
                  </w:pPr>
                  <w:r>
                    <w:rPr>
                      <w:color w:val="auto"/>
                      <w:szCs w:val="21"/>
                      <w:highlight w:val="none"/>
                    </w:rPr>
                    <w:t>（mg/L）</w:t>
                  </w:r>
                </w:p>
              </w:tc>
              <w:tc>
                <w:tcPr>
                  <w:tcW w:w="929" w:type="dxa"/>
                  <w:shd w:val="clear" w:color="auto" w:fill="auto"/>
                  <w:vAlign w:val="center"/>
                </w:tcPr>
                <w:p w14:paraId="30F5796B">
                  <w:pPr>
                    <w:widowControl/>
                    <w:spacing w:line="300" w:lineRule="exact"/>
                    <w:jc w:val="center"/>
                    <w:rPr>
                      <w:color w:val="auto"/>
                      <w:szCs w:val="21"/>
                      <w:highlight w:val="none"/>
                    </w:rPr>
                  </w:pPr>
                  <w:r>
                    <w:rPr>
                      <w:rFonts w:hint="eastAsia"/>
                      <w:color w:val="auto"/>
                      <w:szCs w:val="21"/>
                      <w:highlight w:val="none"/>
                    </w:rPr>
                    <w:t>间接排放</w:t>
                  </w:r>
                  <w:r>
                    <w:rPr>
                      <w:color w:val="auto"/>
                      <w:szCs w:val="21"/>
                      <w:highlight w:val="none"/>
                    </w:rPr>
                    <w:t>量（t/a）</w:t>
                  </w:r>
                </w:p>
              </w:tc>
              <w:tc>
                <w:tcPr>
                  <w:tcW w:w="1847" w:type="dxa"/>
                  <w:vMerge w:val="continue"/>
                  <w:shd w:val="clear" w:color="auto" w:fill="auto"/>
                  <w:vAlign w:val="center"/>
                </w:tcPr>
                <w:p w14:paraId="3B710364">
                  <w:pPr>
                    <w:widowControl/>
                    <w:spacing w:line="300" w:lineRule="exact"/>
                    <w:jc w:val="center"/>
                    <w:rPr>
                      <w:color w:val="auto"/>
                      <w:szCs w:val="21"/>
                      <w:highlight w:val="none"/>
                    </w:rPr>
                  </w:pPr>
                </w:p>
              </w:tc>
              <w:tc>
                <w:tcPr>
                  <w:tcW w:w="1091" w:type="dxa"/>
                  <w:shd w:val="clear" w:color="auto" w:fill="auto"/>
                  <w:vAlign w:val="center"/>
                </w:tcPr>
                <w:p w14:paraId="30045DAF">
                  <w:pPr>
                    <w:widowControl/>
                    <w:spacing w:line="300" w:lineRule="exact"/>
                    <w:jc w:val="center"/>
                    <w:rPr>
                      <w:color w:val="auto"/>
                      <w:szCs w:val="21"/>
                      <w:highlight w:val="none"/>
                    </w:rPr>
                  </w:pPr>
                  <w:r>
                    <w:rPr>
                      <w:rFonts w:hint="eastAsia"/>
                      <w:color w:val="auto"/>
                      <w:szCs w:val="21"/>
                      <w:highlight w:val="none"/>
                    </w:rPr>
                    <w:t>排放</w:t>
                  </w:r>
                  <w:r>
                    <w:rPr>
                      <w:color w:val="auto"/>
                      <w:szCs w:val="21"/>
                      <w:highlight w:val="none"/>
                    </w:rPr>
                    <w:t>浓度（mg/L）</w:t>
                  </w:r>
                </w:p>
              </w:tc>
              <w:tc>
                <w:tcPr>
                  <w:tcW w:w="900" w:type="dxa"/>
                  <w:shd w:val="clear" w:color="auto" w:fill="auto"/>
                  <w:vAlign w:val="center"/>
                </w:tcPr>
                <w:p w14:paraId="7C3418D1">
                  <w:pPr>
                    <w:widowControl/>
                    <w:spacing w:line="300" w:lineRule="exact"/>
                    <w:jc w:val="center"/>
                    <w:rPr>
                      <w:color w:val="auto"/>
                      <w:szCs w:val="21"/>
                      <w:highlight w:val="none"/>
                    </w:rPr>
                  </w:pPr>
                  <w:r>
                    <w:rPr>
                      <w:rFonts w:hint="eastAsia"/>
                      <w:color w:val="auto"/>
                      <w:szCs w:val="21"/>
                      <w:highlight w:val="none"/>
                    </w:rPr>
                    <w:t>排放</w:t>
                  </w:r>
                  <w:r>
                    <w:rPr>
                      <w:color w:val="auto"/>
                      <w:szCs w:val="21"/>
                      <w:highlight w:val="none"/>
                    </w:rPr>
                    <w:t>量（t/a）</w:t>
                  </w:r>
                </w:p>
              </w:tc>
            </w:tr>
            <w:tr w14:paraId="0689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26" w:type="dxa"/>
                  <w:vMerge w:val="restart"/>
                  <w:vAlign w:val="center"/>
                </w:tcPr>
                <w:p w14:paraId="41C467BE">
                  <w:pPr>
                    <w:widowControl/>
                    <w:spacing w:line="300" w:lineRule="exact"/>
                    <w:jc w:val="center"/>
                    <w:rPr>
                      <w:color w:val="auto"/>
                      <w:szCs w:val="21"/>
                      <w:highlight w:val="none"/>
                    </w:rPr>
                  </w:pPr>
                  <w:r>
                    <w:rPr>
                      <w:rFonts w:hint="eastAsia"/>
                      <w:color w:val="auto"/>
                      <w:szCs w:val="21"/>
                      <w:highlight w:val="none"/>
                    </w:rPr>
                    <w:t>1</w:t>
                  </w:r>
                </w:p>
              </w:tc>
              <w:tc>
                <w:tcPr>
                  <w:tcW w:w="426" w:type="dxa"/>
                  <w:vMerge w:val="restart"/>
                  <w:vAlign w:val="center"/>
                </w:tcPr>
                <w:p w14:paraId="0711A260">
                  <w:pPr>
                    <w:widowControl/>
                    <w:spacing w:line="300" w:lineRule="exact"/>
                    <w:jc w:val="center"/>
                    <w:rPr>
                      <w:color w:val="auto"/>
                      <w:szCs w:val="21"/>
                      <w:highlight w:val="none"/>
                    </w:rPr>
                  </w:pPr>
                  <w:r>
                    <w:rPr>
                      <w:rFonts w:hint="eastAsia"/>
                      <w:color w:val="auto"/>
                      <w:szCs w:val="21"/>
                      <w:highlight w:val="none"/>
                    </w:rPr>
                    <w:t>生产废水</w:t>
                  </w:r>
                </w:p>
              </w:tc>
              <w:tc>
                <w:tcPr>
                  <w:tcW w:w="1052" w:type="dxa"/>
                  <w:vMerge w:val="restart"/>
                  <w:vAlign w:val="center"/>
                </w:tcPr>
                <w:p w14:paraId="5C8BB348">
                  <w:pPr>
                    <w:widowControl/>
                    <w:jc w:val="center"/>
                    <w:textAlignment w:val="center"/>
                    <w:rPr>
                      <w:color w:val="auto"/>
                      <w:szCs w:val="21"/>
                      <w:highlight w:val="none"/>
                    </w:rPr>
                  </w:pPr>
                  <w:r>
                    <w:rPr>
                      <w:color w:val="auto"/>
                      <w:kern w:val="0"/>
                      <w:szCs w:val="21"/>
                      <w:highlight w:val="none"/>
                      <w:lang w:bidi="ar"/>
                    </w:rPr>
                    <w:t>1425.377</w:t>
                  </w:r>
                </w:p>
              </w:tc>
              <w:tc>
                <w:tcPr>
                  <w:tcW w:w="1208" w:type="dxa"/>
                  <w:shd w:val="clear" w:color="auto" w:fill="auto"/>
                  <w:vAlign w:val="center"/>
                </w:tcPr>
                <w:p w14:paraId="5F5D3BE3">
                  <w:pPr>
                    <w:widowControl/>
                    <w:spacing w:line="300" w:lineRule="exact"/>
                    <w:jc w:val="center"/>
                    <w:rPr>
                      <w:color w:val="auto"/>
                      <w:szCs w:val="21"/>
                      <w:highlight w:val="none"/>
                    </w:rPr>
                  </w:pPr>
                  <w:r>
                    <w:rPr>
                      <w:rFonts w:hint="eastAsia"/>
                      <w:color w:val="auto"/>
                      <w:szCs w:val="21"/>
                      <w:highlight w:val="none"/>
                    </w:rPr>
                    <w:t>pH无量纲</w:t>
                  </w:r>
                </w:p>
              </w:tc>
              <w:tc>
                <w:tcPr>
                  <w:tcW w:w="1063" w:type="dxa"/>
                  <w:shd w:val="clear" w:color="auto" w:fill="auto"/>
                  <w:vAlign w:val="center"/>
                </w:tcPr>
                <w:p w14:paraId="6E541EFA">
                  <w:pPr>
                    <w:widowControl/>
                    <w:spacing w:line="300" w:lineRule="exact"/>
                    <w:jc w:val="center"/>
                    <w:rPr>
                      <w:color w:val="auto"/>
                      <w:szCs w:val="21"/>
                      <w:highlight w:val="none"/>
                    </w:rPr>
                  </w:pPr>
                  <w:r>
                    <w:rPr>
                      <w:rFonts w:hint="eastAsia"/>
                      <w:color w:val="auto"/>
                      <w:szCs w:val="21"/>
                      <w:highlight w:val="none"/>
                    </w:rPr>
                    <w:t>6~9</w:t>
                  </w:r>
                </w:p>
              </w:tc>
              <w:tc>
                <w:tcPr>
                  <w:tcW w:w="914" w:type="dxa"/>
                  <w:shd w:val="clear" w:color="auto" w:fill="auto"/>
                  <w:vAlign w:val="center"/>
                </w:tcPr>
                <w:p w14:paraId="1BAD6BB9">
                  <w:pPr>
                    <w:widowControl/>
                    <w:spacing w:line="300" w:lineRule="exact"/>
                    <w:jc w:val="center"/>
                    <w:rPr>
                      <w:color w:val="auto"/>
                      <w:szCs w:val="21"/>
                      <w:highlight w:val="none"/>
                    </w:rPr>
                  </w:pPr>
                  <w:r>
                    <w:rPr>
                      <w:rFonts w:hint="eastAsia"/>
                      <w:color w:val="auto"/>
                      <w:szCs w:val="21"/>
                      <w:highlight w:val="none"/>
                    </w:rPr>
                    <w:t>/</w:t>
                  </w:r>
                </w:p>
              </w:tc>
              <w:tc>
                <w:tcPr>
                  <w:tcW w:w="1389" w:type="dxa"/>
                  <w:vMerge w:val="restart"/>
                  <w:shd w:val="clear" w:color="auto" w:fill="auto"/>
                  <w:vAlign w:val="center"/>
                </w:tcPr>
                <w:p w14:paraId="1783018A">
                  <w:pPr>
                    <w:widowControl/>
                    <w:spacing w:line="300" w:lineRule="exact"/>
                    <w:jc w:val="center"/>
                    <w:rPr>
                      <w:color w:val="auto"/>
                      <w:kern w:val="0"/>
                      <w:szCs w:val="21"/>
                      <w:highlight w:val="none"/>
                      <w:lang w:bidi="ar"/>
                    </w:rPr>
                  </w:pPr>
                  <w:r>
                    <w:rPr>
                      <w:rFonts w:hint="eastAsia"/>
                      <w:color w:val="auto"/>
                      <w:szCs w:val="21"/>
                      <w:highlight w:val="none"/>
                    </w:rPr>
                    <w:t>新建废水处理设施，设计处理能力</w:t>
                  </w:r>
                  <w:r>
                    <w:rPr>
                      <w:rFonts w:hint="eastAsia"/>
                      <w:color w:val="auto"/>
                      <w:kern w:val="0"/>
                      <w:szCs w:val="21"/>
                      <w:highlight w:val="none"/>
                      <w:lang w:bidi="ar"/>
                    </w:rPr>
                    <w:t>15m</w:t>
                  </w:r>
                  <w:r>
                    <w:rPr>
                      <w:rFonts w:hint="eastAsia"/>
                      <w:color w:val="auto"/>
                      <w:kern w:val="0"/>
                      <w:szCs w:val="21"/>
                      <w:highlight w:val="none"/>
                      <w:vertAlign w:val="superscript"/>
                      <w:lang w:bidi="ar"/>
                    </w:rPr>
                    <w:t>3</w:t>
                  </w:r>
                  <w:r>
                    <w:rPr>
                      <w:rFonts w:hint="eastAsia"/>
                      <w:color w:val="auto"/>
                      <w:kern w:val="0"/>
                      <w:szCs w:val="21"/>
                      <w:highlight w:val="none"/>
                      <w:lang w:bidi="ar"/>
                    </w:rPr>
                    <w:t>/d，</w:t>
                  </w:r>
                </w:p>
                <w:p w14:paraId="131EB1AD">
                  <w:pPr>
                    <w:widowControl/>
                    <w:spacing w:line="300" w:lineRule="exact"/>
                    <w:jc w:val="center"/>
                    <w:rPr>
                      <w:color w:val="auto"/>
                      <w:kern w:val="0"/>
                      <w:szCs w:val="21"/>
                      <w:highlight w:val="none"/>
                      <w:lang w:bidi="ar"/>
                    </w:rPr>
                  </w:pPr>
                  <w:r>
                    <w:rPr>
                      <w:color w:val="auto"/>
                      <w:szCs w:val="21"/>
                      <w:highlight w:val="none"/>
                    </w:rPr>
                    <w:t>厌氧</w:t>
                  </w:r>
                  <w:r>
                    <w:rPr>
                      <w:rFonts w:hint="eastAsia"/>
                      <w:color w:val="auto"/>
                      <w:szCs w:val="21"/>
                      <w:highlight w:val="none"/>
                    </w:rPr>
                    <w:t>UA</w:t>
                  </w:r>
                  <w:r>
                    <w:rPr>
                      <w:color w:val="auto"/>
                      <w:szCs w:val="21"/>
                      <w:highlight w:val="none"/>
                    </w:rPr>
                    <w:t>SB</w:t>
                  </w:r>
                  <w:r>
                    <w:rPr>
                      <w:rFonts w:hint="eastAsia"/>
                      <w:color w:val="auto"/>
                      <w:szCs w:val="21"/>
                      <w:highlight w:val="none"/>
                    </w:rPr>
                    <w:t>+好氧工艺</w:t>
                  </w:r>
                </w:p>
              </w:tc>
              <w:tc>
                <w:tcPr>
                  <w:tcW w:w="1091" w:type="dxa"/>
                  <w:shd w:val="clear" w:color="auto" w:fill="auto"/>
                  <w:vAlign w:val="center"/>
                </w:tcPr>
                <w:p w14:paraId="41B7163F">
                  <w:pPr>
                    <w:widowControl/>
                    <w:spacing w:line="300" w:lineRule="exact"/>
                    <w:jc w:val="center"/>
                    <w:rPr>
                      <w:color w:val="auto"/>
                      <w:szCs w:val="21"/>
                      <w:highlight w:val="none"/>
                    </w:rPr>
                  </w:pPr>
                  <w:r>
                    <w:rPr>
                      <w:rFonts w:hint="eastAsia"/>
                      <w:color w:val="auto"/>
                      <w:szCs w:val="21"/>
                      <w:highlight w:val="none"/>
                    </w:rPr>
                    <w:t>6~9</w:t>
                  </w:r>
                </w:p>
              </w:tc>
              <w:tc>
                <w:tcPr>
                  <w:tcW w:w="929" w:type="dxa"/>
                  <w:shd w:val="clear" w:color="auto" w:fill="auto"/>
                  <w:vAlign w:val="center"/>
                </w:tcPr>
                <w:p w14:paraId="3F5212CA">
                  <w:pPr>
                    <w:widowControl/>
                    <w:spacing w:line="300" w:lineRule="exact"/>
                    <w:jc w:val="center"/>
                    <w:rPr>
                      <w:color w:val="auto"/>
                      <w:szCs w:val="21"/>
                      <w:highlight w:val="none"/>
                    </w:rPr>
                  </w:pPr>
                  <w:r>
                    <w:rPr>
                      <w:rFonts w:hint="eastAsia"/>
                      <w:color w:val="auto"/>
                      <w:szCs w:val="21"/>
                      <w:highlight w:val="none"/>
                    </w:rPr>
                    <w:t>/</w:t>
                  </w:r>
                </w:p>
              </w:tc>
              <w:tc>
                <w:tcPr>
                  <w:tcW w:w="1847" w:type="dxa"/>
                  <w:vMerge w:val="restart"/>
                  <w:shd w:val="clear" w:color="auto" w:fill="auto"/>
                  <w:vAlign w:val="center"/>
                </w:tcPr>
                <w:p w14:paraId="7A6BBE36">
                  <w:pPr>
                    <w:widowControl/>
                    <w:jc w:val="center"/>
                    <w:textAlignment w:val="center"/>
                    <w:rPr>
                      <w:color w:val="auto"/>
                      <w:kern w:val="0"/>
                      <w:szCs w:val="21"/>
                      <w:highlight w:val="none"/>
                      <w:lang w:bidi="ar"/>
                    </w:rPr>
                  </w:pPr>
                  <w:r>
                    <w:rPr>
                      <w:rFonts w:hint="eastAsia"/>
                      <w:color w:val="auto"/>
                      <w:kern w:val="0"/>
                      <w:szCs w:val="21"/>
                      <w:highlight w:val="none"/>
                      <w:lang w:bidi="ar"/>
                    </w:rPr>
                    <w:t>龙市镇工业污水处理厂</w:t>
                  </w:r>
                </w:p>
              </w:tc>
              <w:tc>
                <w:tcPr>
                  <w:tcW w:w="1091" w:type="dxa"/>
                  <w:shd w:val="clear" w:color="auto" w:fill="auto"/>
                  <w:vAlign w:val="center"/>
                </w:tcPr>
                <w:p w14:paraId="33D1895D">
                  <w:pPr>
                    <w:widowControl/>
                    <w:spacing w:line="300" w:lineRule="exact"/>
                    <w:jc w:val="center"/>
                    <w:rPr>
                      <w:color w:val="auto"/>
                      <w:szCs w:val="21"/>
                      <w:highlight w:val="none"/>
                    </w:rPr>
                  </w:pPr>
                  <w:r>
                    <w:rPr>
                      <w:rFonts w:hint="eastAsia"/>
                      <w:color w:val="auto"/>
                      <w:szCs w:val="21"/>
                      <w:highlight w:val="none"/>
                    </w:rPr>
                    <w:t>6~9</w:t>
                  </w:r>
                </w:p>
              </w:tc>
              <w:tc>
                <w:tcPr>
                  <w:tcW w:w="900" w:type="dxa"/>
                  <w:shd w:val="clear" w:color="auto" w:fill="auto"/>
                  <w:vAlign w:val="center"/>
                </w:tcPr>
                <w:p w14:paraId="25776401">
                  <w:pPr>
                    <w:widowControl/>
                    <w:spacing w:line="300" w:lineRule="exact"/>
                    <w:jc w:val="center"/>
                    <w:rPr>
                      <w:color w:val="auto"/>
                      <w:szCs w:val="21"/>
                      <w:highlight w:val="none"/>
                    </w:rPr>
                  </w:pPr>
                  <w:r>
                    <w:rPr>
                      <w:rFonts w:hint="eastAsia"/>
                      <w:color w:val="auto"/>
                      <w:szCs w:val="21"/>
                      <w:highlight w:val="none"/>
                    </w:rPr>
                    <w:t>/</w:t>
                  </w:r>
                </w:p>
              </w:tc>
            </w:tr>
            <w:tr w14:paraId="5054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26" w:type="dxa"/>
                  <w:vMerge w:val="continue"/>
                  <w:vAlign w:val="center"/>
                </w:tcPr>
                <w:p w14:paraId="23C18F3D">
                  <w:pPr>
                    <w:widowControl/>
                    <w:spacing w:line="300" w:lineRule="exact"/>
                    <w:jc w:val="center"/>
                    <w:rPr>
                      <w:color w:val="auto"/>
                      <w:szCs w:val="21"/>
                      <w:highlight w:val="none"/>
                    </w:rPr>
                  </w:pPr>
                </w:p>
              </w:tc>
              <w:tc>
                <w:tcPr>
                  <w:tcW w:w="426" w:type="dxa"/>
                  <w:vMerge w:val="continue"/>
                  <w:vAlign w:val="center"/>
                </w:tcPr>
                <w:p w14:paraId="6D91C69F">
                  <w:pPr>
                    <w:widowControl/>
                    <w:spacing w:line="300" w:lineRule="exact"/>
                    <w:jc w:val="center"/>
                    <w:rPr>
                      <w:color w:val="auto"/>
                      <w:szCs w:val="21"/>
                      <w:highlight w:val="none"/>
                    </w:rPr>
                  </w:pPr>
                </w:p>
              </w:tc>
              <w:tc>
                <w:tcPr>
                  <w:tcW w:w="1052" w:type="dxa"/>
                  <w:vMerge w:val="continue"/>
                  <w:vAlign w:val="center"/>
                </w:tcPr>
                <w:p w14:paraId="57523BAE">
                  <w:pPr>
                    <w:widowControl/>
                    <w:jc w:val="center"/>
                    <w:textAlignment w:val="center"/>
                    <w:rPr>
                      <w:color w:val="auto"/>
                      <w:szCs w:val="21"/>
                      <w:highlight w:val="none"/>
                    </w:rPr>
                  </w:pPr>
                </w:p>
              </w:tc>
              <w:tc>
                <w:tcPr>
                  <w:tcW w:w="1208" w:type="dxa"/>
                  <w:vAlign w:val="center"/>
                </w:tcPr>
                <w:p w14:paraId="10EAD4C8">
                  <w:pPr>
                    <w:widowControl/>
                    <w:jc w:val="center"/>
                    <w:textAlignment w:val="center"/>
                    <w:rPr>
                      <w:color w:val="auto"/>
                      <w:szCs w:val="21"/>
                      <w:highlight w:val="none"/>
                    </w:rPr>
                  </w:pPr>
                  <w:r>
                    <w:rPr>
                      <w:color w:val="auto"/>
                      <w:kern w:val="0"/>
                      <w:szCs w:val="21"/>
                      <w:highlight w:val="none"/>
                      <w:lang w:bidi="ar"/>
                    </w:rPr>
                    <w:t>COD</w:t>
                  </w:r>
                </w:p>
              </w:tc>
              <w:tc>
                <w:tcPr>
                  <w:tcW w:w="1063" w:type="dxa"/>
                  <w:vAlign w:val="center"/>
                </w:tcPr>
                <w:p w14:paraId="298FE0DD">
                  <w:pPr>
                    <w:widowControl/>
                    <w:jc w:val="center"/>
                    <w:textAlignment w:val="center"/>
                    <w:rPr>
                      <w:color w:val="auto"/>
                      <w:kern w:val="0"/>
                      <w:szCs w:val="21"/>
                      <w:highlight w:val="none"/>
                      <w:lang w:bidi="ar"/>
                    </w:rPr>
                  </w:pPr>
                  <w:r>
                    <w:rPr>
                      <w:color w:val="auto"/>
                      <w:kern w:val="0"/>
                      <w:szCs w:val="21"/>
                      <w:highlight w:val="none"/>
                      <w:lang w:bidi="ar"/>
                    </w:rPr>
                    <w:t xml:space="preserve">1232 </w:t>
                  </w:r>
                </w:p>
              </w:tc>
              <w:tc>
                <w:tcPr>
                  <w:tcW w:w="914" w:type="dxa"/>
                  <w:vAlign w:val="center"/>
                </w:tcPr>
                <w:p w14:paraId="2C17E0C2">
                  <w:pPr>
                    <w:widowControl/>
                    <w:jc w:val="center"/>
                    <w:textAlignment w:val="center"/>
                    <w:rPr>
                      <w:color w:val="auto"/>
                      <w:kern w:val="0"/>
                      <w:szCs w:val="21"/>
                      <w:highlight w:val="none"/>
                      <w:lang w:bidi="ar"/>
                    </w:rPr>
                  </w:pPr>
                  <w:r>
                    <w:rPr>
                      <w:color w:val="auto"/>
                      <w:kern w:val="0"/>
                      <w:szCs w:val="21"/>
                      <w:highlight w:val="none"/>
                      <w:lang w:bidi="ar"/>
                    </w:rPr>
                    <w:t xml:space="preserve">1.756 </w:t>
                  </w:r>
                </w:p>
              </w:tc>
              <w:tc>
                <w:tcPr>
                  <w:tcW w:w="1389" w:type="dxa"/>
                  <w:vMerge w:val="continue"/>
                  <w:vAlign w:val="center"/>
                </w:tcPr>
                <w:p w14:paraId="126EB116">
                  <w:pPr>
                    <w:widowControl/>
                    <w:jc w:val="center"/>
                    <w:textAlignment w:val="center"/>
                    <w:rPr>
                      <w:color w:val="auto"/>
                      <w:kern w:val="0"/>
                      <w:szCs w:val="21"/>
                      <w:highlight w:val="none"/>
                      <w:lang w:bidi="ar"/>
                    </w:rPr>
                  </w:pPr>
                </w:p>
              </w:tc>
              <w:tc>
                <w:tcPr>
                  <w:tcW w:w="1091" w:type="dxa"/>
                  <w:vAlign w:val="center"/>
                </w:tcPr>
                <w:p w14:paraId="624781C3">
                  <w:pPr>
                    <w:widowControl/>
                    <w:jc w:val="center"/>
                    <w:textAlignment w:val="center"/>
                    <w:rPr>
                      <w:color w:val="auto"/>
                      <w:kern w:val="0"/>
                      <w:szCs w:val="21"/>
                      <w:highlight w:val="none"/>
                      <w:lang w:bidi="ar"/>
                    </w:rPr>
                  </w:pPr>
                  <w:r>
                    <w:rPr>
                      <w:color w:val="auto"/>
                      <w:kern w:val="0"/>
                      <w:szCs w:val="21"/>
                      <w:highlight w:val="none"/>
                      <w:lang w:bidi="ar"/>
                    </w:rPr>
                    <w:t>290</w:t>
                  </w:r>
                </w:p>
              </w:tc>
              <w:tc>
                <w:tcPr>
                  <w:tcW w:w="929" w:type="dxa"/>
                  <w:vAlign w:val="center"/>
                </w:tcPr>
                <w:p w14:paraId="49E9667D">
                  <w:pPr>
                    <w:widowControl/>
                    <w:jc w:val="center"/>
                    <w:textAlignment w:val="center"/>
                    <w:rPr>
                      <w:color w:val="auto"/>
                      <w:kern w:val="0"/>
                      <w:szCs w:val="21"/>
                      <w:highlight w:val="none"/>
                      <w:lang w:bidi="ar"/>
                    </w:rPr>
                  </w:pPr>
                  <w:r>
                    <w:rPr>
                      <w:color w:val="auto"/>
                      <w:kern w:val="0"/>
                      <w:szCs w:val="21"/>
                      <w:highlight w:val="none"/>
                      <w:lang w:bidi="ar"/>
                    </w:rPr>
                    <w:t xml:space="preserve">0.413 </w:t>
                  </w:r>
                </w:p>
              </w:tc>
              <w:tc>
                <w:tcPr>
                  <w:tcW w:w="1847" w:type="dxa"/>
                  <w:vMerge w:val="continue"/>
                  <w:vAlign w:val="center"/>
                </w:tcPr>
                <w:p w14:paraId="71510123">
                  <w:pPr>
                    <w:widowControl/>
                    <w:jc w:val="center"/>
                    <w:textAlignment w:val="center"/>
                    <w:rPr>
                      <w:color w:val="auto"/>
                      <w:kern w:val="0"/>
                      <w:szCs w:val="21"/>
                      <w:highlight w:val="none"/>
                      <w:lang w:bidi="ar"/>
                    </w:rPr>
                  </w:pPr>
                </w:p>
              </w:tc>
              <w:tc>
                <w:tcPr>
                  <w:tcW w:w="1091" w:type="dxa"/>
                  <w:vAlign w:val="center"/>
                </w:tcPr>
                <w:p w14:paraId="26F73948">
                  <w:pPr>
                    <w:widowControl/>
                    <w:jc w:val="center"/>
                    <w:textAlignment w:val="center"/>
                    <w:rPr>
                      <w:color w:val="auto"/>
                      <w:kern w:val="0"/>
                      <w:szCs w:val="21"/>
                      <w:highlight w:val="none"/>
                      <w:lang w:bidi="ar"/>
                    </w:rPr>
                  </w:pPr>
                  <w:r>
                    <w:rPr>
                      <w:color w:val="auto"/>
                      <w:kern w:val="0"/>
                      <w:szCs w:val="21"/>
                      <w:highlight w:val="none"/>
                      <w:lang w:bidi="ar"/>
                    </w:rPr>
                    <w:t>50</w:t>
                  </w:r>
                </w:p>
              </w:tc>
              <w:tc>
                <w:tcPr>
                  <w:tcW w:w="900" w:type="dxa"/>
                  <w:vAlign w:val="center"/>
                </w:tcPr>
                <w:p w14:paraId="0F818554">
                  <w:pPr>
                    <w:widowControl/>
                    <w:jc w:val="center"/>
                    <w:textAlignment w:val="center"/>
                    <w:rPr>
                      <w:color w:val="auto"/>
                      <w:kern w:val="0"/>
                      <w:szCs w:val="21"/>
                      <w:highlight w:val="none"/>
                      <w:lang w:bidi="ar"/>
                    </w:rPr>
                  </w:pPr>
                  <w:r>
                    <w:rPr>
                      <w:color w:val="auto"/>
                      <w:kern w:val="0"/>
                      <w:szCs w:val="21"/>
                      <w:highlight w:val="none"/>
                      <w:lang w:bidi="ar"/>
                    </w:rPr>
                    <w:t xml:space="preserve">0.071 </w:t>
                  </w:r>
                </w:p>
              </w:tc>
            </w:tr>
            <w:tr w14:paraId="0777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26" w:type="dxa"/>
                  <w:vMerge w:val="continue"/>
                  <w:vAlign w:val="center"/>
                </w:tcPr>
                <w:p w14:paraId="63DEF4E7">
                  <w:pPr>
                    <w:widowControl/>
                    <w:jc w:val="center"/>
                    <w:textAlignment w:val="center"/>
                    <w:rPr>
                      <w:color w:val="auto"/>
                      <w:szCs w:val="21"/>
                      <w:highlight w:val="none"/>
                    </w:rPr>
                  </w:pPr>
                </w:p>
              </w:tc>
              <w:tc>
                <w:tcPr>
                  <w:tcW w:w="426" w:type="dxa"/>
                  <w:vMerge w:val="continue"/>
                  <w:vAlign w:val="center"/>
                </w:tcPr>
                <w:p w14:paraId="2A2F98F1">
                  <w:pPr>
                    <w:widowControl/>
                    <w:jc w:val="center"/>
                    <w:textAlignment w:val="center"/>
                    <w:rPr>
                      <w:color w:val="auto"/>
                      <w:szCs w:val="21"/>
                      <w:highlight w:val="none"/>
                    </w:rPr>
                  </w:pPr>
                </w:p>
              </w:tc>
              <w:tc>
                <w:tcPr>
                  <w:tcW w:w="1052" w:type="dxa"/>
                  <w:vMerge w:val="continue"/>
                  <w:vAlign w:val="center"/>
                </w:tcPr>
                <w:p w14:paraId="1662FB0C">
                  <w:pPr>
                    <w:jc w:val="center"/>
                    <w:rPr>
                      <w:color w:val="auto"/>
                      <w:szCs w:val="21"/>
                      <w:highlight w:val="none"/>
                    </w:rPr>
                  </w:pPr>
                </w:p>
              </w:tc>
              <w:tc>
                <w:tcPr>
                  <w:tcW w:w="1208" w:type="dxa"/>
                  <w:vAlign w:val="center"/>
                </w:tcPr>
                <w:p w14:paraId="503777D1">
                  <w:pPr>
                    <w:widowControl/>
                    <w:jc w:val="center"/>
                    <w:textAlignment w:val="center"/>
                    <w:rPr>
                      <w:color w:val="auto"/>
                      <w:szCs w:val="21"/>
                      <w:highlight w:val="none"/>
                    </w:rPr>
                  </w:pPr>
                  <w:r>
                    <w:rPr>
                      <w:color w:val="auto"/>
                      <w:kern w:val="0"/>
                      <w:szCs w:val="21"/>
                      <w:highlight w:val="none"/>
                      <w:lang w:bidi="ar"/>
                    </w:rPr>
                    <w:t>BOD</w:t>
                  </w:r>
                  <w:r>
                    <w:rPr>
                      <w:rStyle w:val="62"/>
                      <w:color w:val="auto"/>
                      <w:highlight w:val="none"/>
                      <w:lang w:bidi="ar"/>
                    </w:rPr>
                    <w:t>5</w:t>
                  </w:r>
                </w:p>
              </w:tc>
              <w:tc>
                <w:tcPr>
                  <w:tcW w:w="1063" w:type="dxa"/>
                  <w:vAlign w:val="center"/>
                </w:tcPr>
                <w:p w14:paraId="4CFEAAFB">
                  <w:pPr>
                    <w:widowControl/>
                    <w:jc w:val="center"/>
                    <w:textAlignment w:val="center"/>
                    <w:rPr>
                      <w:color w:val="auto"/>
                      <w:szCs w:val="21"/>
                      <w:highlight w:val="none"/>
                    </w:rPr>
                  </w:pPr>
                  <w:r>
                    <w:rPr>
                      <w:color w:val="auto"/>
                      <w:kern w:val="0"/>
                      <w:szCs w:val="21"/>
                      <w:highlight w:val="none"/>
                      <w:lang w:bidi="ar"/>
                    </w:rPr>
                    <w:t xml:space="preserve">499 </w:t>
                  </w:r>
                </w:p>
              </w:tc>
              <w:tc>
                <w:tcPr>
                  <w:tcW w:w="914" w:type="dxa"/>
                  <w:vAlign w:val="center"/>
                </w:tcPr>
                <w:p w14:paraId="7BCCA43F">
                  <w:pPr>
                    <w:widowControl/>
                    <w:jc w:val="center"/>
                    <w:textAlignment w:val="center"/>
                    <w:rPr>
                      <w:color w:val="auto"/>
                      <w:szCs w:val="21"/>
                      <w:highlight w:val="none"/>
                    </w:rPr>
                  </w:pPr>
                  <w:r>
                    <w:rPr>
                      <w:color w:val="auto"/>
                      <w:kern w:val="0"/>
                      <w:szCs w:val="21"/>
                      <w:highlight w:val="none"/>
                      <w:lang w:bidi="ar"/>
                    </w:rPr>
                    <w:t xml:space="preserve">0.711 </w:t>
                  </w:r>
                </w:p>
              </w:tc>
              <w:tc>
                <w:tcPr>
                  <w:tcW w:w="1389" w:type="dxa"/>
                  <w:vMerge w:val="continue"/>
                  <w:vAlign w:val="center"/>
                </w:tcPr>
                <w:p w14:paraId="2B675128">
                  <w:pPr>
                    <w:widowControl/>
                    <w:jc w:val="center"/>
                    <w:textAlignment w:val="center"/>
                    <w:rPr>
                      <w:color w:val="auto"/>
                      <w:kern w:val="0"/>
                      <w:szCs w:val="21"/>
                      <w:highlight w:val="none"/>
                      <w:lang w:bidi="ar"/>
                    </w:rPr>
                  </w:pPr>
                </w:p>
              </w:tc>
              <w:tc>
                <w:tcPr>
                  <w:tcW w:w="1091" w:type="dxa"/>
                  <w:vAlign w:val="center"/>
                </w:tcPr>
                <w:p w14:paraId="7991CCED">
                  <w:pPr>
                    <w:widowControl/>
                    <w:jc w:val="center"/>
                    <w:textAlignment w:val="center"/>
                    <w:rPr>
                      <w:color w:val="auto"/>
                      <w:kern w:val="0"/>
                      <w:szCs w:val="21"/>
                      <w:highlight w:val="none"/>
                      <w:lang w:bidi="ar"/>
                    </w:rPr>
                  </w:pPr>
                  <w:r>
                    <w:rPr>
                      <w:color w:val="auto"/>
                      <w:kern w:val="0"/>
                      <w:szCs w:val="21"/>
                      <w:highlight w:val="none"/>
                      <w:lang w:bidi="ar"/>
                    </w:rPr>
                    <w:t>55</w:t>
                  </w:r>
                </w:p>
              </w:tc>
              <w:tc>
                <w:tcPr>
                  <w:tcW w:w="929" w:type="dxa"/>
                  <w:vAlign w:val="center"/>
                </w:tcPr>
                <w:p w14:paraId="58A01E0D">
                  <w:pPr>
                    <w:widowControl/>
                    <w:jc w:val="center"/>
                    <w:textAlignment w:val="center"/>
                    <w:rPr>
                      <w:color w:val="auto"/>
                      <w:kern w:val="0"/>
                      <w:szCs w:val="21"/>
                      <w:highlight w:val="none"/>
                      <w:lang w:bidi="ar"/>
                    </w:rPr>
                  </w:pPr>
                  <w:r>
                    <w:rPr>
                      <w:color w:val="auto"/>
                      <w:kern w:val="0"/>
                      <w:szCs w:val="21"/>
                      <w:highlight w:val="none"/>
                      <w:lang w:bidi="ar"/>
                    </w:rPr>
                    <w:t xml:space="preserve">0.078 </w:t>
                  </w:r>
                </w:p>
              </w:tc>
              <w:tc>
                <w:tcPr>
                  <w:tcW w:w="1847" w:type="dxa"/>
                  <w:vMerge w:val="continue"/>
                  <w:vAlign w:val="center"/>
                </w:tcPr>
                <w:p w14:paraId="3024B19E">
                  <w:pPr>
                    <w:widowControl/>
                    <w:jc w:val="center"/>
                    <w:textAlignment w:val="center"/>
                    <w:rPr>
                      <w:color w:val="auto"/>
                      <w:kern w:val="0"/>
                      <w:szCs w:val="21"/>
                      <w:highlight w:val="none"/>
                      <w:lang w:bidi="ar"/>
                    </w:rPr>
                  </w:pPr>
                </w:p>
              </w:tc>
              <w:tc>
                <w:tcPr>
                  <w:tcW w:w="1091" w:type="dxa"/>
                  <w:vAlign w:val="center"/>
                </w:tcPr>
                <w:p w14:paraId="16893E67">
                  <w:pPr>
                    <w:widowControl/>
                    <w:jc w:val="center"/>
                    <w:textAlignment w:val="center"/>
                    <w:rPr>
                      <w:color w:val="auto"/>
                      <w:kern w:val="0"/>
                      <w:szCs w:val="21"/>
                      <w:highlight w:val="none"/>
                      <w:lang w:bidi="ar"/>
                    </w:rPr>
                  </w:pPr>
                  <w:r>
                    <w:rPr>
                      <w:color w:val="auto"/>
                      <w:kern w:val="0"/>
                      <w:szCs w:val="21"/>
                      <w:highlight w:val="none"/>
                      <w:lang w:bidi="ar"/>
                    </w:rPr>
                    <w:t>10</w:t>
                  </w:r>
                </w:p>
              </w:tc>
              <w:tc>
                <w:tcPr>
                  <w:tcW w:w="900" w:type="dxa"/>
                  <w:vAlign w:val="center"/>
                </w:tcPr>
                <w:p w14:paraId="7334868E">
                  <w:pPr>
                    <w:widowControl/>
                    <w:jc w:val="center"/>
                    <w:textAlignment w:val="center"/>
                    <w:rPr>
                      <w:color w:val="auto"/>
                      <w:kern w:val="0"/>
                      <w:szCs w:val="21"/>
                      <w:highlight w:val="none"/>
                      <w:lang w:bidi="ar"/>
                    </w:rPr>
                  </w:pPr>
                  <w:r>
                    <w:rPr>
                      <w:color w:val="auto"/>
                      <w:kern w:val="0"/>
                      <w:szCs w:val="21"/>
                      <w:highlight w:val="none"/>
                      <w:lang w:bidi="ar"/>
                    </w:rPr>
                    <w:t xml:space="preserve">0.014 </w:t>
                  </w:r>
                </w:p>
              </w:tc>
            </w:tr>
            <w:tr w14:paraId="18C4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26" w:type="dxa"/>
                  <w:vMerge w:val="continue"/>
                  <w:vAlign w:val="center"/>
                </w:tcPr>
                <w:p w14:paraId="61A6E67A">
                  <w:pPr>
                    <w:widowControl/>
                    <w:jc w:val="center"/>
                    <w:textAlignment w:val="center"/>
                    <w:rPr>
                      <w:color w:val="auto"/>
                      <w:szCs w:val="21"/>
                      <w:highlight w:val="none"/>
                    </w:rPr>
                  </w:pPr>
                </w:p>
              </w:tc>
              <w:tc>
                <w:tcPr>
                  <w:tcW w:w="426" w:type="dxa"/>
                  <w:vMerge w:val="continue"/>
                  <w:vAlign w:val="center"/>
                </w:tcPr>
                <w:p w14:paraId="58F507FF">
                  <w:pPr>
                    <w:widowControl/>
                    <w:jc w:val="center"/>
                    <w:textAlignment w:val="center"/>
                    <w:rPr>
                      <w:color w:val="auto"/>
                      <w:szCs w:val="21"/>
                      <w:highlight w:val="none"/>
                    </w:rPr>
                  </w:pPr>
                </w:p>
              </w:tc>
              <w:tc>
                <w:tcPr>
                  <w:tcW w:w="1052" w:type="dxa"/>
                  <w:vMerge w:val="continue"/>
                  <w:vAlign w:val="center"/>
                </w:tcPr>
                <w:p w14:paraId="50BACAA4">
                  <w:pPr>
                    <w:jc w:val="center"/>
                    <w:rPr>
                      <w:color w:val="auto"/>
                      <w:szCs w:val="21"/>
                      <w:highlight w:val="none"/>
                    </w:rPr>
                  </w:pPr>
                </w:p>
              </w:tc>
              <w:tc>
                <w:tcPr>
                  <w:tcW w:w="1208" w:type="dxa"/>
                  <w:vAlign w:val="center"/>
                </w:tcPr>
                <w:p w14:paraId="3E9D1A6A">
                  <w:pPr>
                    <w:widowControl/>
                    <w:jc w:val="center"/>
                    <w:textAlignment w:val="center"/>
                    <w:rPr>
                      <w:color w:val="auto"/>
                      <w:szCs w:val="21"/>
                      <w:highlight w:val="none"/>
                    </w:rPr>
                  </w:pPr>
                  <w:r>
                    <w:rPr>
                      <w:color w:val="auto"/>
                      <w:kern w:val="0"/>
                      <w:szCs w:val="21"/>
                      <w:highlight w:val="none"/>
                      <w:lang w:bidi="ar"/>
                    </w:rPr>
                    <w:t>SS</w:t>
                  </w:r>
                </w:p>
              </w:tc>
              <w:tc>
                <w:tcPr>
                  <w:tcW w:w="1063" w:type="dxa"/>
                  <w:vAlign w:val="center"/>
                </w:tcPr>
                <w:p w14:paraId="776353ED">
                  <w:pPr>
                    <w:widowControl/>
                    <w:jc w:val="center"/>
                    <w:textAlignment w:val="center"/>
                    <w:rPr>
                      <w:color w:val="auto"/>
                      <w:szCs w:val="21"/>
                      <w:highlight w:val="none"/>
                    </w:rPr>
                  </w:pPr>
                  <w:r>
                    <w:rPr>
                      <w:color w:val="auto"/>
                      <w:kern w:val="0"/>
                      <w:szCs w:val="21"/>
                      <w:highlight w:val="none"/>
                      <w:lang w:bidi="ar"/>
                    </w:rPr>
                    <w:t xml:space="preserve">692 </w:t>
                  </w:r>
                </w:p>
              </w:tc>
              <w:tc>
                <w:tcPr>
                  <w:tcW w:w="914" w:type="dxa"/>
                  <w:vAlign w:val="center"/>
                </w:tcPr>
                <w:p w14:paraId="718FC2D1">
                  <w:pPr>
                    <w:widowControl/>
                    <w:jc w:val="center"/>
                    <w:textAlignment w:val="center"/>
                    <w:rPr>
                      <w:color w:val="auto"/>
                      <w:szCs w:val="21"/>
                      <w:highlight w:val="none"/>
                    </w:rPr>
                  </w:pPr>
                  <w:r>
                    <w:rPr>
                      <w:color w:val="auto"/>
                      <w:kern w:val="0"/>
                      <w:szCs w:val="21"/>
                      <w:highlight w:val="none"/>
                      <w:lang w:bidi="ar"/>
                    </w:rPr>
                    <w:t xml:space="preserve">0.987 </w:t>
                  </w:r>
                </w:p>
              </w:tc>
              <w:tc>
                <w:tcPr>
                  <w:tcW w:w="1389" w:type="dxa"/>
                  <w:vMerge w:val="continue"/>
                  <w:vAlign w:val="center"/>
                </w:tcPr>
                <w:p w14:paraId="5B279026">
                  <w:pPr>
                    <w:widowControl/>
                    <w:jc w:val="center"/>
                    <w:textAlignment w:val="center"/>
                    <w:rPr>
                      <w:color w:val="auto"/>
                      <w:kern w:val="0"/>
                      <w:szCs w:val="21"/>
                      <w:highlight w:val="none"/>
                      <w:lang w:bidi="ar"/>
                    </w:rPr>
                  </w:pPr>
                </w:p>
              </w:tc>
              <w:tc>
                <w:tcPr>
                  <w:tcW w:w="1091" w:type="dxa"/>
                  <w:vAlign w:val="center"/>
                </w:tcPr>
                <w:p w14:paraId="59C5FF24">
                  <w:pPr>
                    <w:widowControl/>
                    <w:jc w:val="center"/>
                    <w:textAlignment w:val="center"/>
                    <w:rPr>
                      <w:color w:val="auto"/>
                      <w:kern w:val="0"/>
                      <w:szCs w:val="21"/>
                      <w:highlight w:val="none"/>
                      <w:lang w:bidi="ar"/>
                    </w:rPr>
                  </w:pPr>
                  <w:r>
                    <w:rPr>
                      <w:color w:val="auto"/>
                      <w:kern w:val="0"/>
                      <w:szCs w:val="21"/>
                      <w:highlight w:val="none"/>
                      <w:lang w:bidi="ar"/>
                    </w:rPr>
                    <w:t>69</w:t>
                  </w:r>
                </w:p>
              </w:tc>
              <w:tc>
                <w:tcPr>
                  <w:tcW w:w="929" w:type="dxa"/>
                  <w:vAlign w:val="center"/>
                </w:tcPr>
                <w:p w14:paraId="2D289FD9">
                  <w:pPr>
                    <w:widowControl/>
                    <w:jc w:val="center"/>
                    <w:textAlignment w:val="center"/>
                    <w:rPr>
                      <w:color w:val="auto"/>
                      <w:kern w:val="0"/>
                      <w:szCs w:val="21"/>
                      <w:highlight w:val="none"/>
                      <w:lang w:bidi="ar"/>
                    </w:rPr>
                  </w:pPr>
                  <w:r>
                    <w:rPr>
                      <w:color w:val="auto"/>
                      <w:kern w:val="0"/>
                      <w:szCs w:val="21"/>
                      <w:highlight w:val="none"/>
                      <w:lang w:bidi="ar"/>
                    </w:rPr>
                    <w:t xml:space="preserve">0.098 </w:t>
                  </w:r>
                </w:p>
              </w:tc>
              <w:tc>
                <w:tcPr>
                  <w:tcW w:w="1847" w:type="dxa"/>
                  <w:vMerge w:val="continue"/>
                  <w:vAlign w:val="center"/>
                </w:tcPr>
                <w:p w14:paraId="454B4BD2">
                  <w:pPr>
                    <w:widowControl/>
                    <w:jc w:val="center"/>
                    <w:textAlignment w:val="center"/>
                    <w:rPr>
                      <w:color w:val="auto"/>
                      <w:kern w:val="0"/>
                      <w:szCs w:val="21"/>
                      <w:highlight w:val="none"/>
                      <w:lang w:bidi="ar"/>
                    </w:rPr>
                  </w:pPr>
                </w:p>
              </w:tc>
              <w:tc>
                <w:tcPr>
                  <w:tcW w:w="1091" w:type="dxa"/>
                  <w:vAlign w:val="center"/>
                </w:tcPr>
                <w:p w14:paraId="5CC9D4A8">
                  <w:pPr>
                    <w:widowControl/>
                    <w:jc w:val="center"/>
                    <w:textAlignment w:val="center"/>
                    <w:rPr>
                      <w:color w:val="auto"/>
                      <w:kern w:val="0"/>
                      <w:szCs w:val="21"/>
                      <w:highlight w:val="none"/>
                      <w:lang w:bidi="ar"/>
                    </w:rPr>
                  </w:pPr>
                  <w:r>
                    <w:rPr>
                      <w:color w:val="auto"/>
                      <w:kern w:val="0"/>
                      <w:szCs w:val="21"/>
                      <w:highlight w:val="none"/>
                      <w:lang w:bidi="ar"/>
                    </w:rPr>
                    <w:t>10</w:t>
                  </w:r>
                </w:p>
              </w:tc>
              <w:tc>
                <w:tcPr>
                  <w:tcW w:w="900" w:type="dxa"/>
                  <w:vAlign w:val="center"/>
                </w:tcPr>
                <w:p w14:paraId="20A2346E">
                  <w:pPr>
                    <w:widowControl/>
                    <w:jc w:val="center"/>
                    <w:textAlignment w:val="center"/>
                    <w:rPr>
                      <w:color w:val="auto"/>
                      <w:kern w:val="0"/>
                      <w:szCs w:val="21"/>
                      <w:highlight w:val="none"/>
                      <w:lang w:bidi="ar"/>
                    </w:rPr>
                  </w:pPr>
                  <w:r>
                    <w:rPr>
                      <w:color w:val="auto"/>
                      <w:kern w:val="0"/>
                      <w:szCs w:val="21"/>
                      <w:highlight w:val="none"/>
                      <w:lang w:bidi="ar"/>
                    </w:rPr>
                    <w:t xml:space="preserve">0.014 </w:t>
                  </w:r>
                </w:p>
              </w:tc>
            </w:tr>
            <w:tr w14:paraId="6B62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26" w:type="dxa"/>
                  <w:vMerge w:val="continue"/>
                  <w:vAlign w:val="center"/>
                </w:tcPr>
                <w:p w14:paraId="5564726D">
                  <w:pPr>
                    <w:widowControl/>
                    <w:jc w:val="center"/>
                    <w:textAlignment w:val="center"/>
                    <w:rPr>
                      <w:color w:val="auto"/>
                      <w:szCs w:val="21"/>
                      <w:highlight w:val="none"/>
                    </w:rPr>
                  </w:pPr>
                </w:p>
              </w:tc>
              <w:tc>
                <w:tcPr>
                  <w:tcW w:w="426" w:type="dxa"/>
                  <w:vMerge w:val="continue"/>
                  <w:vAlign w:val="center"/>
                </w:tcPr>
                <w:p w14:paraId="1F49A55A">
                  <w:pPr>
                    <w:widowControl/>
                    <w:jc w:val="center"/>
                    <w:textAlignment w:val="center"/>
                    <w:rPr>
                      <w:color w:val="auto"/>
                      <w:szCs w:val="21"/>
                      <w:highlight w:val="none"/>
                    </w:rPr>
                  </w:pPr>
                </w:p>
              </w:tc>
              <w:tc>
                <w:tcPr>
                  <w:tcW w:w="1052" w:type="dxa"/>
                  <w:vMerge w:val="continue"/>
                  <w:vAlign w:val="center"/>
                </w:tcPr>
                <w:p w14:paraId="524ED53A">
                  <w:pPr>
                    <w:jc w:val="center"/>
                    <w:rPr>
                      <w:color w:val="auto"/>
                      <w:szCs w:val="21"/>
                      <w:highlight w:val="none"/>
                    </w:rPr>
                  </w:pPr>
                </w:p>
              </w:tc>
              <w:tc>
                <w:tcPr>
                  <w:tcW w:w="1208" w:type="dxa"/>
                  <w:vAlign w:val="center"/>
                </w:tcPr>
                <w:p w14:paraId="3C4F3666">
                  <w:pPr>
                    <w:widowControl/>
                    <w:jc w:val="center"/>
                    <w:textAlignment w:val="center"/>
                    <w:rPr>
                      <w:color w:val="auto"/>
                      <w:szCs w:val="21"/>
                      <w:highlight w:val="none"/>
                    </w:rPr>
                  </w:pPr>
                  <w:r>
                    <w:rPr>
                      <w:rFonts w:hint="eastAsia" w:ascii="宋体" w:hAnsi="宋体" w:cs="宋体"/>
                      <w:color w:val="auto"/>
                      <w:kern w:val="0"/>
                      <w:szCs w:val="21"/>
                      <w:highlight w:val="none"/>
                      <w:lang w:bidi="ar"/>
                    </w:rPr>
                    <w:t>氨氮</w:t>
                  </w:r>
                </w:p>
              </w:tc>
              <w:tc>
                <w:tcPr>
                  <w:tcW w:w="1063" w:type="dxa"/>
                  <w:vAlign w:val="center"/>
                </w:tcPr>
                <w:p w14:paraId="5EF66A2D">
                  <w:pPr>
                    <w:widowControl/>
                    <w:jc w:val="center"/>
                    <w:textAlignment w:val="center"/>
                    <w:rPr>
                      <w:color w:val="auto"/>
                      <w:szCs w:val="21"/>
                      <w:highlight w:val="none"/>
                    </w:rPr>
                  </w:pPr>
                  <w:r>
                    <w:rPr>
                      <w:color w:val="auto"/>
                      <w:kern w:val="0"/>
                      <w:szCs w:val="21"/>
                      <w:highlight w:val="none"/>
                      <w:lang w:bidi="ar"/>
                    </w:rPr>
                    <w:t xml:space="preserve">29 </w:t>
                  </w:r>
                </w:p>
              </w:tc>
              <w:tc>
                <w:tcPr>
                  <w:tcW w:w="914" w:type="dxa"/>
                  <w:vAlign w:val="center"/>
                </w:tcPr>
                <w:p w14:paraId="540EF776">
                  <w:pPr>
                    <w:widowControl/>
                    <w:jc w:val="center"/>
                    <w:textAlignment w:val="center"/>
                    <w:rPr>
                      <w:color w:val="auto"/>
                      <w:szCs w:val="21"/>
                      <w:highlight w:val="none"/>
                    </w:rPr>
                  </w:pPr>
                  <w:r>
                    <w:rPr>
                      <w:color w:val="auto"/>
                      <w:kern w:val="0"/>
                      <w:szCs w:val="21"/>
                      <w:highlight w:val="none"/>
                      <w:lang w:bidi="ar"/>
                    </w:rPr>
                    <w:t xml:space="preserve">0.041 </w:t>
                  </w:r>
                </w:p>
              </w:tc>
              <w:tc>
                <w:tcPr>
                  <w:tcW w:w="1389" w:type="dxa"/>
                  <w:vMerge w:val="continue"/>
                  <w:vAlign w:val="center"/>
                </w:tcPr>
                <w:p w14:paraId="43C9B1AB">
                  <w:pPr>
                    <w:widowControl/>
                    <w:jc w:val="center"/>
                    <w:textAlignment w:val="center"/>
                    <w:rPr>
                      <w:color w:val="auto"/>
                      <w:kern w:val="0"/>
                      <w:szCs w:val="21"/>
                      <w:highlight w:val="none"/>
                      <w:lang w:bidi="ar"/>
                    </w:rPr>
                  </w:pPr>
                </w:p>
              </w:tc>
              <w:tc>
                <w:tcPr>
                  <w:tcW w:w="1091" w:type="dxa"/>
                  <w:vAlign w:val="center"/>
                </w:tcPr>
                <w:p w14:paraId="0F9F88EB">
                  <w:pPr>
                    <w:widowControl/>
                    <w:jc w:val="center"/>
                    <w:textAlignment w:val="center"/>
                    <w:rPr>
                      <w:color w:val="auto"/>
                      <w:kern w:val="0"/>
                      <w:szCs w:val="21"/>
                      <w:highlight w:val="none"/>
                      <w:lang w:bidi="ar"/>
                    </w:rPr>
                  </w:pPr>
                  <w:r>
                    <w:rPr>
                      <w:color w:val="auto"/>
                      <w:kern w:val="0"/>
                      <w:szCs w:val="21"/>
                      <w:highlight w:val="none"/>
                      <w:lang w:bidi="ar"/>
                    </w:rPr>
                    <w:t>25</w:t>
                  </w:r>
                </w:p>
              </w:tc>
              <w:tc>
                <w:tcPr>
                  <w:tcW w:w="929" w:type="dxa"/>
                  <w:vAlign w:val="center"/>
                </w:tcPr>
                <w:p w14:paraId="74CEBA46">
                  <w:pPr>
                    <w:widowControl/>
                    <w:jc w:val="center"/>
                    <w:textAlignment w:val="center"/>
                    <w:rPr>
                      <w:color w:val="auto"/>
                      <w:kern w:val="0"/>
                      <w:szCs w:val="21"/>
                      <w:highlight w:val="none"/>
                      <w:lang w:bidi="ar"/>
                    </w:rPr>
                  </w:pPr>
                  <w:r>
                    <w:rPr>
                      <w:color w:val="auto"/>
                      <w:kern w:val="0"/>
                      <w:szCs w:val="21"/>
                      <w:highlight w:val="none"/>
                      <w:lang w:bidi="ar"/>
                    </w:rPr>
                    <w:t xml:space="preserve">0.036 </w:t>
                  </w:r>
                </w:p>
              </w:tc>
              <w:tc>
                <w:tcPr>
                  <w:tcW w:w="1847" w:type="dxa"/>
                  <w:vMerge w:val="continue"/>
                  <w:vAlign w:val="center"/>
                </w:tcPr>
                <w:p w14:paraId="76B4BC5D">
                  <w:pPr>
                    <w:widowControl/>
                    <w:jc w:val="center"/>
                    <w:textAlignment w:val="center"/>
                    <w:rPr>
                      <w:color w:val="auto"/>
                      <w:kern w:val="0"/>
                      <w:szCs w:val="21"/>
                      <w:highlight w:val="none"/>
                      <w:lang w:bidi="ar"/>
                    </w:rPr>
                  </w:pPr>
                </w:p>
              </w:tc>
              <w:tc>
                <w:tcPr>
                  <w:tcW w:w="1091" w:type="dxa"/>
                  <w:vAlign w:val="center"/>
                </w:tcPr>
                <w:p w14:paraId="0468C883">
                  <w:pPr>
                    <w:widowControl/>
                    <w:jc w:val="center"/>
                    <w:textAlignment w:val="center"/>
                    <w:rPr>
                      <w:color w:val="auto"/>
                      <w:kern w:val="0"/>
                      <w:szCs w:val="21"/>
                      <w:highlight w:val="none"/>
                      <w:lang w:bidi="ar"/>
                    </w:rPr>
                  </w:pPr>
                  <w:r>
                    <w:rPr>
                      <w:color w:val="auto"/>
                      <w:kern w:val="0"/>
                      <w:szCs w:val="21"/>
                      <w:highlight w:val="none"/>
                      <w:lang w:bidi="ar"/>
                    </w:rPr>
                    <w:t>5</w:t>
                  </w:r>
                  <w:r>
                    <w:rPr>
                      <w:rFonts w:hint="eastAsia" w:ascii="宋体" w:hAnsi="宋体" w:cs="宋体"/>
                      <w:color w:val="auto"/>
                      <w:kern w:val="0"/>
                      <w:szCs w:val="21"/>
                      <w:highlight w:val="none"/>
                      <w:lang w:bidi="ar"/>
                    </w:rPr>
                    <w:t>（</w:t>
                  </w:r>
                  <w:r>
                    <w:rPr>
                      <w:color w:val="auto"/>
                      <w:kern w:val="0"/>
                      <w:szCs w:val="21"/>
                      <w:highlight w:val="none"/>
                      <w:lang w:bidi="ar"/>
                    </w:rPr>
                    <w:t>8</w:t>
                  </w:r>
                  <w:r>
                    <w:rPr>
                      <w:rFonts w:hint="eastAsia" w:ascii="宋体" w:hAnsi="宋体" w:cs="宋体"/>
                      <w:color w:val="auto"/>
                      <w:kern w:val="0"/>
                      <w:szCs w:val="21"/>
                      <w:highlight w:val="none"/>
                      <w:lang w:bidi="ar"/>
                    </w:rPr>
                    <w:t>）</w:t>
                  </w:r>
                </w:p>
              </w:tc>
              <w:tc>
                <w:tcPr>
                  <w:tcW w:w="900" w:type="dxa"/>
                  <w:vAlign w:val="center"/>
                </w:tcPr>
                <w:p w14:paraId="1F7CC970">
                  <w:pPr>
                    <w:widowControl/>
                    <w:jc w:val="center"/>
                    <w:textAlignment w:val="center"/>
                    <w:rPr>
                      <w:color w:val="auto"/>
                      <w:kern w:val="0"/>
                      <w:szCs w:val="21"/>
                      <w:highlight w:val="none"/>
                      <w:lang w:bidi="ar"/>
                    </w:rPr>
                  </w:pPr>
                  <w:r>
                    <w:rPr>
                      <w:color w:val="auto"/>
                      <w:kern w:val="0"/>
                      <w:szCs w:val="21"/>
                      <w:highlight w:val="none"/>
                      <w:lang w:bidi="ar"/>
                    </w:rPr>
                    <w:t xml:space="preserve">0.007 </w:t>
                  </w:r>
                </w:p>
              </w:tc>
            </w:tr>
            <w:tr w14:paraId="0A43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26" w:type="dxa"/>
                  <w:vMerge w:val="continue"/>
                  <w:vAlign w:val="center"/>
                </w:tcPr>
                <w:p w14:paraId="458147E4">
                  <w:pPr>
                    <w:widowControl/>
                    <w:jc w:val="center"/>
                    <w:textAlignment w:val="center"/>
                    <w:rPr>
                      <w:color w:val="auto"/>
                      <w:szCs w:val="21"/>
                      <w:highlight w:val="none"/>
                    </w:rPr>
                  </w:pPr>
                </w:p>
              </w:tc>
              <w:tc>
                <w:tcPr>
                  <w:tcW w:w="426" w:type="dxa"/>
                  <w:vMerge w:val="continue"/>
                  <w:vAlign w:val="center"/>
                </w:tcPr>
                <w:p w14:paraId="47766BB0">
                  <w:pPr>
                    <w:widowControl/>
                    <w:jc w:val="center"/>
                    <w:textAlignment w:val="center"/>
                    <w:rPr>
                      <w:color w:val="auto"/>
                      <w:szCs w:val="21"/>
                      <w:highlight w:val="none"/>
                    </w:rPr>
                  </w:pPr>
                </w:p>
              </w:tc>
              <w:tc>
                <w:tcPr>
                  <w:tcW w:w="1052" w:type="dxa"/>
                  <w:vMerge w:val="continue"/>
                  <w:vAlign w:val="center"/>
                </w:tcPr>
                <w:p w14:paraId="476C4DB6">
                  <w:pPr>
                    <w:jc w:val="center"/>
                    <w:rPr>
                      <w:color w:val="auto"/>
                      <w:szCs w:val="21"/>
                      <w:highlight w:val="none"/>
                    </w:rPr>
                  </w:pPr>
                </w:p>
              </w:tc>
              <w:tc>
                <w:tcPr>
                  <w:tcW w:w="1208" w:type="dxa"/>
                  <w:vAlign w:val="center"/>
                </w:tcPr>
                <w:p w14:paraId="29E3BB9F">
                  <w:pPr>
                    <w:widowControl/>
                    <w:jc w:val="center"/>
                    <w:textAlignment w:val="center"/>
                    <w:rPr>
                      <w:color w:val="auto"/>
                      <w:szCs w:val="21"/>
                      <w:highlight w:val="none"/>
                    </w:rPr>
                  </w:pPr>
                  <w:r>
                    <w:rPr>
                      <w:rFonts w:hint="eastAsia" w:ascii="宋体" w:hAnsi="宋体" w:cs="宋体"/>
                      <w:color w:val="auto"/>
                      <w:kern w:val="0"/>
                      <w:szCs w:val="21"/>
                      <w:highlight w:val="none"/>
                      <w:lang w:bidi="ar"/>
                    </w:rPr>
                    <w:t>总氮</w:t>
                  </w:r>
                </w:p>
              </w:tc>
              <w:tc>
                <w:tcPr>
                  <w:tcW w:w="1063" w:type="dxa"/>
                  <w:vAlign w:val="center"/>
                </w:tcPr>
                <w:p w14:paraId="7784247C">
                  <w:pPr>
                    <w:widowControl/>
                    <w:jc w:val="center"/>
                    <w:textAlignment w:val="center"/>
                    <w:rPr>
                      <w:color w:val="auto"/>
                      <w:szCs w:val="21"/>
                      <w:highlight w:val="none"/>
                    </w:rPr>
                  </w:pPr>
                  <w:r>
                    <w:rPr>
                      <w:color w:val="auto"/>
                      <w:kern w:val="0"/>
                      <w:szCs w:val="21"/>
                      <w:highlight w:val="none"/>
                      <w:lang w:bidi="ar"/>
                    </w:rPr>
                    <w:t xml:space="preserve">44 </w:t>
                  </w:r>
                </w:p>
              </w:tc>
              <w:tc>
                <w:tcPr>
                  <w:tcW w:w="914" w:type="dxa"/>
                  <w:vAlign w:val="center"/>
                </w:tcPr>
                <w:p w14:paraId="05408C25">
                  <w:pPr>
                    <w:widowControl/>
                    <w:jc w:val="center"/>
                    <w:textAlignment w:val="center"/>
                    <w:rPr>
                      <w:color w:val="auto"/>
                      <w:szCs w:val="21"/>
                      <w:highlight w:val="none"/>
                    </w:rPr>
                  </w:pPr>
                  <w:r>
                    <w:rPr>
                      <w:color w:val="auto"/>
                      <w:kern w:val="0"/>
                      <w:szCs w:val="21"/>
                      <w:highlight w:val="none"/>
                      <w:lang w:bidi="ar"/>
                    </w:rPr>
                    <w:t xml:space="preserve">0.063 </w:t>
                  </w:r>
                </w:p>
              </w:tc>
              <w:tc>
                <w:tcPr>
                  <w:tcW w:w="1389" w:type="dxa"/>
                  <w:vMerge w:val="continue"/>
                  <w:vAlign w:val="center"/>
                </w:tcPr>
                <w:p w14:paraId="22B63D32">
                  <w:pPr>
                    <w:widowControl/>
                    <w:jc w:val="center"/>
                    <w:textAlignment w:val="center"/>
                    <w:rPr>
                      <w:color w:val="auto"/>
                      <w:kern w:val="0"/>
                      <w:szCs w:val="21"/>
                      <w:highlight w:val="none"/>
                      <w:lang w:bidi="ar"/>
                    </w:rPr>
                  </w:pPr>
                </w:p>
              </w:tc>
              <w:tc>
                <w:tcPr>
                  <w:tcW w:w="1091" w:type="dxa"/>
                  <w:vAlign w:val="center"/>
                </w:tcPr>
                <w:p w14:paraId="658BC594">
                  <w:pPr>
                    <w:widowControl/>
                    <w:jc w:val="center"/>
                    <w:textAlignment w:val="center"/>
                    <w:rPr>
                      <w:color w:val="auto"/>
                      <w:kern w:val="0"/>
                      <w:szCs w:val="21"/>
                      <w:highlight w:val="none"/>
                      <w:lang w:bidi="ar"/>
                    </w:rPr>
                  </w:pPr>
                  <w:r>
                    <w:rPr>
                      <w:color w:val="auto"/>
                      <w:kern w:val="0"/>
                      <w:szCs w:val="21"/>
                      <w:highlight w:val="none"/>
                      <w:lang w:bidi="ar"/>
                    </w:rPr>
                    <w:t>30</w:t>
                  </w:r>
                </w:p>
              </w:tc>
              <w:tc>
                <w:tcPr>
                  <w:tcW w:w="929" w:type="dxa"/>
                  <w:vAlign w:val="center"/>
                </w:tcPr>
                <w:p w14:paraId="12A7F08F">
                  <w:pPr>
                    <w:widowControl/>
                    <w:jc w:val="center"/>
                    <w:textAlignment w:val="center"/>
                    <w:rPr>
                      <w:color w:val="auto"/>
                      <w:kern w:val="0"/>
                      <w:szCs w:val="21"/>
                      <w:highlight w:val="none"/>
                      <w:lang w:bidi="ar"/>
                    </w:rPr>
                  </w:pPr>
                  <w:r>
                    <w:rPr>
                      <w:color w:val="auto"/>
                      <w:kern w:val="0"/>
                      <w:szCs w:val="21"/>
                      <w:highlight w:val="none"/>
                      <w:lang w:bidi="ar"/>
                    </w:rPr>
                    <w:t xml:space="preserve">0.043 </w:t>
                  </w:r>
                </w:p>
              </w:tc>
              <w:tc>
                <w:tcPr>
                  <w:tcW w:w="1847" w:type="dxa"/>
                  <w:vMerge w:val="continue"/>
                  <w:vAlign w:val="center"/>
                </w:tcPr>
                <w:p w14:paraId="343CE3D3">
                  <w:pPr>
                    <w:widowControl/>
                    <w:jc w:val="center"/>
                    <w:textAlignment w:val="center"/>
                    <w:rPr>
                      <w:color w:val="auto"/>
                      <w:kern w:val="0"/>
                      <w:szCs w:val="21"/>
                      <w:highlight w:val="none"/>
                      <w:lang w:bidi="ar"/>
                    </w:rPr>
                  </w:pPr>
                </w:p>
              </w:tc>
              <w:tc>
                <w:tcPr>
                  <w:tcW w:w="1091" w:type="dxa"/>
                  <w:vAlign w:val="center"/>
                </w:tcPr>
                <w:p w14:paraId="4252D2E7">
                  <w:pPr>
                    <w:widowControl/>
                    <w:jc w:val="center"/>
                    <w:textAlignment w:val="center"/>
                    <w:rPr>
                      <w:color w:val="auto"/>
                      <w:kern w:val="0"/>
                      <w:szCs w:val="21"/>
                      <w:highlight w:val="none"/>
                      <w:lang w:bidi="ar"/>
                    </w:rPr>
                  </w:pPr>
                  <w:r>
                    <w:rPr>
                      <w:color w:val="auto"/>
                      <w:kern w:val="0"/>
                      <w:szCs w:val="21"/>
                      <w:highlight w:val="none"/>
                      <w:lang w:bidi="ar"/>
                    </w:rPr>
                    <w:t>15</w:t>
                  </w:r>
                </w:p>
              </w:tc>
              <w:tc>
                <w:tcPr>
                  <w:tcW w:w="900" w:type="dxa"/>
                  <w:vAlign w:val="center"/>
                </w:tcPr>
                <w:p w14:paraId="1EE7A100">
                  <w:pPr>
                    <w:widowControl/>
                    <w:jc w:val="center"/>
                    <w:textAlignment w:val="center"/>
                    <w:rPr>
                      <w:color w:val="auto"/>
                      <w:kern w:val="0"/>
                      <w:szCs w:val="21"/>
                      <w:highlight w:val="none"/>
                      <w:lang w:bidi="ar"/>
                    </w:rPr>
                  </w:pPr>
                  <w:r>
                    <w:rPr>
                      <w:color w:val="auto"/>
                      <w:kern w:val="0"/>
                      <w:szCs w:val="21"/>
                      <w:highlight w:val="none"/>
                      <w:lang w:bidi="ar"/>
                    </w:rPr>
                    <w:t xml:space="preserve">0.021 </w:t>
                  </w:r>
                </w:p>
              </w:tc>
            </w:tr>
            <w:tr w14:paraId="23B9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26" w:type="dxa"/>
                  <w:vMerge w:val="continue"/>
                  <w:vAlign w:val="center"/>
                </w:tcPr>
                <w:p w14:paraId="50918960">
                  <w:pPr>
                    <w:widowControl/>
                    <w:jc w:val="center"/>
                    <w:textAlignment w:val="center"/>
                    <w:rPr>
                      <w:color w:val="auto"/>
                      <w:szCs w:val="21"/>
                      <w:highlight w:val="none"/>
                    </w:rPr>
                  </w:pPr>
                </w:p>
              </w:tc>
              <w:tc>
                <w:tcPr>
                  <w:tcW w:w="426" w:type="dxa"/>
                  <w:vMerge w:val="continue"/>
                  <w:vAlign w:val="center"/>
                </w:tcPr>
                <w:p w14:paraId="6900F1FC">
                  <w:pPr>
                    <w:widowControl/>
                    <w:jc w:val="center"/>
                    <w:textAlignment w:val="center"/>
                    <w:rPr>
                      <w:color w:val="auto"/>
                      <w:szCs w:val="21"/>
                      <w:highlight w:val="none"/>
                    </w:rPr>
                  </w:pPr>
                </w:p>
              </w:tc>
              <w:tc>
                <w:tcPr>
                  <w:tcW w:w="1052" w:type="dxa"/>
                  <w:vMerge w:val="continue"/>
                  <w:vAlign w:val="center"/>
                </w:tcPr>
                <w:p w14:paraId="47CC4F8F">
                  <w:pPr>
                    <w:jc w:val="center"/>
                    <w:rPr>
                      <w:color w:val="auto"/>
                      <w:szCs w:val="21"/>
                      <w:highlight w:val="none"/>
                    </w:rPr>
                  </w:pPr>
                </w:p>
              </w:tc>
              <w:tc>
                <w:tcPr>
                  <w:tcW w:w="1208" w:type="dxa"/>
                  <w:vAlign w:val="center"/>
                </w:tcPr>
                <w:p w14:paraId="2BE0C4C3">
                  <w:pPr>
                    <w:widowControl/>
                    <w:jc w:val="center"/>
                    <w:textAlignment w:val="center"/>
                    <w:rPr>
                      <w:color w:val="auto"/>
                      <w:szCs w:val="21"/>
                      <w:highlight w:val="none"/>
                    </w:rPr>
                  </w:pPr>
                  <w:r>
                    <w:rPr>
                      <w:rFonts w:hint="eastAsia" w:ascii="宋体" w:hAnsi="宋体" w:cs="宋体"/>
                      <w:color w:val="auto"/>
                      <w:kern w:val="0"/>
                      <w:szCs w:val="21"/>
                      <w:highlight w:val="none"/>
                      <w:lang w:bidi="ar"/>
                    </w:rPr>
                    <w:t>总磷</w:t>
                  </w:r>
                </w:p>
              </w:tc>
              <w:tc>
                <w:tcPr>
                  <w:tcW w:w="1063" w:type="dxa"/>
                  <w:vAlign w:val="center"/>
                </w:tcPr>
                <w:p w14:paraId="24EA8A64">
                  <w:pPr>
                    <w:widowControl/>
                    <w:jc w:val="center"/>
                    <w:textAlignment w:val="center"/>
                    <w:rPr>
                      <w:color w:val="auto"/>
                      <w:szCs w:val="21"/>
                      <w:highlight w:val="none"/>
                    </w:rPr>
                  </w:pPr>
                  <w:r>
                    <w:rPr>
                      <w:color w:val="auto"/>
                      <w:kern w:val="0"/>
                      <w:szCs w:val="21"/>
                      <w:highlight w:val="none"/>
                      <w:lang w:bidi="ar"/>
                    </w:rPr>
                    <w:t xml:space="preserve">3 </w:t>
                  </w:r>
                </w:p>
              </w:tc>
              <w:tc>
                <w:tcPr>
                  <w:tcW w:w="914" w:type="dxa"/>
                  <w:vAlign w:val="center"/>
                </w:tcPr>
                <w:p w14:paraId="561D41BE">
                  <w:pPr>
                    <w:widowControl/>
                    <w:jc w:val="center"/>
                    <w:textAlignment w:val="center"/>
                    <w:rPr>
                      <w:color w:val="auto"/>
                      <w:szCs w:val="21"/>
                      <w:highlight w:val="none"/>
                    </w:rPr>
                  </w:pPr>
                  <w:r>
                    <w:rPr>
                      <w:color w:val="auto"/>
                      <w:kern w:val="0"/>
                      <w:szCs w:val="21"/>
                      <w:highlight w:val="none"/>
                      <w:lang w:bidi="ar"/>
                    </w:rPr>
                    <w:t xml:space="preserve">0.004 </w:t>
                  </w:r>
                </w:p>
              </w:tc>
              <w:tc>
                <w:tcPr>
                  <w:tcW w:w="1389" w:type="dxa"/>
                  <w:vMerge w:val="continue"/>
                  <w:vAlign w:val="center"/>
                </w:tcPr>
                <w:p w14:paraId="1F97ECDC">
                  <w:pPr>
                    <w:widowControl/>
                    <w:jc w:val="center"/>
                    <w:textAlignment w:val="center"/>
                    <w:rPr>
                      <w:color w:val="auto"/>
                      <w:kern w:val="0"/>
                      <w:szCs w:val="21"/>
                      <w:highlight w:val="none"/>
                      <w:lang w:bidi="ar"/>
                    </w:rPr>
                  </w:pPr>
                </w:p>
              </w:tc>
              <w:tc>
                <w:tcPr>
                  <w:tcW w:w="1091" w:type="dxa"/>
                  <w:vAlign w:val="center"/>
                </w:tcPr>
                <w:p w14:paraId="3CAB3AFB">
                  <w:pPr>
                    <w:widowControl/>
                    <w:jc w:val="center"/>
                    <w:textAlignment w:val="center"/>
                    <w:rPr>
                      <w:color w:val="auto"/>
                      <w:kern w:val="0"/>
                      <w:szCs w:val="21"/>
                      <w:highlight w:val="none"/>
                      <w:lang w:bidi="ar"/>
                    </w:rPr>
                  </w:pPr>
                  <w:r>
                    <w:rPr>
                      <w:color w:val="auto"/>
                      <w:kern w:val="0"/>
                      <w:szCs w:val="21"/>
                      <w:highlight w:val="none"/>
                      <w:lang w:bidi="ar"/>
                    </w:rPr>
                    <w:t>3</w:t>
                  </w:r>
                </w:p>
              </w:tc>
              <w:tc>
                <w:tcPr>
                  <w:tcW w:w="929" w:type="dxa"/>
                  <w:vAlign w:val="center"/>
                </w:tcPr>
                <w:p w14:paraId="769CB808">
                  <w:pPr>
                    <w:widowControl/>
                    <w:jc w:val="center"/>
                    <w:textAlignment w:val="center"/>
                    <w:rPr>
                      <w:color w:val="auto"/>
                      <w:kern w:val="0"/>
                      <w:szCs w:val="21"/>
                      <w:highlight w:val="none"/>
                      <w:lang w:bidi="ar"/>
                    </w:rPr>
                  </w:pPr>
                  <w:r>
                    <w:rPr>
                      <w:color w:val="auto"/>
                      <w:kern w:val="0"/>
                      <w:szCs w:val="21"/>
                      <w:highlight w:val="none"/>
                      <w:lang w:bidi="ar"/>
                    </w:rPr>
                    <w:t xml:space="preserve">0.004 </w:t>
                  </w:r>
                </w:p>
              </w:tc>
              <w:tc>
                <w:tcPr>
                  <w:tcW w:w="1847" w:type="dxa"/>
                  <w:vMerge w:val="continue"/>
                  <w:vAlign w:val="center"/>
                </w:tcPr>
                <w:p w14:paraId="50517045">
                  <w:pPr>
                    <w:widowControl/>
                    <w:jc w:val="center"/>
                    <w:textAlignment w:val="center"/>
                    <w:rPr>
                      <w:color w:val="auto"/>
                      <w:kern w:val="0"/>
                      <w:szCs w:val="21"/>
                      <w:highlight w:val="none"/>
                      <w:lang w:bidi="ar"/>
                    </w:rPr>
                  </w:pPr>
                </w:p>
              </w:tc>
              <w:tc>
                <w:tcPr>
                  <w:tcW w:w="1091" w:type="dxa"/>
                  <w:vAlign w:val="center"/>
                </w:tcPr>
                <w:p w14:paraId="7FE53529">
                  <w:pPr>
                    <w:widowControl/>
                    <w:jc w:val="center"/>
                    <w:textAlignment w:val="center"/>
                    <w:rPr>
                      <w:color w:val="auto"/>
                      <w:kern w:val="0"/>
                      <w:szCs w:val="21"/>
                      <w:highlight w:val="none"/>
                      <w:lang w:bidi="ar"/>
                    </w:rPr>
                  </w:pPr>
                  <w:r>
                    <w:rPr>
                      <w:color w:val="auto"/>
                      <w:kern w:val="0"/>
                      <w:szCs w:val="21"/>
                      <w:highlight w:val="none"/>
                      <w:lang w:bidi="ar"/>
                    </w:rPr>
                    <w:t>0.5</w:t>
                  </w:r>
                </w:p>
              </w:tc>
              <w:tc>
                <w:tcPr>
                  <w:tcW w:w="900" w:type="dxa"/>
                  <w:vAlign w:val="center"/>
                </w:tcPr>
                <w:p w14:paraId="5F9C72AE">
                  <w:pPr>
                    <w:widowControl/>
                    <w:jc w:val="center"/>
                    <w:textAlignment w:val="center"/>
                    <w:rPr>
                      <w:color w:val="auto"/>
                      <w:kern w:val="0"/>
                      <w:szCs w:val="21"/>
                      <w:highlight w:val="none"/>
                      <w:lang w:bidi="ar"/>
                    </w:rPr>
                  </w:pPr>
                  <w:r>
                    <w:rPr>
                      <w:color w:val="auto"/>
                      <w:kern w:val="0"/>
                      <w:szCs w:val="21"/>
                      <w:highlight w:val="none"/>
                      <w:lang w:bidi="ar"/>
                    </w:rPr>
                    <w:t xml:space="preserve">0.001 </w:t>
                  </w:r>
                </w:p>
              </w:tc>
            </w:tr>
            <w:tr w14:paraId="1AA3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26" w:type="dxa"/>
                  <w:vMerge w:val="restart"/>
                  <w:vAlign w:val="center"/>
                </w:tcPr>
                <w:p w14:paraId="738C6CA2">
                  <w:pPr>
                    <w:widowControl/>
                    <w:spacing w:line="300" w:lineRule="exact"/>
                    <w:jc w:val="center"/>
                    <w:rPr>
                      <w:color w:val="auto"/>
                      <w:szCs w:val="21"/>
                      <w:highlight w:val="none"/>
                    </w:rPr>
                  </w:pPr>
                  <w:r>
                    <w:rPr>
                      <w:rFonts w:hint="eastAsia"/>
                      <w:color w:val="auto"/>
                      <w:szCs w:val="21"/>
                      <w:highlight w:val="none"/>
                    </w:rPr>
                    <w:t>2</w:t>
                  </w:r>
                </w:p>
              </w:tc>
              <w:tc>
                <w:tcPr>
                  <w:tcW w:w="426" w:type="dxa"/>
                  <w:vMerge w:val="restart"/>
                  <w:vAlign w:val="center"/>
                </w:tcPr>
                <w:p w14:paraId="1D112FDA">
                  <w:pPr>
                    <w:widowControl/>
                    <w:spacing w:line="300" w:lineRule="exact"/>
                    <w:jc w:val="center"/>
                    <w:rPr>
                      <w:color w:val="auto"/>
                      <w:szCs w:val="21"/>
                      <w:highlight w:val="none"/>
                    </w:rPr>
                  </w:pPr>
                  <w:r>
                    <w:rPr>
                      <w:rFonts w:hint="eastAsia"/>
                      <w:color w:val="auto"/>
                      <w:szCs w:val="21"/>
                      <w:highlight w:val="none"/>
                    </w:rPr>
                    <w:t>生活污水</w:t>
                  </w:r>
                </w:p>
              </w:tc>
              <w:tc>
                <w:tcPr>
                  <w:tcW w:w="1052" w:type="dxa"/>
                  <w:vMerge w:val="restart"/>
                  <w:vAlign w:val="center"/>
                </w:tcPr>
                <w:p w14:paraId="13D47448">
                  <w:pPr>
                    <w:widowControl/>
                    <w:spacing w:line="300" w:lineRule="exact"/>
                    <w:jc w:val="center"/>
                    <w:rPr>
                      <w:color w:val="auto"/>
                      <w:szCs w:val="21"/>
                      <w:highlight w:val="none"/>
                    </w:rPr>
                  </w:pPr>
                  <w:r>
                    <w:rPr>
                      <w:rFonts w:hint="eastAsia"/>
                      <w:color w:val="auto"/>
                      <w:szCs w:val="21"/>
                      <w:highlight w:val="none"/>
                    </w:rPr>
                    <w:t>51</w:t>
                  </w:r>
                </w:p>
              </w:tc>
              <w:tc>
                <w:tcPr>
                  <w:tcW w:w="1208" w:type="dxa"/>
                  <w:shd w:val="clear" w:color="auto" w:fill="auto"/>
                  <w:vAlign w:val="center"/>
                </w:tcPr>
                <w:p w14:paraId="2F5B073D">
                  <w:pPr>
                    <w:widowControl/>
                    <w:spacing w:line="300" w:lineRule="exact"/>
                    <w:jc w:val="center"/>
                    <w:rPr>
                      <w:color w:val="auto"/>
                      <w:szCs w:val="21"/>
                      <w:highlight w:val="none"/>
                    </w:rPr>
                  </w:pPr>
                  <w:r>
                    <w:rPr>
                      <w:rFonts w:hint="eastAsia"/>
                      <w:color w:val="auto"/>
                      <w:szCs w:val="21"/>
                      <w:highlight w:val="none"/>
                    </w:rPr>
                    <w:t>pH无量纲</w:t>
                  </w:r>
                </w:p>
              </w:tc>
              <w:tc>
                <w:tcPr>
                  <w:tcW w:w="1063" w:type="dxa"/>
                  <w:shd w:val="clear" w:color="auto" w:fill="auto"/>
                  <w:vAlign w:val="center"/>
                </w:tcPr>
                <w:p w14:paraId="4A401ABD">
                  <w:pPr>
                    <w:widowControl/>
                    <w:spacing w:line="300" w:lineRule="exact"/>
                    <w:jc w:val="center"/>
                    <w:rPr>
                      <w:color w:val="auto"/>
                      <w:szCs w:val="21"/>
                      <w:highlight w:val="none"/>
                    </w:rPr>
                  </w:pPr>
                  <w:r>
                    <w:rPr>
                      <w:rFonts w:hint="eastAsia"/>
                      <w:color w:val="auto"/>
                      <w:szCs w:val="21"/>
                      <w:highlight w:val="none"/>
                    </w:rPr>
                    <w:t>6~9</w:t>
                  </w:r>
                </w:p>
              </w:tc>
              <w:tc>
                <w:tcPr>
                  <w:tcW w:w="914" w:type="dxa"/>
                  <w:shd w:val="clear" w:color="auto" w:fill="auto"/>
                  <w:vAlign w:val="center"/>
                </w:tcPr>
                <w:p w14:paraId="16612F47">
                  <w:pPr>
                    <w:widowControl/>
                    <w:spacing w:line="300" w:lineRule="exact"/>
                    <w:jc w:val="center"/>
                    <w:rPr>
                      <w:color w:val="auto"/>
                      <w:szCs w:val="21"/>
                      <w:highlight w:val="none"/>
                    </w:rPr>
                  </w:pPr>
                  <w:r>
                    <w:rPr>
                      <w:rFonts w:hint="eastAsia"/>
                      <w:color w:val="auto"/>
                      <w:szCs w:val="21"/>
                      <w:highlight w:val="none"/>
                    </w:rPr>
                    <w:t>/</w:t>
                  </w:r>
                </w:p>
              </w:tc>
              <w:tc>
                <w:tcPr>
                  <w:tcW w:w="1389" w:type="dxa"/>
                  <w:vMerge w:val="restart"/>
                  <w:vAlign w:val="center"/>
                </w:tcPr>
                <w:p w14:paraId="789B3566">
                  <w:pPr>
                    <w:widowControl/>
                    <w:jc w:val="center"/>
                    <w:textAlignment w:val="center"/>
                    <w:rPr>
                      <w:color w:val="auto"/>
                      <w:kern w:val="0"/>
                      <w:szCs w:val="21"/>
                      <w:highlight w:val="none"/>
                      <w:lang w:bidi="ar"/>
                    </w:rPr>
                  </w:pPr>
                  <w:r>
                    <w:rPr>
                      <w:rFonts w:hint="eastAsia"/>
                      <w:color w:val="auto"/>
                      <w:kern w:val="0"/>
                      <w:szCs w:val="21"/>
                      <w:highlight w:val="none"/>
                      <w:lang w:bidi="ar"/>
                    </w:rPr>
                    <w:t>依托厨鼎已建化粪池，处理能力10m</w:t>
                  </w:r>
                  <w:r>
                    <w:rPr>
                      <w:rFonts w:hint="eastAsia"/>
                      <w:color w:val="auto"/>
                      <w:kern w:val="0"/>
                      <w:szCs w:val="21"/>
                      <w:highlight w:val="none"/>
                      <w:vertAlign w:val="superscript"/>
                      <w:lang w:bidi="ar"/>
                    </w:rPr>
                    <w:t>3</w:t>
                  </w:r>
                  <w:r>
                    <w:rPr>
                      <w:rFonts w:hint="eastAsia"/>
                      <w:color w:val="auto"/>
                      <w:kern w:val="0"/>
                      <w:szCs w:val="21"/>
                      <w:highlight w:val="none"/>
                      <w:lang w:bidi="ar"/>
                    </w:rPr>
                    <w:t>/d</w:t>
                  </w:r>
                </w:p>
              </w:tc>
              <w:tc>
                <w:tcPr>
                  <w:tcW w:w="1091" w:type="dxa"/>
                  <w:shd w:val="clear" w:color="auto" w:fill="auto"/>
                  <w:vAlign w:val="center"/>
                </w:tcPr>
                <w:p w14:paraId="12394753">
                  <w:pPr>
                    <w:widowControl/>
                    <w:spacing w:line="300" w:lineRule="exact"/>
                    <w:jc w:val="center"/>
                    <w:rPr>
                      <w:color w:val="auto"/>
                      <w:szCs w:val="21"/>
                      <w:highlight w:val="none"/>
                    </w:rPr>
                  </w:pPr>
                  <w:r>
                    <w:rPr>
                      <w:rFonts w:hint="eastAsia"/>
                      <w:color w:val="auto"/>
                      <w:szCs w:val="21"/>
                      <w:highlight w:val="none"/>
                    </w:rPr>
                    <w:t>6~9</w:t>
                  </w:r>
                </w:p>
              </w:tc>
              <w:tc>
                <w:tcPr>
                  <w:tcW w:w="929" w:type="dxa"/>
                  <w:shd w:val="clear" w:color="auto" w:fill="auto"/>
                  <w:vAlign w:val="center"/>
                </w:tcPr>
                <w:p w14:paraId="6B2C7B44">
                  <w:pPr>
                    <w:widowControl/>
                    <w:spacing w:line="300" w:lineRule="exact"/>
                    <w:jc w:val="center"/>
                    <w:rPr>
                      <w:color w:val="auto"/>
                      <w:szCs w:val="21"/>
                      <w:highlight w:val="none"/>
                    </w:rPr>
                  </w:pPr>
                  <w:r>
                    <w:rPr>
                      <w:rFonts w:hint="eastAsia"/>
                      <w:color w:val="auto"/>
                      <w:szCs w:val="21"/>
                      <w:highlight w:val="none"/>
                    </w:rPr>
                    <w:t>/</w:t>
                  </w:r>
                </w:p>
              </w:tc>
              <w:tc>
                <w:tcPr>
                  <w:tcW w:w="1847" w:type="dxa"/>
                  <w:vMerge w:val="restart"/>
                  <w:vAlign w:val="center"/>
                </w:tcPr>
                <w:p w14:paraId="7F1B70F4">
                  <w:pPr>
                    <w:widowControl/>
                    <w:jc w:val="center"/>
                    <w:textAlignment w:val="center"/>
                    <w:rPr>
                      <w:color w:val="auto"/>
                      <w:kern w:val="0"/>
                      <w:szCs w:val="21"/>
                      <w:highlight w:val="none"/>
                      <w:lang w:bidi="ar"/>
                    </w:rPr>
                  </w:pPr>
                  <w:r>
                    <w:rPr>
                      <w:rFonts w:hint="eastAsia"/>
                      <w:color w:val="auto"/>
                      <w:kern w:val="0"/>
                      <w:szCs w:val="21"/>
                      <w:highlight w:val="none"/>
                      <w:lang w:bidi="ar"/>
                    </w:rPr>
                    <w:t>龙市镇工业污水处理厂</w:t>
                  </w:r>
                </w:p>
              </w:tc>
              <w:tc>
                <w:tcPr>
                  <w:tcW w:w="1091" w:type="dxa"/>
                  <w:shd w:val="clear" w:color="auto" w:fill="auto"/>
                  <w:vAlign w:val="center"/>
                </w:tcPr>
                <w:p w14:paraId="3B47AE97">
                  <w:pPr>
                    <w:widowControl/>
                    <w:spacing w:line="300" w:lineRule="exact"/>
                    <w:jc w:val="center"/>
                    <w:rPr>
                      <w:color w:val="auto"/>
                      <w:szCs w:val="21"/>
                      <w:highlight w:val="none"/>
                    </w:rPr>
                  </w:pPr>
                  <w:r>
                    <w:rPr>
                      <w:rFonts w:hint="eastAsia"/>
                      <w:color w:val="auto"/>
                      <w:szCs w:val="21"/>
                      <w:highlight w:val="none"/>
                    </w:rPr>
                    <w:t>6~9</w:t>
                  </w:r>
                </w:p>
              </w:tc>
              <w:tc>
                <w:tcPr>
                  <w:tcW w:w="900" w:type="dxa"/>
                  <w:shd w:val="clear" w:color="auto" w:fill="auto"/>
                  <w:vAlign w:val="center"/>
                </w:tcPr>
                <w:p w14:paraId="202A5574">
                  <w:pPr>
                    <w:widowControl/>
                    <w:spacing w:line="300" w:lineRule="exact"/>
                    <w:jc w:val="center"/>
                    <w:rPr>
                      <w:color w:val="auto"/>
                      <w:szCs w:val="21"/>
                      <w:highlight w:val="none"/>
                    </w:rPr>
                  </w:pPr>
                  <w:r>
                    <w:rPr>
                      <w:rFonts w:hint="eastAsia"/>
                      <w:color w:val="auto"/>
                      <w:szCs w:val="21"/>
                      <w:highlight w:val="none"/>
                    </w:rPr>
                    <w:t>/</w:t>
                  </w:r>
                </w:p>
              </w:tc>
            </w:tr>
            <w:tr w14:paraId="4093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26" w:type="dxa"/>
                  <w:vMerge w:val="continue"/>
                  <w:vAlign w:val="center"/>
                </w:tcPr>
                <w:p w14:paraId="31ECD9DF">
                  <w:pPr>
                    <w:widowControl/>
                    <w:spacing w:line="300" w:lineRule="exact"/>
                    <w:jc w:val="center"/>
                    <w:rPr>
                      <w:color w:val="auto"/>
                      <w:szCs w:val="21"/>
                      <w:highlight w:val="none"/>
                    </w:rPr>
                  </w:pPr>
                </w:p>
              </w:tc>
              <w:tc>
                <w:tcPr>
                  <w:tcW w:w="426" w:type="dxa"/>
                  <w:vMerge w:val="continue"/>
                  <w:vAlign w:val="center"/>
                </w:tcPr>
                <w:p w14:paraId="69AC8CEA">
                  <w:pPr>
                    <w:widowControl/>
                    <w:spacing w:line="300" w:lineRule="exact"/>
                    <w:jc w:val="center"/>
                    <w:rPr>
                      <w:color w:val="auto"/>
                      <w:szCs w:val="21"/>
                      <w:highlight w:val="none"/>
                    </w:rPr>
                  </w:pPr>
                </w:p>
              </w:tc>
              <w:tc>
                <w:tcPr>
                  <w:tcW w:w="1052" w:type="dxa"/>
                  <w:vMerge w:val="continue"/>
                  <w:vAlign w:val="center"/>
                </w:tcPr>
                <w:p w14:paraId="5969EB62">
                  <w:pPr>
                    <w:widowControl/>
                    <w:spacing w:line="300" w:lineRule="exact"/>
                    <w:jc w:val="center"/>
                    <w:rPr>
                      <w:color w:val="auto"/>
                      <w:szCs w:val="21"/>
                      <w:highlight w:val="none"/>
                    </w:rPr>
                  </w:pPr>
                </w:p>
              </w:tc>
              <w:tc>
                <w:tcPr>
                  <w:tcW w:w="1208" w:type="dxa"/>
                  <w:shd w:val="clear" w:color="auto" w:fill="auto"/>
                  <w:vAlign w:val="center"/>
                </w:tcPr>
                <w:p w14:paraId="63398DE9">
                  <w:pPr>
                    <w:widowControl/>
                    <w:spacing w:line="300" w:lineRule="exact"/>
                    <w:jc w:val="center"/>
                    <w:rPr>
                      <w:rFonts w:ascii="宋体" w:hAnsi="宋体" w:cs="宋体"/>
                      <w:color w:val="auto"/>
                      <w:kern w:val="0"/>
                      <w:szCs w:val="21"/>
                      <w:highlight w:val="none"/>
                      <w:lang w:bidi="ar"/>
                    </w:rPr>
                  </w:pPr>
                  <w:r>
                    <w:rPr>
                      <w:rFonts w:hint="eastAsia"/>
                      <w:color w:val="auto"/>
                      <w:szCs w:val="21"/>
                      <w:highlight w:val="none"/>
                    </w:rPr>
                    <w:t>COD</w:t>
                  </w:r>
                </w:p>
              </w:tc>
              <w:tc>
                <w:tcPr>
                  <w:tcW w:w="1063" w:type="dxa"/>
                  <w:shd w:val="clear" w:color="auto" w:fill="auto"/>
                  <w:vAlign w:val="center"/>
                </w:tcPr>
                <w:p w14:paraId="35A38A8F">
                  <w:pPr>
                    <w:widowControl/>
                    <w:jc w:val="center"/>
                    <w:textAlignment w:val="center"/>
                    <w:rPr>
                      <w:color w:val="auto"/>
                      <w:kern w:val="0"/>
                      <w:szCs w:val="21"/>
                      <w:highlight w:val="none"/>
                      <w:lang w:bidi="ar"/>
                    </w:rPr>
                  </w:pPr>
                  <w:r>
                    <w:rPr>
                      <w:color w:val="auto"/>
                      <w:kern w:val="0"/>
                      <w:szCs w:val="21"/>
                      <w:highlight w:val="none"/>
                      <w:lang w:bidi="ar"/>
                    </w:rPr>
                    <w:t xml:space="preserve">400 </w:t>
                  </w:r>
                </w:p>
              </w:tc>
              <w:tc>
                <w:tcPr>
                  <w:tcW w:w="914" w:type="dxa"/>
                  <w:shd w:val="clear" w:color="auto" w:fill="auto"/>
                  <w:vAlign w:val="center"/>
                </w:tcPr>
                <w:p w14:paraId="1AD56C57">
                  <w:pPr>
                    <w:widowControl/>
                    <w:jc w:val="center"/>
                    <w:textAlignment w:val="center"/>
                    <w:rPr>
                      <w:color w:val="auto"/>
                      <w:kern w:val="0"/>
                      <w:szCs w:val="21"/>
                      <w:highlight w:val="none"/>
                      <w:lang w:bidi="ar"/>
                    </w:rPr>
                  </w:pPr>
                  <w:r>
                    <w:rPr>
                      <w:color w:val="auto"/>
                      <w:kern w:val="0"/>
                      <w:szCs w:val="21"/>
                      <w:highlight w:val="none"/>
                      <w:lang w:bidi="ar"/>
                    </w:rPr>
                    <w:t xml:space="preserve">0.020 </w:t>
                  </w:r>
                </w:p>
              </w:tc>
              <w:tc>
                <w:tcPr>
                  <w:tcW w:w="1389" w:type="dxa"/>
                  <w:vMerge w:val="continue"/>
                  <w:vAlign w:val="center"/>
                </w:tcPr>
                <w:p w14:paraId="7E4D4598">
                  <w:pPr>
                    <w:widowControl/>
                    <w:jc w:val="center"/>
                    <w:textAlignment w:val="center"/>
                    <w:rPr>
                      <w:color w:val="auto"/>
                      <w:kern w:val="0"/>
                      <w:szCs w:val="21"/>
                      <w:highlight w:val="none"/>
                      <w:lang w:bidi="ar"/>
                    </w:rPr>
                  </w:pPr>
                </w:p>
              </w:tc>
              <w:tc>
                <w:tcPr>
                  <w:tcW w:w="1091" w:type="dxa"/>
                  <w:shd w:val="clear" w:color="auto" w:fill="auto"/>
                  <w:vAlign w:val="center"/>
                </w:tcPr>
                <w:p w14:paraId="472C4EB1">
                  <w:pPr>
                    <w:widowControl/>
                    <w:jc w:val="center"/>
                    <w:textAlignment w:val="center"/>
                    <w:rPr>
                      <w:color w:val="auto"/>
                      <w:kern w:val="0"/>
                      <w:szCs w:val="21"/>
                      <w:highlight w:val="none"/>
                      <w:lang w:bidi="ar"/>
                    </w:rPr>
                  </w:pPr>
                  <w:r>
                    <w:rPr>
                      <w:color w:val="auto"/>
                      <w:kern w:val="0"/>
                      <w:szCs w:val="21"/>
                      <w:highlight w:val="none"/>
                      <w:lang w:bidi="ar"/>
                    </w:rPr>
                    <w:t xml:space="preserve">400 </w:t>
                  </w:r>
                </w:p>
              </w:tc>
              <w:tc>
                <w:tcPr>
                  <w:tcW w:w="929" w:type="dxa"/>
                  <w:shd w:val="clear" w:color="auto" w:fill="auto"/>
                  <w:vAlign w:val="center"/>
                </w:tcPr>
                <w:p w14:paraId="31A9292B">
                  <w:pPr>
                    <w:widowControl/>
                    <w:jc w:val="center"/>
                    <w:textAlignment w:val="center"/>
                    <w:rPr>
                      <w:color w:val="auto"/>
                      <w:kern w:val="0"/>
                      <w:szCs w:val="21"/>
                      <w:highlight w:val="none"/>
                      <w:lang w:bidi="ar"/>
                    </w:rPr>
                  </w:pPr>
                  <w:r>
                    <w:rPr>
                      <w:color w:val="auto"/>
                      <w:kern w:val="0"/>
                      <w:szCs w:val="21"/>
                      <w:highlight w:val="none"/>
                      <w:lang w:bidi="ar"/>
                    </w:rPr>
                    <w:t xml:space="preserve">0.020 </w:t>
                  </w:r>
                </w:p>
              </w:tc>
              <w:tc>
                <w:tcPr>
                  <w:tcW w:w="1847" w:type="dxa"/>
                  <w:vMerge w:val="continue"/>
                  <w:vAlign w:val="center"/>
                </w:tcPr>
                <w:p w14:paraId="4D7979DD">
                  <w:pPr>
                    <w:widowControl/>
                    <w:jc w:val="center"/>
                    <w:textAlignment w:val="center"/>
                    <w:rPr>
                      <w:color w:val="auto"/>
                      <w:kern w:val="0"/>
                      <w:szCs w:val="21"/>
                      <w:highlight w:val="none"/>
                      <w:lang w:bidi="ar"/>
                    </w:rPr>
                  </w:pPr>
                </w:p>
              </w:tc>
              <w:tc>
                <w:tcPr>
                  <w:tcW w:w="1091" w:type="dxa"/>
                  <w:shd w:val="clear" w:color="auto" w:fill="auto"/>
                  <w:vAlign w:val="center"/>
                </w:tcPr>
                <w:p w14:paraId="5C25C1B1">
                  <w:pPr>
                    <w:widowControl/>
                    <w:jc w:val="center"/>
                    <w:textAlignment w:val="center"/>
                    <w:rPr>
                      <w:color w:val="auto"/>
                      <w:kern w:val="0"/>
                      <w:szCs w:val="21"/>
                      <w:highlight w:val="none"/>
                      <w:lang w:bidi="ar"/>
                    </w:rPr>
                  </w:pPr>
                  <w:r>
                    <w:rPr>
                      <w:color w:val="auto"/>
                      <w:kern w:val="0"/>
                      <w:szCs w:val="21"/>
                      <w:highlight w:val="none"/>
                      <w:lang w:bidi="ar"/>
                    </w:rPr>
                    <w:t>50</w:t>
                  </w:r>
                </w:p>
              </w:tc>
              <w:tc>
                <w:tcPr>
                  <w:tcW w:w="900" w:type="dxa"/>
                  <w:shd w:val="clear" w:color="auto" w:fill="auto"/>
                  <w:vAlign w:val="center"/>
                </w:tcPr>
                <w:p w14:paraId="200AF30B">
                  <w:pPr>
                    <w:widowControl/>
                    <w:jc w:val="center"/>
                    <w:textAlignment w:val="center"/>
                    <w:rPr>
                      <w:color w:val="auto"/>
                      <w:kern w:val="0"/>
                      <w:szCs w:val="21"/>
                      <w:highlight w:val="none"/>
                      <w:lang w:bidi="ar"/>
                    </w:rPr>
                  </w:pPr>
                  <w:r>
                    <w:rPr>
                      <w:color w:val="auto"/>
                      <w:kern w:val="0"/>
                      <w:szCs w:val="21"/>
                      <w:highlight w:val="none"/>
                      <w:lang w:bidi="ar"/>
                    </w:rPr>
                    <w:t xml:space="preserve">0.003 </w:t>
                  </w:r>
                </w:p>
              </w:tc>
            </w:tr>
            <w:tr w14:paraId="0F14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6413CAA8">
                  <w:pPr>
                    <w:widowControl/>
                    <w:spacing w:line="300" w:lineRule="exact"/>
                    <w:jc w:val="center"/>
                    <w:rPr>
                      <w:color w:val="auto"/>
                      <w:szCs w:val="21"/>
                      <w:highlight w:val="none"/>
                    </w:rPr>
                  </w:pPr>
                </w:p>
              </w:tc>
              <w:tc>
                <w:tcPr>
                  <w:tcW w:w="426" w:type="dxa"/>
                  <w:vMerge w:val="continue"/>
                  <w:vAlign w:val="center"/>
                </w:tcPr>
                <w:p w14:paraId="7F62E094">
                  <w:pPr>
                    <w:widowControl/>
                    <w:spacing w:line="300" w:lineRule="exact"/>
                    <w:jc w:val="center"/>
                    <w:rPr>
                      <w:color w:val="auto"/>
                      <w:szCs w:val="21"/>
                      <w:highlight w:val="none"/>
                    </w:rPr>
                  </w:pPr>
                </w:p>
              </w:tc>
              <w:tc>
                <w:tcPr>
                  <w:tcW w:w="1052" w:type="dxa"/>
                  <w:vMerge w:val="continue"/>
                  <w:vAlign w:val="center"/>
                </w:tcPr>
                <w:p w14:paraId="377DB85E">
                  <w:pPr>
                    <w:widowControl/>
                    <w:spacing w:line="300" w:lineRule="exact"/>
                    <w:jc w:val="center"/>
                    <w:rPr>
                      <w:color w:val="auto"/>
                      <w:szCs w:val="21"/>
                      <w:highlight w:val="none"/>
                    </w:rPr>
                  </w:pPr>
                </w:p>
              </w:tc>
              <w:tc>
                <w:tcPr>
                  <w:tcW w:w="1208" w:type="dxa"/>
                  <w:vAlign w:val="center"/>
                </w:tcPr>
                <w:p w14:paraId="39961960">
                  <w:pPr>
                    <w:widowControl/>
                    <w:spacing w:line="300" w:lineRule="exact"/>
                    <w:jc w:val="center"/>
                    <w:rPr>
                      <w:color w:val="auto"/>
                      <w:szCs w:val="21"/>
                      <w:highlight w:val="none"/>
                    </w:rPr>
                  </w:pPr>
                  <w:r>
                    <w:rPr>
                      <w:rFonts w:hint="eastAsia"/>
                      <w:color w:val="auto"/>
                      <w:szCs w:val="21"/>
                      <w:highlight w:val="none"/>
                    </w:rPr>
                    <w:t>BOD</w:t>
                  </w:r>
                  <w:r>
                    <w:rPr>
                      <w:rFonts w:hint="eastAsia"/>
                      <w:color w:val="auto"/>
                      <w:szCs w:val="21"/>
                      <w:highlight w:val="none"/>
                      <w:vertAlign w:val="subscript"/>
                    </w:rPr>
                    <w:t>5</w:t>
                  </w:r>
                </w:p>
              </w:tc>
              <w:tc>
                <w:tcPr>
                  <w:tcW w:w="1063" w:type="dxa"/>
                  <w:vAlign w:val="center"/>
                </w:tcPr>
                <w:p w14:paraId="66113548">
                  <w:pPr>
                    <w:widowControl/>
                    <w:jc w:val="center"/>
                    <w:textAlignment w:val="center"/>
                    <w:rPr>
                      <w:color w:val="auto"/>
                      <w:szCs w:val="21"/>
                      <w:highlight w:val="none"/>
                    </w:rPr>
                  </w:pPr>
                  <w:r>
                    <w:rPr>
                      <w:color w:val="auto"/>
                      <w:kern w:val="0"/>
                      <w:szCs w:val="21"/>
                      <w:highlight w:val="none"/>
                      <w:lang w:bidi="ar"/>
                    </w:rPr>
                    <w:t xml:space="preserve">300 </w:t>
                  </w:r>
                </w:p>
              </w:tc>
              <w:tc>
                <w:tcPr>
                  <w:tcW w:w="914" w:type="dxa"/>
                  <w:vAlign w:val="center"/>
                </w:tcPr>
                <w:p w14:paraId="0BF99A3A">
                  <w:pPr>
                    <w:widowControl/>
                    <w:jc w:val="center"/>
                    <w:textAlignment w:val="center"/>
                    <w:rPr>
                      <w:color w:val="auto"/>
                      <w:szCs w:val="21"/>
                      <w:highlight w:val="none"/>
                    </w:rPr>
                  </w:pPr>
                  <w:r>
                    <w:rPr>
                      <w:color w:val="auto"/>
                      <w:kern w:val="0"/>
                      <w:szCs w:val="21"/>
                      <w:highlight w:val="none"/>
                      <w:lang w:bidi="ar"/>
                    </w:rPr>
                    <w:t xml:space="preserve">0.015 </w:t>
                  </w:r>
                </w:p>
              </w:tc>
              <w:tc>
                <w:tcPr>
                  <w:tcW w:w="1389" w:type="dxa"/>
                  <w:vMerge w:val="continue"/>
                  <w:vAlign w:val="center"/>
                </w:tcPr>
                <w:p w14:paraId="4E10F2BC">
                  <w:pPr>
                    <w:widowControl/>
                    <w:jc w:val="center"/>
                    <w:textAlignment w:val="center"/>
                    <w:rPr>
                      <w:color w:val="auto"/>
                      <w:kern w:val="0"/>
                      <w:szCs w:val="21"/>
                      <w:highlight w:val="none"/>
                      <w:lang w:bidi="ar"/>
                    </w:rPr>
                  </w:pPr>
                </w:p>
              </w:tc>
              <w:tc>
                <w:tcPr>
                  <w:tcW w:w="1091" w:type="dxa"/>
                  <w:vAlign w:val="center"/>
                </w:tcPr>
                <w:p w14:paraId="787DFB58">
                  <w:pPr>
                    <w:widowControl/>
                    <w:jc w:val="center"/>
                    <w:textAlignment w:val="center"/>
                    <w:rPr>
                      <w:color w:val="auto"/>
                      <w:kern w:val="0"/>
                      <w:szCs w:val="21"/>
                      <w:highlight w:val="none"/>
                      <w:lang w:bidi="ar"/>
                    </w:rPr>
                  </w:pPr>
                  <w:r>
                    <w:rPr>
                      <w:color w:val="auto"/>
                      <w:kern w:val="0"/>
                      <w:szCs w:val="21"/>
                      <w:highlight w:val="none"/>
                      <w:lang w:bidi="ar"/>
                    </w:rPr>
                    <w:t xml:space="preserve">300 </w:t>
                  </w:r>
                </w:p>
              </w:tc>
              <w:tc>
                <w:tcPr>
                  <w:tcW w:w="929" w:type="dxa"/>
                  <w:vAlign w:val="center"/>
                </w:tcPr>
                <w:p w14:paraId="1B8E3E25">
                  <w:pPr>
                    <w:widowControl/>
                    <w:jc w:val="center"/>
                    <w:textAlignment w:val="center"/>
                    <w:rPr>
                      <w:color w:val="auto"/>
                      <w:kern w:val="0"/>
                      <w:szCs w:val="21"/>
                      <w:highlight w:val="none"/>
                      <w:lang w:bidi="ar"/>
                    </w:rPr>
                  </w:pPr>
                  <w:r>
                    <w:rPr>
                      <w:color w:val="auto"/>
                      <w:kern w:val="0"/>
                      <w:szCs w:val="21"/>
                      <w:highlight w:val="none"/>
                      <w:lang w:bidi="ar"/>
                    </w:rPr>
                    <w:t xml:space="preserve">0.015 </w:t>
                  </w:r>
                </w:p>
              </w:tc>
              <w:tc>
                <w:tcPr>
                  <w:tcW w:w="1847" w:type="dxa"/>
                  <w:vMerge w:val="continue"/>
                  <w:vAlign w:val="center"/>
                </w:tcPr>
                <w:p w14:paraId="4191005A">
                  <w:pPr>
                    <w:widowControl/>
                    <w:jc w:val="center"/>
                    <w:textAlignment w:val="center"/>
                    <w:rPr>
                      <w:color w:val="auto"/>
                      <w:kern w:val="0"/>
                      <w:szCs w:val="21"/>
                      <w:highlight w:val="none"/>
                      <w:lang w:bidi="ar"/>
                    </w:rPr>
                  </w:pPr>
                </w:p>
              </w:tc>
              <w:tc>
                <w:tcPr>
                  <w:tcW w:w="1091" w:type="dxa"/>
                  <w:vAlign w:val="center"/>
                </w:tcPr>
                <w:p w14:paraId="7EC9E4FA">
                  <w:pPr>
                    <w:widowControl/>
                    <w:jc w:val="center"/>
                    <w:textAlignment w:val="center"/>
                    <w:rPr>
                      <w:color w:val="auto"/>
                      <w:kern w:val="0"/>
                      <w:szCs w:val="21"/>
                      <w:highlight w:val="none"/>
                      <w:lang w:bidi="ar"/>
                    </w:rPr>
                  </w:pPr>
                  <w:r>
                    <w:rPr>
                      <w:color w:val="auto"/>
                      <w:kern w:val="0"/>
                      <w:szCs w:val="21"/>
                      <w:highlight w:val="none"/>
                      <w:lang w:bidi="ar"/>
                    </w:rPr>
                    <w:t>10</w:t>
                  </w:r>
                </w:p>
              </w:tc>
              <w:tc>
                <w:tcPr>
                  <w:tcW w:w="900" w:type="dxa"/>
                  <w:vAlign w:val="center"/>
                </w:tcPr>
                <w:p w14:paraId="4F7C5196">
                  <w:pPr>
                    <w:widowControl/>
                    <w:jc w:val="center"/>
                    <w:textAlignment w:val="center"/>
                    <w:rPr>
                      <w:color w:val="auto"/>
                      <w:kern w:val="0"/>
                      <w:szCs w:val="21"/>
                      <w:highlight w:val="none"/>
                      <w:lang w:bidi="ar"/>
                    </w:rPr>
                  </w:pPr>
                  <w:r>
                    <w:rPr>
                      <w:color w:val="auto"/>
                      <w:kern w:val="0"/>
                      <w:szCs w:val="21"/>
                      <w:highlight w:val="none"/>
                      <w:lang w:bidi="ar"/>
                    </w:rPr>
                    <w:t xml:space="preserve">0.001 </w:t>
                  </w:r>
                </w:p>
              </w:tc>
            </w:tr>
            <w:tr w14:paraId="4726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1A5DA413">
                  <w:pPr>
                    <w:widowControl/>
                    <w:spacing w:line="300" w:lineRule="exact"/>
                    <w:jc w:val="center"/>
                    <w:rPr>
                      <w:color w:val="auto"/>
                      <w:szCs w:val="21"/>
                      <w:highlight w:val="none"/>
                    </w:rPr>
                  </w:pPr>
                </w:p>
              </w:tc>
              <w:tc>
                <w:tcPr>
                  <w:tcW w:w="426" w:type="dxa"/>
                  <w:vMerge w:val="continue"/>
                  <w:vAlign w:val="center"/>
                </w:tcPr>
                <w:p w14:paraId="41C51817">
                  <w:pPr>
                    <w:widowControl/>
                    <w:spacing w:line="300" w:lineRule="exact"/>
                    <w:jc w:val="center"/>
                    <w:rPr>
                      <w:color w:val="auto"/>
                      <w:szCs w:val="21"/>
                      <w:highlight w:val="none"/>
                    </w:rPr>
                  </w:pPr>
                </w:p>
              </w:tc>
              <w:tc>
                <w:tcPr>
                  <w:tcW w:w="1052" w:type="dxa"/>
                  <w:vMerge w:val="continue"/>
                  <w:vAlign w:val="center"/>
                </w:tcPr>
                <w:p w14:paraId="79458FEA">
                  <w:pPr>
                    <w:widowControl/>
                    <w:spacing w:line="300" w:lineRule="exact"/>
                    <w:jc w:val="center"/>
                    <w:rPr>
                      <w:color w:val="auto"/>
                      <w:szCs w:val="21"/>
                      <w:highlight w:val="none"/>
                    </w:rPr>
                  </w:pPr>
                </w:p>
              </w:tc>
              <w:tc>
                <w:tcPr>
                  <w:tcW w:w="1208" w:type="dxa"/>
                  <w:vAlign w:val="center"/>
                </w:tcPr>
                <w:p w14:paraId="333DE4BC">
                  <w:pPr>
                    <w:widowControl/>
                    <w:spacing w:line="300" w:lineRule="exact"/>
                    <w:jc w:val="center"/>
                    <w:rPr>
                      <w:color w:val="auto"/>
                      <w:szCs w:val="21"/>
                      <w:highlight w:val="none"/>
                    </w:rPr>
                  </w:pPr>
                  <w:r>
                    <w:rPr>
                      <w:rFonts w:hint="eastAsia"/>
                      <w:color w:val="auto"/>
                      <w:szCs w:val="21"/>
                      <w:highlight w:val="none"/>
                    </w:rPr>
                    <w:t>SS</w:t>
                  </w:r>
                </w:p>
              </w:tc>
              <w:tc>
                <w:tcPr>
                  <w:tcW w:w="1063" w:type="dxa"/>
                  <w:vAlign w:val="center"/>
                </w:tcPr>
                <w:p w14:paraId="25A7EA1E">
                  <w:pPr>
                    <w:widowControl/>
                    <w:jc w:val="center"/>
                    <w:textAlignment w:val="center"/>
                    <w:rPr>
                      <w:color w:val="auto"/>
                      <w:szCs w:val="21"/>
                      <w:highlight w:val="none"/>
                    </w:rPr>
                  </w:pPr>
                  <w:r>
                    <w:rPr>
                      <w:color w:val="auto"/>
                      <w:kern w:val="0"/>
                      <w:szCs w:val="21"/>
                      <w:highlight w:val="none"/>
                      <w:lang w:bidi="ar"/>
                    </w:rPr>
                    <w:t xml:space="preserve">200 </w:t>
                  </w:r>
                </w:p>
              </w:tc>
              <w:tc>
                <w:tcPr>
                  <w:tcW w:w="914" w:type="dxa"/>
                  <w:vAlign w:val="center"/>
                </w:tcPr>
                <w:p w14:paraId="1B0B3229">
                  <w:pPr>
                    <w:widowControl/>
                    <w:jc w:val="center"/>
                    <w:textAlignment w:val="center"/>
                    <w:rPr>
                      <w:color w:val="auto"/>
                      <w:szCs w:val="21"/>
                      <w:highlight w:val="none"/>
                    </w:rPr>
                  </w:pPr>
                  <w:r>
                    <w:rPr>
                      <w:color w:val="auto"/>
                      <w:kern w:val="0"/>
                      <w:szCs w:val="21"/>
                      <w:highlight w:val="none"/>
                      <w:lang w:bidi="ar"/>
                    </w:rPr>
                    <w:t xml:space="preserve">0.010 </w:t>
                  </w:r>
                </w:p>
              </w:tc>
              <w:tc>
                <w:tcPr>
                  <w:tcW w:w="1389" w:type="dxa"/>
                  <w:vMerge w:val="continue"/>
                  <w:vAlign w:val="center"/>
                </w:tcPr>
                <w:p w14:paraId="15AE83DC">
                  <w:pPr>
                    <w:widowControl/>
                    <w:jc w:val="center"/>
                    <w:textAlignment w:val="center"/>
                    <w:rPr>
                      <w:color w:val="auto"/>
                      <w:kern w:val="0"/>
                      <w:szCs w:val="21"/>
                      <w:highlight w:val="none"/>
                      <w:lang w:bidi="ar"/>
                    </w:rPr>
                  </w:pPr>
                </w:p>
              </w:tc>
              <w:tc>
                <w:tcPr>
                  <w:tcW w:w="1091" w:type="dxa"/>
                  <w:vAlign w:val="center"/>
                </w:tcPr>
                <w:p w14:paraId="1647F22A">
                  <w:pPr>
                    <w:widowControl/>
                    <w:jc w:val="center"/>
                    <w:textAlignment w:val="center"/>
                    <w:rPr>
                      <w:color w:val="auto"/>
                      <w:kern w:val="0"/>
                      <w:szCs w:val="21"/>
                      <w:highlight w:val="none"/>
                      <w:lang w:bidi="ar"/>
                    </w:rPr>
                  </w:pPr>
                  <w:r>
                    <w:rPr>
                      <w:color w:val="auto"/>
                      <w:kern w:val="0"/>
                      <w:szCs w:val="21"/>
                      <w:highlight w:val="none"/>
                      <w:lang w:bidi="ar"/>
                    </w:rPr>
                    <w:t xml:space="preserve">200 </w:t>
                  </w:r>
                </w:p>
              </w:tc>
              <w:tc>
                <w:tcPr>
                  <w:tcW w:w="929" w:type="dxa"/>
                  <w:vAlign w:val="center"/>
                </w:tcPr>
                <w:p w14:paraId="235B2040">
                  <w:pPr>
                    <w:widowControl/>
                    <w:jc w:val="center"/>
                    <w:textAlignment w:val="center"/>
                    <w:rPr>
                      <w:color w:val="auto"/>
                      <w:kern w:val="0"/>
                      <w:szCs w:val="21"/>
                      <w:highlight w:val="none"/>
                      <w:lang w:bidi="ar"/>
                    </w:rPr>
                  </w:pPr>
                  <w:r>
                    <w:rPr>
                      <w:color w:val="auto"/>
                      <w:kern w:val="0"/>
                      <w:szCs w:val="21"/>
                      <w:highlight w:val="none"/>
                      <w:lang w:bidi="ar"/>
                    </w:rPr>
                    <w:t xml:space="preserve">0.010 </w:t>
                  </w:r>
                </w:p>
              </w:tc>
              <w:tc>
                <w:tcPr>
                  <w:tcW w:w="1847" w:type="dxa"/>
                  <w:vMerge w:val="continue"/>
                  <w:vAlign w:val="center"/>
                </w:tcPr>
                <w:p w14:paraId="6B6DB537">
                  <w:pPr>
                    <w:widowControl/>
                    <w:jc w:val="center"/>
                    <w:textAlignment w:val="center"/>
                    <w:rPr>
                      <w:color w:val="auto"/>
                      <w:kern w:val="0"/>
                      <w:szCs w:val="21"/>
                      <w:highlight w:val="none"/>
                      <w:lang w:bidi="ar"/>
                    </w:rPr>
                  </w:pPr>
                </w:p>
              </w:tc>
              <w:tc>
                <w:tcPr>
                  <w:tcW w:w="1091" w:type="dxa"/>
                  <w:vAlign w:val="center"/>
                </w:tcPr>
                <w:p w14:paraId="24DFCADE">
                  <w:pPr>
                    <w:widowControl/>
                    <w:jc w:val="center"/>
                    <w:textAlignment w:val="center"/>
                    <w:rPr>
                      <w:color w:val="auto"/>
                      <w:kern w:val="0"/>
                      <w:szCs w:val="21"/>
                      <w:highlight w:val="none"/>
                      <w:lang w:bidi="ar"/>
                    </w:rPr>
                  </w:pPr>
                  <w:r>
                    <w:rPr>
                      <w:color w:val="auto"/>
                      <w:kern w:val="0"/>
                      <w:szCs w:val="21"/>
                      <w:highlight w:val="none"/>
                      <w:lang w:bidi="ar"/>
                    </w:rPr>
                    <w:t>10</w:t>
                  </w:r>
                </w:p>
              </w:tc>
              <w:tc>
                <w:tcPr>
                  <w:tcW w:w="900" w:type="dxa"/>
                  <w:vAlign w:val="center"/>
                </w:tcPr>
                <w:p w14:paraId="33CFFBC4">
                  <w:pPr>
                    <w:widowControl/>
                    <w:jc w:val="center"/>
                    <w:textAlignment w:val="center"/>
                    <w:rPr>
                      <w:color w:val="auto"/>
                      <w:kern w:val="0"/>
                      <w:szCs w:val="21"/>
                      <w:highlight w:val="none"/>
                      <w:lang w:bidi="ar"/>
                    </w:rPr>
                  </w:pPr>
                  <w:r>
                    <w:rPr>
                      <w:color w:val="auto"/>
                      <w:kern w:val="0"/>
                      <w:szCs w:val="21"/>
                      <w:highlight w:val="none"/>
                      <w:lang w:bidi="ar"/>
                    </w:rPr>
                    <w:t xml:space="preserve">0.001 </w:t>
                  </w:r>
                </w:p>
              </w:tc>
            </w:tr>
            <w:tr w14:paraId="6AD1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55AED541">
                  <w:pPr>
                    <w:widowControl/>
                    <w:spacing w:line="300" w:lineRule="exact"/>
                    <w:jc w:val="center"/>
                    <w:rPr>
                      <w:color w:val="auto"/>
                      <w:szCs w:val="21"/>
                      <w:highlight w:val="none"/>
                    </w:rPr>
                  </w:pPr>
                </w:p>
              </w:tc>
              <w:tc>
                <w:tcPr>
                  <w:tcW w:w="426" w:type="dxa"/>
                  <w:vMerge w:val="continue"/>
                  <w:vAlign w:val="center"/>
                </w:tcPr>
                <w:p w14:paraId="2448B1A8">
                  <w:pPr>
                    <w:widowControl/>
                    <w:spacing w:line="300" w:lineRule="exact"/>
                    <w:jc w:val="center"/>
                    <w:rPr>
                      <w:color w:val="auto"/>
                      <w:szCs w:val="21"/>
                      <w:highlight w:val="none"/>
                    </w:rPr>
                  </w:pPr>
                </w:p>
              </w:tc>
              <w:tc>
                <w:tcPr>
                  <w:tcW w:w="1052" w:type="dxa"/>
                  <w:vMerge w:val="continue"/>
                  <w:vAlign w:val="center"/>
                </w:tcPr>
                <w:p w14:paraId="3872D280">
                  <w:pPr>
                    <w:widowControl/>
                    <w:spacing w:line="300" w:lineRule="exact"/>
                    <w:jc w:val="center"/>
                    <w:rPr>
                      <w:color w:val="auto"/>
                      <w:szCs w:val="21"/>
                      <w:highlight w:val="none"/>
                    </w:rPr>
                  </w:pPr>
                </w:p>
              </w:tc>
              <w:tc>
                <w:tcPr>
                  <w:tcW w:w="1208" w:type="dxa"/>
                  <w:vAlign w:val="center"/>
                </w:tcPr>
                <w:p w14:paraId="063ABAE9">
                  <w:pPr>
                    <w:widowControl/>
                    <w:spacing w:line="300" w:lineRule="exact"/>
                    <w:jc w:val="center"/>
                    <w:rPr>
                      <w:color w:val="auto"/>
                      <w:szCs w:val="21"/>
                      <w:highlight w:val="none"/>
                    </w:rPr>
                  </w:pPr>
                  <w:r>
                    <w:rPr>
                      <w:rFonts w:hint="eastAsia"/>
                      <w:color w:val="auto"/>
                      <w:szCs w:val="21"/>
                      <w:highlight w:val="none"/>
                    </w:rPr>
                    <w:t>氨氮</w:t>
                  </w:r>
                </w:p>
              </w:tc>
              <w:tc>
                <w:tcPr>
                  <w:tcW w:w="1063" w:type="dxa"/>
                  <w:vAlign w:val="center"/>
                </w:tcPr>
                <w:p w14:paraId="7379224A">
                  <w:pPr>
                    <w:widowControl/>
                    <w:jc w:val="center"/>
                    <w:textAlignment w:val="center"/>
                    <w:rPr>
                      <w:color w:val="auto"/>
                      <w:szCs w:val="21"/>
                      <w:highlight w:val="none"/>
                    </w:rPr>
                  </w:pPr>
                  <w:r>
                    <w:rPr>
                      <w:color w:val="auto"/>
                      <w:kern w:val="0"/>
                      <w:szCs w:val="21"/>
                      <w:highlight w:val="none"/>
                      <w:lang w:bidi="ar"/>
                    </w:rPr>
                    <w:t xml:space="preserve">30 </w:t>
                  </w:r>
                </w:p>
              </w:tc>
              <w:tc>
                <w:tcPr>
                  <w:tcW w:w="914" w:type="dxa"/>
                  <w:vAlign w:val="center"/>
                </w:tcPr>
                <w:p w14:paraId="48638534">
                  <w:pPr>
                    <w:widowControl/>
                    <w:jc w:val="center"/>
                    <w:textAlignment w:val="center"/>
                    <w:rPr>
                      <w:color w:val="auto"/>
                      <w:szCs w:val="21"/>
                      <w:highlight w:val="none"/>
                    </w:rPr>
                  </w:pPr>
                  <w:r>
                    <w:rPr>
                      <w:color w:val="auto"/>
                      <w:kern w:val="0"/>
                      <w:szCs w:val="21"/>
                      <w:highlight w:val="none"/>
                      <w:lang w:bidi="ar"/>
                    </w:rPr>
                    <w:t xml:space="preserve">0.002 </w:t>
                  </w:r>
                </w:p>
              </w:tc>
              <w:tc>
                <w:tcPr>
                  <w:tcW w:w="1389" w:type="dxa"/>
                  <w:vMerge w:val="continue"/>
                  <w:vAlign w:val="center"/>
                </w:tcPr>
                <w:p w14:paraId="48CB4683">
                  <w:pPr>
                    <w:widowControl/>
                    <w:jc w:val="center"/>
                    <w:textAlignment w:val="center"/>
                    <w:rPr>
                      <w:color w:val="auto"/>
                      <w:kern w:val="0"/>
                      <w:szCs w:val="21"/>
                      <w:highlight w:val="none"/>
                      <w:lang w:bidi="ar"/>
                    </w:rPr>
                  </w:pPr>
                </w:p>
              </w:tc>
              <w:tc>
                <w:tcPr>
                  <w:tcW w:w="1091" w:type="dxa"/>
                  <w:vAlign w:val="center"/>
                </w:tcPr>
                <w:p w14:paraId="73ABB104">
                  <w:pPr>
                    <w:widowControl/>
                    <w:jc w:val="center"/>
                    <w:textAlignment w:val="center"/>
                    <w:rPr>
                      <w:color w:val="auto"/>
                      <w:kern w:val="0"/>
                      <w:szCs w:val="21"/>
                      <w:highlight w:val="none"/>
                      <w:lang w:bidi="ar"/>
                    </w:rPr>
                  </w:pPr>
                  <w:r>
                    <w:rPr>
                      <w:color w:val="auto"/>
                      <w:kern w:val="0"/>
                      <w:szCs w:val="21"/>
                      <w:highlight w:val="none"/>
                      <w:lang w:bidi="ar"/>
                    </w:rPr>
                    <w:t xml:space="preserve">30 </w:t>
                  </w:r>
                </w:p>
              </w:tc>
              <w:tc>
                <w:tcPr>
                  <w:tcW w:w="929" w:type="dxa"/>
                  <w:vAlign w:val="center"/>
                </w:tcPr>
                <w:p w14:paraId="578F6D08">
                  <w:pPr>
                    <w:widowControl/>
                    <w:jc w:val="center"/>
                    <w:textAlignment w:val="center"/>
                    <w:rPr>
                      <w:color w:val="auto"/>
                      <w:kern w:val="0"/>
                      <w:szCs w:val="21"/>
                      <w:highlight w:val="none"/>
                      <w:lang w:bidi="ar"/>
                    </w:rPr>
                  </w:pPr>
                  <w:r>
                    <w:rPr>
                      <w:color w:val="auto"/>
                      <w:kern w:val="0"/>
                      <w:szCs w:val="21"/>
                      <w:highlight w:val="none"/>
                      <w:lang w:bidi="ar"/>
                    </w:rPr>
                    <w:t xml:space="preserve">0.002 </w:t>
                  </w:r>
                </w:p>
              </w:tc>
              <w:tc>
                <w:tcPr>
                  <w:tcW w:w="1847" w:type="dxa"/>
                  <w:vMerge w:val="continue"/>
                  <w:vAlign w:val="center"/>
                </w:tcPr>
                <w:p w14:paraId="2E71000D">
                  <w:pPr>
                    <w:widowControl/>
                    <w:jc w:val="center"/>
                    <w:textAlignment w:val="center"/>
                    <w:rPr>
                      <w:color w:val="auto"/>
                      <w:kern w:val="0"/>
                      <w:szCs w:val="21"/>
                      <w:highlight w:val="none"/>
                      <w:lang w:bidi="ar"/>
                    </w:rPr>
                  </w:pPr>
                </w:p>
              </w:tc>
              <w:tc>
                <w:tcPr>
                  <w:tcW w:w="1091" w:type="dxa"/>
                  <w:vAlign w:val="center"/>
                </w:tcPr>
                <w:p w14:paraId="49C282EB">
                  <w:pPr>
                    <w:widowControl/>
                    <w:jc w:val="center"/>
                    <w:textAlignment w:val="center"/>
                    <w:rPr>
                      <w:color w:val="auto"/>
                      <w:kern w:val="0"/>
                      <w:szCs w:val="21"/>
                      <w:highlight w:val="none"/>
                      <w:lang w:bidi="ar"/>
                    </w:rPr>
                  </w:pPr>
                  <w:r>
                    <w:rPr>
                      <w:color w:val="auto"/>
                      <w:kern w:val="0"/>
                      <w:szCs w:val="21"/>
                      <w:highlight w:val="none"/>
                      <w:lang w:bidi="ar"/>
                    </w:rPr>
                    <w:t>5</w:t>
                  </w:r>
                  <w:r>
                    <w:rPr>
                      <w:rFonts w:hint="eastAsia" w:ascii="宋体" w:hAnsi="宋体" w:cs="宋体"/>
                      <w:color w:val="auto"/>
                      <w:kern w:val="0"/>
                      <w:szCs w:val="21"/>
                      <w:highlight w:val="none"/>
                      <w:lang w:bidi="ar"/>
                    </w:rPr>
                    <w:t>（</w:t>
                  </w:r>
                  <w:r>
                    <w:rPr>
                      <w:color w:val="auto"/>
                      <w:kern w:val="0"/>
                      <w:szCs w:val="21"/>
                      <w:highlight w:val="none"/>
                      <w:lang w:bidi="ar"/>
                    </w:rPr>
                    <w:t>8</w:t>
                  </w:r>
                  <w:r>
                    <w:rPr>
                      <w:rFonts w:hint="eastAsia" w:ascii="宋体" w:hAnsi="宋体" w:cs="宋体"/>
                      <w:color w:val="auto"/>
                      <w:kern w:val="0"/>
                      <w:szCs w:val="21"/>
                      <w:highlight w:val="none"/>
                      <w:lang w:bidi="ar"/>
                    </w:rPr>
                    <w:t>）</w:t>
                  </w:r>
                </w:p>
              </w:tc>
              <w:tc>
                <w:tcPr>
                  <w:tcW w:w="900" w:type="dxa"/>
                  <w:vAlign w:val="center"/>
                </w:tcPr>
                <w:p w14:paraId="42941C52">
                  <w:pPr>
                    <w:widowControl/>
                    <w:jc w:val="center"/>
                    <w:textAlignment w:val="center"/>
                    <w:rPr>
                      <w:color w:val="auto"/>
                      <w:kern w:val="0"/>
                      <w:szCs w:val="21"/>
                      <w:highlight w:val="none"/>
                      <w:lang w:bidi="ar"/>
                    </w:rPr>
                  </w:pPr>
                  <w:r>
                    <w:rPr>
                      <w:color w:val="auto"/>
                      <w:kern w:val="0"/>
                      <w:szCs w:val="21"/>
                      <w:highlight w:val="none"/>
                      <w:lang w:bidi="ar"/>
                    </w:rPr>
                    <w:t xml:space="preserve">0.0003 </w:t>
                  </w:r>
                </w:p>
              </w:tc>
            </w:tr>
            <w:tr w14:paraId="58C8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2CCDAA65">
                  <w:pPr>
                    <w:widowControl/>
                    <w:spacing w:line="300" w:lineRule="exact"/>
                    <w:jc w:val="center"/>
                    <w:rPr>
                      <w:color w:val="auto"/>
                      <w:szCs w:val="21"/>
                      <w:highlight w:val="none"/>
                    </w:rPr>
                  </w:pPr>
                </w:p>
              </w:tc>
              <w:tc>
                <w:tcPr>
                  <w:tcW w:w="426" w:type="dxa"/>
                  <w:vMerge w:val="continue"/>
                  <w:vAlign w:val="center"/>
                </w:tcPr>
                <w:p w14:paraId="7EB0C670">
                  <w:pPr>
                    <w:widowControl/>
                    <w:spacing w:line="300" w:lineRule="exact"/>
                    <w:jc w:val="center"/>
                    <w:rPr>
                      <w:color w:val="auto"/>
                      <w:szCs w:val="21"/>
                      <w:highlight w:val="none"/>
                    </w:rPr>
                  </w:pPr>
                </w:p>
              </w:tc>
              <w:tc>
                <w:tcPr>
                  <w:tcW w:w="1052" w:type="dxa"/>
                  <w:vMerge w:val="continue"/>
                  <w:vAlign w:val="center"/>
                </w:tcPr>
                <w:p w14:paraId="666C9F9E">
                  <w:pPr>
                    <w:widowControl/>
                    <w:spacing w:line="300" w:lineRule="exact"/>
                    <w:jc w:val="center"/>
                    <w:rPr>
                      <w:color w:val="auto"/>
                      <w:szCs w:val="21"/>
                      <w:highlight w:val="none"/>
                    </w:rPr>
                  </w:pPr>
                </w:p>
              </w:tc>
              <w:tc>
                <w:tcPr>
                  <w:tcW w:w="1208" w:type="dxa"/>
                  <w:vAlign w:val="center"/>
                </w:tcPr>
                <w:p w14:paraId="290417A0">
                  <w:pPr>
                    <w:widowControl/>
                    <w:spacing w:line="300" w:lineRule="exact"/>
                    <w:jc w:val="center"/>
                    <w:rPr>
                      <w:color w:val="auto"/>
                      <w:szCs w:val="21"/>
                      <w:highlight w:val="none"/>
                    </w:rPr>
                  </w:pPr>
                  <w:r>
                    <w:rPr>
                      <w:color w:val="auto"/>
                      <w:szCs w:val="21"/>
                      <w:highlight w:val="none"/>
                    </w:rPr>
                    <w:t>总氮</w:t>
                  </w:r>
                </w:p>
              </w:tc>
              <w:tc>
                <w:tcPr>
                  <w:tcW w:w="1063" w:type="dxa"/>
                  <w:vAlign w:val="center"/>
                </w:tcPr>
                <w:p w14:paraId="220380EA">
                  <w:pPr>
                    <w:widowControl/>
                    <w:jc w:val="center"/>
                    <w:textAlignment w:val="center"/>
                    <w:rPr>
                      <w:color w:val="auto"/>
                      <w:szCs w:val="21"/>
                      <w:highlight w:val="none"/>
                    </w:rPr>
                  </w:pPr>
                  <w:r>
                    <w:rPr>
                      <w:color w:val="auto"/>
                      <w:kern w:val="0"/>
                      <w:szCs w:val="21"/>
                      <w:highlight w:val="none"/>
                      <w:lang w:bidi="ar"/>
                    </w:rPr>
                    <w:t xml:space="preserve">50 </w:t>
                  </w:r>
                </w:p>
              </w:tc>
              <w:tc>
                <w:tcPr>
                  <w:tcW w:w="914" w:type="dxa"/>
                  <w:vAlign w:val="center"/>
                </w:tcPr>
                <w:p w14:paraId="46F4E9D4">
                  <w:pPr>
                    <w:widowControl/>
                    <w:jc w:val="center"/>
                    <w:textAlignment w:val="center"/>
                    <w:rPr>
                      <w:color w:val="auto"/>
                      <w:szCs w:val="21"/>
                      <w:highlight w:val="none"/>
                    </w:rPr>
                  </w:pPr>
                  <w:r>
                    <w:rPr>
                      <w:color w:val="auto"/>
                      <w:kern w:val="0"/>
                      <w:szCs w:val="21"/>
                      <w:highlight w:val="none"/>
                      <w:lang w:bidi="ar"/>
                    </w:rPr>
                    <w:t xml:space="preserve">0.003 </w:t>
                  </w:r>
                </w:p>
              </w:tc>
              <w:tc>
                <w:tcPr>
                  <w:tcW w:w="1389" w:type="dxa"/>
                  <w:vMerge w:val="continue"/>
                  <w:vAlign w:val="center"/>
                </w:tcPr>
                <w:p w14:paraId="1A25D0EF">
                  <w:pPr>
                    <w:widowControl/>
                    <w:jc w:val="center"/>
                    <w:textAlignment w:val="center"/>
                    <w:rPr>
                      <w:color w:val="auto"/>
                      <w:kern w:val="0"/>
                      <w:szCs w:val="21"/>
                      <w:highlight w:val="none"/>
                      <w:lang w:bidi="ar"/>
                    </w:rPr>
                  </w:pPr>
                </w:p>
              </w:tc>
              <w:tc>
                <w:tcPr>
                  <w:tcW w:w="1091" w:type="dxa"/>
                  <w:vAlign w:val="center"/>
                </w:tcPr>
                <w:p w14:paraId="4884DE40">
                  <w:pPr>
                    <w:widowControl/>
                    <w:jc w:val="center"/>
                    <w:textAlignment w:val="center"/>
                    <w:rPr>
                      <w:color w:val="auto"/>
                      <w:kern w:val="0"/>
                      <w:szCs w:val="21"/>
                      <w:highlight w:val="none"/>
                      <w:lang w:bidi="ar"/>
                    </w:rPr>
                  </w:pPr>
                  <w:r>
                    <w:rPr>
                      <w:color w:val="auto"/>
                      <w:kern w:val="0"/>
                      <w:szCs w:val="21"/>
                      <w:highlight w:val="none"/>
                      <w:lang w:bidi="ar"/>
                    </w:rPr>
                    <w:t xml:space="preserve">50 </w:t>
                  </w:r>
                </w:p>
              </w:tc>
              <w:tc>
                <w:tcPr>
                  <w:tcW w:w="929" w:type="dxa"/>
                  <w:vAlign w:val="center"/>
                </w:tcPr>
                <w:p w14:paraId="1B0340B5">
                  <w:pPr>
                    <w:widowControl/>
                    <w:jc w:val="center"/>
                    <w:textAlignment w:val="center"/>
                    <w:rPr>
                      <w:color w:val="auto"/>
                      <w:kern w:val="0"/>
                      <w:szCs w:val="21"/>
                      <w:highlight w:val="none"/>
                      <w:lang w:bidi="ar"/>
                    </w:rPr>
                  </w:pPr>
                  <w:r>
                    <w:rPr>
                      <w:color w:val="auto"/>
                      <w:kern w:val="0"/>
                      <w:szCs w:val="21"/>
                      <w:highlight w:val="none"/>
                      <w:lang w:bidi="ar"/>
                    </w:rPr>
                    <w:t xml:space="preserve">0.003 </w:t>
                  </w:r>
                </w:p>
              </w:tc>
              <w:tc>
                <w:tcPr>
                  <w:tcW w:w="1847" w:type="dxa"/>
                  <w:vMerge w:val="continue"/>
                  <w:vAlign w:val="center"/>
                </w:tcPr>
                <w:p w14:paraId="07CDEAEE">
                  <w:pPr>
                    <w:widowControl/>
                    <w:jc w:val="center"/>
                    <w:textAlignment w:val="center"/>
                    <w:rPr>
                      <w:color w:val="auto"/>
                      <w:kern w:val="0"/>
                      <w:szCs w:val="21"/>
                      <w:highlight w:val="none"/>
                      <w:lang w:bidi="ar"/>
                    </w:rPr>
                  </w:pPr>
                </w:p>
              </w:tc>
              <w:tc>
                <w:tcPr>
                  <w:tcW w:w="1091" w:type="dxa"/>
                  <w:vAlign w:val="center"/>
                </w:tcPr>
                <w:p w14:paraId="5522E71A">
                  <w:pPr>
                    <w:widowControl/>
                    <w:jc w:val="center"/>
                    <w:textAlignment w:val="center"/>
                    <w:rPr>
                      <w:color w:val="auto"/>
                      <w:kern w:val="0"/>
                      <w:szCs w:val="21"/>
                      <w:highlight w:val="none"/>
                      <w:lang w:bidi="ar"/>
                    </w:rPr>
                  </w:pPr>
                  <w:r>
                    <w:rPr>
                      <w:color w:val="auto"/>
                      <w:kern w:val="0"/>
                      <w:szCs w:val="21"/>
                      <w:highlight w:val="none"/>
                      <w:lang w:bidi="ar"/>
                    </w:rPr>
                    <w:t>15</w:t>
                  </w:r>
                </w:p>
              </w:tc>
              <w:tc>
                <w:tcPr>
                  <w:tcW w:w="900" w:type="dxa"/>
                  <w:vAlign w:val="center"/>
                </w:tcPr>
                <w:p w14:paraId="6CAFC4D7">
                  <w:pPr>
                    <w:widowControl/>
                    <w:jc w:val="center"/>
                    <w:textAlignment w:val="center"/>
                    <w:rPr>
                      <w:color w:val="auto"/>
                      <w:kern w:val="0"/>
                      <w:szCs w:val="21"/>
                      <w:highlight w:val="none"/>
                      <w:lang w:bidi="ar"/>
                    </w:rPr>
                  </w:pPr>
                  <w:r>
                    <w:rPr>
                      <w:color w:val="auto"/>
                      <w:kern w:val="0"/>
                      <w:szCs w:val="21"/>
                      <w:highlight w:val="none"/>
                      <w:lang w:bidi="ar"/>
                    </w:rPr>
                    <w:t xml:space="preserve">0.001 </w:t>
                  </w:r>
                </w:p>
              </w:tc>
            </w:tr>
            <w:tr w14:paraId="5D93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20CAAF4A">
                  <w:pPr>
                    <w:widowControl/>
                    <w:spacing w:line="300" w:lineRule="exact"/>
                    <w:jc w:val="center"/>
                    <w:rPr>
                      <w:color w:val="auto"/>
                      <w:szCs w:val="21"/>
                      <w:highlight w:val="none"/>
                    </w:rPr>
                  </w:pPr>
                </w:p>
              </w:tc>
              <w:tc>
                <w:tcPr>
                  <w:tcW w:w="426" w:type="dxa"/>
                  <w:vMerge w:val="continue"/>
                  <w:vAlign w:val="center"/>
                </w:tcPr>
                <w:p w14:paraId="3D91880A">
                  <w:pPr>
                    <w:widowControl/>
                    <w:spacing w:line="300" w:lineRule="exact"/>
                    <w:jc w:val="center"/>
                    <w:rPr>
                      <w:color w:val="auto"/>
                      <w:szCs w:val="21"/>
                      <w:highlight w:val="none"/>
                    </w:rPr>
                  </w:pPr>
                </w:p>
              </w:tc>
              <w:tc>
                <w:tcPr>
                  <w:tcW w:w="1052" w:type="dxa"/>
                  <w:vMerge w:val="continue"/>
                  <w:vAlign w:val="center"/>
                </w:tcPr>
                <w:p w14:paraId="214FB393">
                  <w:pPr>
                    <w:widowControl/>
                    <w:spacing w:line="300" w:lineRule="exact"/>
                    <w:jc w:val="center"/>
                    <w:rPr>
                      <w:color w:val="auto"/>
                      <w:szCs w:val="21"/>
                      <w:highlight w:val="none"/>
                    </w:rPr>
                  </w:pPr>
                </w:p>
              </w:tc>
              <w:tc>
                <w:tcPr>
                  <w:tcW w:w="1208" w:type="dxa"/>
                  <w:vAlign w:val="center"/>
                </w:tcPr>
                <w:p w14:paraId="68163D1A">
                  <w:pPr>
                    <w:widowControl/>
                    <w:spacing w:line="300" w:lineRule="exact"/>
                    <w:jc w:val="center"/>
                    <w:rPr>
                      <w:color w:val="auto"/>
                      <w:szCs w:val="21"/>
                      <w:highlight w:val="none"/>
                    </w:rPr>
                  </w:pPr>
                  <w:r>
                    <w:rPr>
                      <w:rFonts w:hint="eastAsia"/>
                      <w:color w:val="auto"/>
                      <w:szCs w:val="21"/>
                      <w:highlight w:val="none"/>
                    </w:rPr>
                    <w:t>总磷</w:t>
                  </w:r>
                </w:p>
              </w:tc>
              <w:tc>
                <w:tcPr>
                  <w:tcW w:w="1063" w:type="dxa"/>
                  <w:vAlign w:val="center"/>
                </w:tcPr>
                <w:p w14:paraId="33B61C4B">
                  <w:pPr>
                    <w:widowControl/>
                    <w:jc w:val="center"/>
                    <w:textAlignment w:val="center"/>
                    <w:rPr>
                      <w:color w:val="auto"/>
                      <w:szCs w:val="21"/>
                      <w:highlight w:val="none"/>
                    </w:rPr>
                  </w:pPr>
                  <w:r>
                    <w:rPr>
                      <w:color w:val="auto"/>
                      <w:kern w:val="0"/>
                      <w:szCs w:val="21"/>
                      <w:highlight w:val="none"/>
                      <w:lang w:bidi="ar"/>
                    </w:rPr>
                    <w:t xml:space="preserve">5 </w:t>
                  </w:r>
                </w:p>
              </w:tc>
              <w:tc>
                <w:tcPr>
                  <w:tcW w:w="914" w:type="dxa"/>
                  <w:vAlign w:val="center"/>
                </w:tcPr>
                <w:p w14:paraId="6F5CC04B">
                  <w:pPr>
                    <w:widowControl/>
                    <w:jc w:val="center"/>
                    <w:textAlignment w:val="center"/>
                    <w:rPr>
                      <w:color w:val="auto"/>
                      <w:szCs w:val="21"/>
                      <w:highlight w:val="none"/>
                    </w:rPr>
                  </w:pPr>
                  <w:r>
                    <w:rPr>
                      <w:color w:val="auto"/>
                      <w:kern w:val="0"/>
                      <w:szCs w:val="21"/>
                      <w:highlight w:val="none"/>
                      <w:lang w:bidi="ar"/>
                    </w:rPr>
                    <w:t xml:space="preserve">0.0003 </w:t>
                  </w:r>
                </w:p>
              </w:tc>
              <w:tc>
                <w:tcPr>
                  <w:tcW w:w="1389" w:type="dxa"/>
                  <w:vMerge w:val="continue"/>
                  <w:vAlign w:val="center"/>
                </w:tcPr>
                <w:p w14:paraId="74280515">
                  <w:pPr>
                    <w:widowControl/>
                    <w:jc w:val="center"/>
                    <w:textAlignment w:val="center"/>
                    <w:rPr>
                      <w:color w:val="auto"/>
                      <w:kern w:val="0"/>
                      <w:szCs w:val="21"/>
                      <w:highlight w:val="none"/>
                      <w:lang w:bidi="ar"/>
                    </w:rPr>
                  </w:pPr>
                </w:p>
              </w:tc>
              <w:tc>
                <w:tcPr>
                  <w:tcW w:w="1091" w:type="dxa"/>
                  <w:vAlign w:val="center"/>
                </w:tcPr>
                <w:p w14:paraId="6968D54F">
                  <w:pPr>
                    <w:widowControl/>
                    <w:jc w:val="center"/>
                    <w:textAlignment w:val="center"/>
                    <w:rPr>
                      <w:color w:val="auto"/>
                      <w:kern w:val="0"/>
                      <w:szCs w:val="21"/>
                      <w:highlight w:val="none"/>
                      <w:lang w:bidi="ar"/>
                    </w:rPr>
                  </w:pPr>
                  <w:r>
                    <w:rPr>
                      <w:color w:val="auto"/>
                      <w:kern w:val="0"/>
                      <w:szCs w:val="21"/>
                      <w:highlight w:val="none"/>
                      <w:lang w:bidi="ar"/>
                    </w:rPr>
                    <w:t xml:space="preserve">5 </w:t>
                  </w:r>
                </w:p>
              </w:tc>
              <w:tc>
                <w:tcPr>
                  <w:tcW w:w="929" w:type="dxa"/>
                  <w:vAlign w:val="center"/>
                </w:tcPr>
                <w:p w14:paraId="32A1D64B">
                  <w:pPr>
                    <w:widowControl/>
                    <w:jc w:val="center"/>
                    <w:textAlignment w:val="center"/>
                    <w:rPr>
                      <w:color w:val="auto"/>
                      <w:kern w:val="0"/>
                      <w:szCs w:val="21"/>
                      <w:highlight w:val="none"/>
                      <w:lang w:bidi="ar"/>
                    </w:rPr>
                  </w:pPr>
                  <w:r>
                    <w:rPr>
                      <w:color w:val="auto"/>
                      <w:kern w:val="0"/>
                      <w:szCs w:val="21"/>
                      <w:highlight w:val="none"/>
                      <w:lang w:bidi="ar"/>
                    </w:rPr>
                    <w:t xml:space="preserve">0.0003 </w:t>
                  </w:r>
                </w:p>
              </w:tc>
              <w:tc>
                <w:tcPr>
                  <w:tcW w:w="1847" w:type="dxa"/>
                  <w:vMerge w:val="continue"/>
                  <w:vAlign w:val="center"/>
                </w:tcPr>
                <w:p w14:paraId="1239423E">
                  <w:pPr>
                    <w:widowControl/>
                    <w:jc w:val="center"/>
                    <w:textAlignment w:val="center"/>
                    <w:rPr>
                      <w:color w:val="auto"/>
                      <w:kern w:val="0"/>
                      <w:szCs w:val="21"/>
                      <w:highlight w:val="none"/>
                      <w:lang w:bidi="ar"/>
                    </w:rPr>
                  </w:pPr>
                </w:p>
              </w:tc>
              <w:tc>
                <w:tcPr>
                  <w:tcW w:w="1091" w:type="dxa"/>
                  <w:vAlign w:val="center"/>
                </w:tcPr>
                <w:p w14:paraId="50A0CBD3">
                  <w:pPr>
                    <w:widowControl/>
                    <w:jc w:val="center"/>
                    <w:textAlignment w:val="center"/>
                    <w:rPr>
                      <w:color w:val="auto"/>
                      <w:kern w:val="0"/>
                      <w:szCs w:val="21"/>
                      <w:highlight w:val="none"/>
                      <w:lang w:bidi="ar"/>
                    </w:rPr>
                  </w:pPr>
                  <w:r>
                    <w:rPr>
                      <w:color w:val="auto"/>
                      <w:kern w:val="0"/>
                      <w:szCs w:val="21"/>
                      <w:highlight w:val="none"/>
                      <w:lang w:bidi="ar"/>
                    </w:rPr>
                    <w:t>0.5</w:t>
                  </w:r>
                </w:p>
              </w:tc>
              <w:tc>
                <w:tcPr>
                  <w:tcW w:w="900" w:type="dxa"/>
                  <w:vAlign w:val="center"/>
                </w:tcPr>
                <w:p w14:paraId="3A0AA835">
                  <w:pPr>
                    <w:widowControl/>
                    <w:jc w:val="center"/>
                    <w:textAlignment w:val="center"/>
                    <w:rPr>
                      <w:color w:val="auto"/>
                      <w:kern w:val="0"/>
                      <w:szCs w:val="21"/>
                      <w:highlight w:val="none"/>
                      <w:lang w:bidi="ar"/>
                    </w:rPr>
                  </w:pPr>
                  <w:r>
                    <w:rPr>
                      <w:color w:val="auto"/>
                      <w:kern w:val="0"/>
                      <w:szCs w:val="21"/>
                      <w:highlight w:val="none"/>
                      <w:lang w:bidi="ar"/>
                    </w:rPr>
                    <w:t xml:space="preserve">0.00003 </w:t>
                  </w:r>
                </w:p>
              </w:tc>
            </w:tr>
            <w:tr w14:paraId="2688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restart"/>
                  <w:vAlign w:val="center"/>
                </w:tcPr>
                <w:p w14:paraId="7128911F">
                  <w:pPr>
                    <w:widowControl/>
                    <w:spacing w:line="300" w:lineRule="exact"/>
                    <w:jc w:val="center"/>
                    <w:rPr>
                      <w:color w:val="auto"/>
                      <w:szCs w:val="21"/>
                      <w:highlight w:val="none"/>
                    </w:rPr>
                  </w:pPr>
                  <w:r>
                    <w:rPr>
                      <w:rFonts w:hint="eastAsia"/>
                      <w:color w:val="auto"/>
                      <w:szCs w:val="21"/>
                      <w:highlight w:val="none"/>
                    </w:rPr>
                    <w:t>3</w:t>
                  </w:r>
                </w:p>
              </w:tc>
              <w:tc>
                <w:tcPr>
                  <w:tcW w:w="426" w:type="dxa"/>
                  <w:vMerge w:val="restart"/>
                  <w:vAlign w:val="center"/>
                </w:tcPr>
                <w:p w14:paraId="29E315BB">
                  <w:pPr>
                    <w:widowControl/>
                    <w:spacing w:line="300" w:lineRule="exact"/>
                    <w:jc w:val="center"/>
                    <w:rPr>
                      <w:color w:val="auto"/>
                      <w:szCs w:val="21"/>
                      <w:highlight w:val="none"/>
                    </w:rPr>
                  </w:pPr>
                  <w:r>
                    <w:rPr>
                      <w:rFonts w:hint="eastAsia"/>
                      <w:color w:val="auto"/>
                      <w:szCs w:val="21"/>
                      <w:highlight w:val="none"/>
                    </w:rPr>
                    <w:t>全厂废水</w:t>
                  </w:r>
                </w:p>
              </w:tc>
              <w:tc>
                <w:tcPr>
                  <w:tcW w:w="1052" w:type="dxa"/>
                  <w:vMerge w:val="restart"/>
                  <w:vAlign w:val="center"/>
                </w:tcPr>
                <w:p w14:paraId="043D02CE">
                  <w:pPr>
                    <w:widowControl/>
                    <w:spacing w:line="300" w:lineRule="exact"/>
                    <w:jc w:val="center"/>
                    <w:rPr>
                      <w:color w:val="auto"/>
                      <w:szCs w:val="21"/>
                      <w:highlight w:val="none"/>
                    </w:rPr>
                  </w:pPr>
                  <w:r>
                    <w:rPr>
                      <w:rFonts w:hint="eastAsia"/>
                      <w:color w:val="auto"/>
                      <w:szCs w:val="21"/>
                      <w:highlight w:val="none"/>
                    </w:rPr>
                    <w:t>1476.377</w:t>
                  </w:r>
                </w:p>
              </w:tc>
              <w:tc>
                <w:tcPr>
                  <w:tcW w:w="1208" w:type="dxa"/>
                  <w:vAlign w:val="center"/>
                </w:tcPr>
                <w:p w14:paraId="2B6480ED">
                  <w:pPr>
                    <w:widowControl/>
                    <w:spacing w:line="300" w:lineRule="exact"/>
                    <w:jc w:val="center"/>
                    <w:rPr>
                      <w:color w:val="auto"/>
                      <w:szCs w:val="21"/>
                      <w:highlight w:val="none"/>
                    </w:rPr>
                  </w:pPr>
                  <w:r>
                    <w:rPr>
                      <w:rFonts w:hint="eastAsia"/>
                      <w:color w:val="auto"/>
                      <w:szCs w:val="21"/>
                      <w:highlight w:val="none"/>
                    </w:rPr>
                    <w:t>pH无量纲</w:t>
                  </w:r>
                </w:p>
              </w:tc>
              <w:tc>
                <w:tcPr>
                  <w:tcW w:w="1063" w:type="dxa"/>
                  <w:vAlign w:val="center"/>
                </w:tcPr>
                <w:p w14:paraId="75E678CD">
                  <w:pPr>
                    <w:widowControl/>
                    <w:spacing w:line="300" w:lineRule="exact"/>
                    <w:jc w:val="center"/>
                    <w:rPr>
                      <w:color w:val="auto"/>
                      <w:kern w:val="0"/>
                      <w:szCs w:val="21"/>
                      <w:highlight w:val="none"/>
                      <w:lang w:bidi="ar"/>
                    </w:rPr>
                  </w:pPr>
                  <w:r>
                    <w:rPr>
                      <w:rFonts w:hint="eastAsia"/>
                      <w:color w:val="auto"/>
                      <w:kern w:val="0"/>
                      <w:szCs w:val="21"/>
                      <w:highlight w:val="none"/>
                      <w:lang w:bidi="ar"/>
                    </w:rPr>
                    <w:t>6~9</w:t>
                  </w:r>
                </w:p>
              </w:tc>
              <w:tc>
                <w:tcPr>
                  <w:tcW w:w="914" w:type="dxa"/>
                  <w:vAlign w:val="center"/>
                </w:tcPr>
                <w:p w14:paraId="4F829190">
                  <w:pPr>
                    <w:widowControl/>
                    <w:spacing w:line="300" w:lineRule="exact"/>
                    <w:jc w:val="center"/>
                    <w:rPr>
                      <w:color w:val="auto"/>
                      <w:kern w:val="0"/>
                      <w:szCs w:val="21"/>
                      <w:highlight w:val="none"/>
                      <w:lang w:bidi="ar"/>
                    </w:rPr>
                  </w:pPr>
                  <w:r>
                    <w:rPr>
                      <w:rFonts w:hint="eastAsia"/>
                      <w:color w:val="auto"/>
                      <w:szCs w:val="21"/>
                      <w:highlight w:val="none"/>
                    </w:rPr>
                    <w:t>/</w:t>
                  </w:r>
                </w:p>
              </w:tc>
              <w:tc>
                <w:tcPr>
                  <w:tcW w:w="1389" w:type="dxa"/>
                  <w:vMerge w:val="restart"/>
                  <w:vAlign w:val="center"/>
                </w:tcPr>
                <w:p w14:paraId="4FDBE542">
                  <w:pPr>
                    <w:widowControl/>
                    <w:jc w:val="center"/>
                    <w:textAlignment w:val="center"/>
                    <w:rPr>
                      <w:color w:val="auto"/>
                      <w:kern w:val="0"/>
                      <w:szCs w:val="21"/>
                      <w:highlight w:val="none"/>
                      <w:lang w:bidi="ar"/>
                    </w:rPr>
                  </w:pPr>
                  <w:r>
                    <w:rPr>
                      <w:rFonts w:hint="eastAsia"/>
                      <w:color w:val="auto"/>
                      <w:kern w:val="0"/>
                      <w:szCs w:val="21"/>
                      <w:highlight w:val="none"/>
                      <w:lang w:bidi="ar"/>
                    </w:rPr>
                    <w:t>/</w:t>
                  </w:r>
                </w:p>
              </w:tc>
              <w:tc>
                <w:tcPr>
                  <w:tcW w:w="1091" w:type="dxa"/>
                  <w:vAlign w:val="center"/>
                </w:tcPr>
                <w:p w14:paraId="17B93A77">
                  <w:pPr>
                    <w:widowControl/>
                    <w:spacing w:line="300" w:lineRule="exact"/>
                    <w:jc w:val="center"/>
                    <w:rPr>
                      <w:color w:val="auto"/>
                      <w:kern w:val="0"/>
                      <w:szCs w:val="21"/>
                      <w:highlight w:val="none"/>
                      <w:lang w:bidi="ar"/>
                    </w:rPr>
                  </w:pPr>
                  <w:r>
                    <w:rPr>
                      <w:rFonts w:hint="eastAsia"/>
                      <w:color w:val="auto"/>
                      <w:kern w:val="0"/>
                      <w:szCs w:val="21"/>
                      <w:highlight w:val="none"/>
                      <w:lang w:bidi="ar"/>
                    </w:rPr>
                    <w:t>6~9</w:t>
                  </w:r>
                </w:p>
              </w:tc>
              <w:tc>
                <w:tcPr>
                  <w:tcW w:w="929" w:type="dxa"/>
                  <w:vAlign w:val="center"/>
                </w:tcPr>
                <w:p w14:paraId="4828CC2D">
                  <w:pPr>
                    <w:widowControl/>
                    <w:spacing w:line="300" w:lineRule="exact"/>
                    <w:jc w:val="center"/>
                    <w:rPr>
                      <w:color w:val="auto"/>
                      <w:kern w:val="0"/>
                      <w:szCs w:val="21"/>
                      <w:highlight w:val="none"/>
                      <w:lang w:bidi="ar"/>
                    </w:rPr>
                  </w:pPr>
                  <w:r>
                    <w:rPr>
                      <w:rFonts w:hint="eastAsia"/>
                      <w:color w:val="auto"/>
                      <w:szCs w:val="21"/>
                      <w:highlight w:val="none"/>
                    </w:rPr>
                    <w:t>/</w:t>
                  </w:r>
                </w:p>
              </w:tc>
              <w:tc>
                <w:tcPr>
                  <w:tcW w:w="1847" w:type="dxa"/>
                  <w:vMerge w:val="restart"/>
                  <w:vAlign w:val="center"/>
                </w:tcPr>
                <w:p w14:paraId="79891061">
                  <w:pPr>
                    <w:widowControl/>
                    <w:jc w:val="center"/>
                    <w:textAlignment w:val="center"/>
                    <w:rPr>
                      <w:color w:val="auto"/>
                      <w:kern w:val="0"/>
                      <w:szCs w:val="21"/>
                      <w:highlight w:val="none"/>
                      <w:lang w:bidi="ar"/>
                    </w:rPr>
                  </w:pPr>
                  <w:r>
                    <w:rPr>
                      <w:rFonts w:hint="eastAsia"/>
                      <w:color w:val="auto"/>
                      <w:kern w:val="0"/>
                      <w:szCs w:val="21"/>
                      <w:highlight w:val="none"/>
                      <w:lang w:bidi="ar"/>
                    </w:rPr>
                    <w:t>龙市镇工业污水处理厂</w:t>
                  </w:r>
                </w:p>
              </w:tc>
              <w:tc>
                <w:tcPr>
                  <w:tcW w:w="1091" w:type="dxa"/>
                  <w:vAlign w:val="center"/>
                </w:tcPr>
                <w:p w14:paraId="7FD27595">
                  <w:pPr>
                    <w:widowControl/>
                    <w:spacing w:line="300" w:lineRule="exact"/>
                    <w:jc w:val="center"/>
                    <w:rPr>
                      <w:color w:val="auto"/>
                      <w:kern w:val="0"/>
                      <w:szCs w:val="21"/>
                      <w:highlight w:val="none"/>
                      <w:lang w:bidi="ar"/>
                    </w:rPr>
                  </w:pPr>
                  <w:r>
                    <w:rPr>
                      <w:rFonts w:hint="eastAsia"/>
                      <w:color w:val="auto"/>
                      <w:szCs w:val="21"/>
                      <w:highlight w:val="none"/>
                    </w:rPr>
                    <w:t>6~9</w:t>
                  </w:r>
                </w:p>
              </w:tc>
              <w:tc>
                <w:tcPr>
                  <w:tcW w:w="900" w:type="dxa"/>
                  <w:vAlign w:val="center"/>
                </w:tcPr>
                <w:p w14:paraId="067F1CBA">
                  <w:pPr>
                    <w:widowControl/>
                    <w:spacing w:line="300" w:lineRule="exact"/>
                    <w:jc w:val="center"/>
                    <w:rPr>
                      <w:color w:val="auto"/>
                      <w:kern w:val="0"/>
                      <w:szCs w:val="21"/>
                      <w:highlight w:val="none"/>
                      <w:lang w:bidi="ar"/>
                    </w:rPr>
                  </w:pPr>
                  <w:r>
                    <w:rPr>
                      <w:rFonts w:hint="eastAsia"/>
                      <w:color w:val="auto"/>
                      <w:szCs w:val="21"/>
                      <w:highlight w:val="none"/>
                    </w:rPr>
                    <w:t>/</w:t>
                  </w:r>
                </w:p>
              </w:tc>
            </w:tr>
            <w:tr w14:paraId="51E2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402CF188">
                  <w:pPr>
                    <w:widowControl/>
                    <w:spacing w:line="300" w:lineRule="exact"/>
                    <w:jc w:val="center"/>
                    <w:rPr>
                      <w:color w:val="auto"/>
                      <w:szCs w:val="21"/>
                      <w:highlight w:val="none"/>
                    </w:rPr>
                  </w:pPr>
                </w:p>
              </w:tc>
              <w:tc>
                <w:tcPr>
                  <w:tcW w:w="426" w:type="dxa"/>
                  <w:vMerge w:val="continue"/>
                  <w:vAlign w:val="center"/>
                </w:tcPr>
                <w:p w14:paraId="64FD1414">
                  <w:pPr>
                    <w:widowControl/>
                    <w:spacing w:line="300" w:lineRule="exact"/>
                    <w:jc w:val="center"/>
                    <w:rPr>
                      <w:color w:val="auto"/>
                      <w:szCs w:val="21"/>
                      <w:highlight w:val="none"/>
                    </w:rPr>
                  </w:pPr>
                </w:p>
              </w:tc>
              <w:tc>
                <w:tcPr>
                  <w:tcW w:w="1052" w:type="dxa"/>
                  <w:vMerge w:val="continue"/>
                  <w:vAlign w:val="center"/>
                </w:tcPr>
                <w:p w14:paraId="7C478CFA">
                  <w:pPr>
                    <w:widowControl/>
                    <w:spacing w:line="300" w:lineRule="exact"/>
                    <w:jc w:val="center"/>
                    <w:rPr>
                      <w:color w:val="auto"/>
                      <w:szCs w:val="21"/>
                      <w:highlight w:val="none"/>
                    </w:rPr>
                  </w:pPr>
                </w:p>
              </w:tc>
              <w:tc>
                <w:tcPr>
                  <w:tcW w:w="1208" w:type="dxa"/>
                  <w:shd w:val="clear" w:color="auto" w:fill="auto"/>
                  <w:vAlign w:val="center"/>
                </w:tcPr>
                <w:p w14:paraId="2B8E341F">
                  <w:pPr>
                    <w:widowControl/>
                    <w:spacing w:line="300" w:lineRule="exact"/>
                    <w:jc w:val="center"/>
                    <w:rPr>
                      <w:color w:val="auto"/>
                      <w:szCs w:val="21"/>
                      <w:highlight w:val="none"/>
                    </w:rPr>
                  </w:pPr>
                  <w:r>
                    <w:rPr>
                      <w:rFonts w:hint="eastAsia"/>
                      <w:color w:val="auto"/>
                      <w:szCs w:val="21"/>
                      <w:highlight w:val="none"/>
                    </w:rPr>
                    <w:t>COD</w:t>
                  </w:r>
                </w:p>
              </w:tc>
              <w:tc>
                <w:tcPr>
                  <w:tcW w:w="1063" w:type="dxa"/>
                  <w:shd w:val="clear" w:color="auto" w:fill="auto"/>
                  <w:vAlign w:val="center"/>
                </w:tcPr>
                <w:p w14:paraId="6978E045">
                  <w:pPr>
                    <w:widowControl/>
                    <w:jc w:val="center"/>
                    <w:textAlignment w:val="center"/>
                    <w:rPr>
                      <w:color w:val="auto"/>
                      <w:kern w:val="0"/>
                      <w:szCs w:val="21"/>
                      <w:highlight w:val="none"/>
                      <w:lang w:bidi="ar"/>
                    </w:rPr>
                  </w:pPr>
                  <w:r>
                    <w:rPr>
                      <w:rFonts w:hint="eastAsia"/>
                      <w:color w:val="auto"/>
                      <w:szCs w:val="21"/>
                      <w:highlight w:val="none"/>
                    </w:rPr>
                    <w:t>/</w:t>
                  </w:r>
                </w:p>
              </w:tc>
              <w:tc>
                <w:tcPr>
                  <w:tcW w:w="914" w:type="dxa"/>
                  <w:shd w:val="clear" w:color="auto" w:fill="auto"/>
                  <w:vAlign w:val="center"/>
                </w:tcPr>
                <w:p w14:paraId="45409BCC">
                  <w:pPr>
                    <w:widowControl/>
                    <w:jc w:val="center"/>
                    <w:textAlignment w:val="center"/>
                    <w:rPr>
                      <w:color w:val="auto"/>
                      <w:kern w:val="0"/>
                      <w:szCs w:val="21"/>
                      <w:highlight w:val="none"/>
                      <w:lang w:bidi="ar"/>
                    </w:rPr>
                  </w:pPr>
                  <w:r>
                    <w:rPr>
                      <w:color w:val="auto"/>
                      <w:kern w:val="0"/>
                      <w:szCs w:val="21"/>
                      <w:highlight w:val="none"/>
                      <w:lang w:bidi="ar"/>
                    </w:rPr>
                    <w:t xml:space="preserve">1.776 </w:t>
                  </w:r>
                </w:p>
              </w:tc>
              <w:tc>
                <w:tcPr>
                  <w:tcW w:w="1389" w:type="dxa"/>
                  <w:vMerge w:val="continue"/>
                  <w:shd w:val="clear" w:color="auto" w:fill="auto"/>
                  <w:vAlign w:val="center"/>
                </w:tcPr>
                <w:p w14:paraId="4FE53A1A">
                  <w:pPr>
                    <w:widowControl/>
                    <w:jc w:val="center"/>
                    <w:textAlignment w:val="center"/>
                    <w:rPr>
                      <w:color w:val="auto"/>
                      <w:kern w:val="0"/>
                      <w:szCs w:val="21"/>
                      <w:highlight w:val="none"/>
                      <w:lang w:bidi="ar"/>
                    </w:rPr>
                  </w:pPr>
                </w:p>
              </w:tc>
              <w:tc>
                <w:tcPr>
                  <w:tcW w:w="1091" w:type="dxa"/>
                  <w:shd w:val="clear" w:color="auto" w:fill="auto"/>
                  <w:vAlign w:val="center"/>
                </w:tcPr>
                <w:p w14:paraId="4DB9B753">
                  <w:pPr>
                    <w:widowControl/>
                    <w:jc w:val="center"/>
                    <w:textAlignment w:val="center"/>
                    <w:rPr>
                      <w:color w:val="auto"/>
                      <w:kern w:val="0"/>
                      <w:szCs w:val="21"/>
                      <w:highlight w:val="none"/>
                      <w:lang w:bidi="ar"/>
                    </w:rPr>
                  </w:pPr>
                  <w:r>
                    <w:rPr>
                      <w:rFonts w:hint="eastAsia"/>
                      <w:color w:val="auto"/>
                      <w:szCs w:val="21"/>
                      <w:highlight w:val="none"/>
                    </w:rPr>
                    <w:t>/</w:t>
                  </w:r>
                </w:p>
              </w:tc>
              <w:tc>
                <w:tcPr>
                  <w:tcW w:w="929" w:type="dxa"/>
                  <w:shd w:val="clear" w:color="auto" w:fill="auto"/>
                  <w:vAlign w:val="center"/>
                </w:tcPr>
                <w:p w14:paraId="720808E8">
                  <w:pPr>
                    <w:widowControl/>
                    <w:jc w:val="center"/>
                    <w:textAlignment w:val="center"/>
                    <w:rPr>
                      <w:color w:val="auto"/>
                      <w:kern w:val="0"/>
                      <w:szCs w:val="21"/>
                      <w:highlight w:val="none"/>
                      <w:lang w:bidi="ar"/>
                    </w:rPr>
                  </w:pPr>
                  <w:r>
                    <w:rPr>
                      <w:color w:val="auto"/>
                      <w:kern w:val="0"/>
                      <w:szCs w:val="21"/>
                      <w:highlight w:val="none"/>
                      <w:lang w:bidi="ar"/>
                    </w:rPr>
                    <w:t xml:space="preserve">0.433 </w:t>
                  </w:r>
                </w:p>
              </w:tc>
              <w:tc>
                <w:tcPr>
                  <w:tcW w:w="1847" w:type="dxa"/>
                  <w:vMerge w:val="continue"/>
                  <w:shd w:val="clear" w:color="auto" w:fill="auto"/>
                  <w:vAlign w:val="center"/>
                </w:tcPr>
                <w:p w14:paraId="73764D35">
                  <w:pPr>
                    <w:widowControl/>
                    <w:jc w:val="center"/>
                    <w:textAlignment w:val="center"/>
                    <w:rPr>
                      <w:color w:val="auto"/>
                      <w:kern w:val="0"/>
                      <w:szCs w:val="21"/>
                      <w:highlight w:val="none"/>
                      <w:lang w:bidi="ar"/>
                    </w:rPr>
                  </w:pPr>
                </w:p>
              </w:tc>
              <w:tc>
                <w:tcPr>
                  <w:tcW w:w="1091" w:type="dxa"/>
                  <w:shd w:val="clear" w:color="auto" w:fill="auto"/>
                  <w:vAlign w:val="center"/>
                </w:tcPr>
                <w:p w14:paraId="7C89983B">
                  <w:pPr>
                    <w:widowControl/>
                    <w:jc w:val="center"/>
                    <w:textAlignment w:val="center"/>
                    <w:rPr>
                      <w:color w:val="auto"/>
                      <w:kern w:val="0"/>
                      <w:szCs w:val="21"/>
                      <w:highlight w:val="none"/>
                      <w:lang w:bidi="ar"/>
                    </w:rPr>
                  </w:pPr>
                  <w:r>
                    <w:rPr>
                      <w:color w:val="auto"/>
                      <w:kern w:val="0"/>
                      <w:szCs w:val="21"/>
                      <w:highlight w:val="none"/>
                      <w:lang w:bidi="ar"/>
                    </w:rPr>
                    <w:t>50</w:t>
                  </w:r>
                </w:p>
              </w:tc>
              <w:tc>
                <w:tcPr>
                  <w:tcW w:w="900" w:type="dxa"/>
                  <w:shd w:val="clear" w:color="auto" w:fill="auto"/>
                  <w:vAlign w:val="center"/>
                </w:tcPr>
                <w:p w14:paraId="36254623">
                  <w:pPr>
                    <w:widowControl/>
                    <w:jc w:val="center"/>
                    <w:textAlignment w:val="center"/>
                    <w:rPr>
                      <w:color w:val="auto"/>
                      <w:kern w:val="0"/>
                      <w:szCs w:val="21"/>
                      <w:highlight w:val="none"/>
                      <w:lang w:bidi="ar"/>
                    </w:rPr>
                  </w:pPr>
                  <w:r>
                    <w:rPr>
                      <w:color w:val="auto"/>
                      <w:kern w:val="0"/>
                      <w:szCs w:val="21"/>
                      <w:highlight w:val="none"/>
                      <w:lang w:bidi="ar"/>
                    </w:rPr>
                    <w:t xml:space="preserve">0.074 </w:t>
                  </w:r>
                </w:p>
              </w:tc>
            </w:tr>
            <w:tr w14:paraId="5BDF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6065B34F">
                  <w:pPr>
                    <w:widowControl/>
                    <w:spacing w:line="300" w:lineRule="exact"/>
                    <w:jc w:val="center"/>
                    <w:rPr>
                      <w:color w:val="auto"/>
                      <w:szCs w:val="21"/>
                      <w:highlight w:val="none"/>
                    </w:rPr>
                  </w:pPr>
                </w:p>
              </w:tc>
              <w:tc>
                <w:tcPr>
                  <w:tcW w:w="426" w:type="dxa"/>
                  <w:vMerge w:val="continue"/>
                  <w:vAlign w:val="center"/>
                </w:tcPr>
                <w:p w14:paraId="6A5A3021">
                  <w:pPr>
                    <w:widowControl/>
                    <w:spacing w:line="300" w:lineRule="exact"/>
                    <w:jc w:val="center"/>
                    <w:rPr>
                      <w:color w:val="auto"/>
                      <w:szCs w:val="21"/>
                      <w:highlight w:val="none"/>
                    </w:rPr>
                  </w:pPr>
                </w:p>
              </w:tc>
              <w:tc>
                <w:tcPr>
                  <w:tcW w:w="1052" w:type="dxa"/>
                  <w:vMerge w:val="continue"/>
                  <w:vAlign w:val="center"/>
                </w:tcPr>
                <w:p w14:paraId="08CF6651">
                  <w:pPr>
                    <w:widowControl/>
                    <w:spacing w:line="300" w:lineRule="exact"/>
                    <w:jc w:val="center"/>
                    <w:rPr>
                      <w:color w:val="auto"/>
                      <w:szCs w:val="21"/>
                      <w:highlight w:val="none"/>
                    </w:rPr>
                  </w:pPr>
                </w:p>
              </w:tc>
              <w:tc>
                <w:tcPr>
                  <w:tcW w:w="1208" w:type="dxa"/>
                  <w:vAlign w:val="center"/>
                </w:tcPr>
                <w:p w14:paraId="653DCCA1">
                  <w:pPr>
                    <w:widowControl/>
                    <w:spacing w:line="300" w:lineRule="exact"/>
                    <w:jc w:val="center"/>
                    <w:rPr>
                      <w:color w:val="auto"/>
                      <w:szCs w:val="21"/>
                      <w:highlight w:val="none"/>
                    </w:rPr>
                  </w:pPr>
                  <w:r>
                    <w:rPr>
                      <w:rFonts w:hint="eastAsia"/>
                      <w:color w:val="auto"/>
                      <w:szCs w:val="21"/>
                      <w:highlight w:val="none"/>
                    </w:rPr>
                    <w:t>BOD</w:t>
                  </w:r>
                  <w:r>
                    <w:rPr>
                      <w:rFonts w:hint="eastAsia"/>
                      <w:color w:val="auto"/>
                      <w:szCs w:val="21"/>
                      <w:highlight w:val="none"/>
                      <w:vertAlign w:val="subscript"/>
                    </w:rPr>
                    <w:t>5</w:t>
                  </w:r>
                </w:p>
              </w:tc>
              <w:tc>
                <w:tcPr>
                  <w:tcW w:w="1063" w:type="dxa"/>
                  <w:vAlign w:val="center"/>
                </w:tcPr>
                <w:p w14:paraId="24F73E87">
                  <w:pPr>
                    <w:widowControl/>
                    <w:jc w:val="center"/>
                    <w:textAlignment w:val="center"/>
                    <w:rPr>
                      <w:color w:val="auto"/>
                      <w:szCs w:val="21"/>
                      <w:highlight w:val="none"/>
                    </w:rPr>
                  </w:pPr>
                  <w:r>
                    <w:rPr>
                      <w:rFonts w:hint="eastAsia"/>
                      <w:color w:val="auto"/>
                      <w:szCs w:val="21"/>
                      <w:highlight w:val="none"/>
                    </w:rPr>
                    <w:t>/</w:t>
                  </w:r>
                </w:p>
              </w:tc>
              <w:tc>
                <w:tcPr>
                  <w:tcW w:w="914" w:type="dxa"/>
                  <w:vAlign w:val="center"/>
                </w:tcPr>
                <w:p w14:paraId="152D7BF4">
                  <w:pPr>
                    <w:widowControl/>
                    <w:jc w:val="center"/>
                    <w:textAlignment w:val="center"/>
                    <w:rPr>
                      <w:color w:val="auto"/>
                      <w:szCs w:val="21"/>
                      <w:highlight w:val="none"/>
                    </w:rPr>
                  </w:pPr>
                  <w:r>
                    <w:rPr>
                      <w:color w:val="auto"/>
                      <w:kern w:val="0"/>
                      <w:szCs w:val="21"/>
                      <w:highlight w:val="none"/>
                      <w:lang w:bidi="ar"/>
                    </w:rPr>
                    <w:t xml:space="preserve">0.726 </w:t>
                  </w:r>
                </w:p>
              </w:tc>
              <w:tc>
                <w:tcPr>
                  <w:tcW w:w="1389" w:type="dxa"/>
                  <w:vMerge w:val="continue"/>
                  <w:vAlign w:val="center"/>
                </w:tcPr>
                <w:p w14:paraId="42AF43E6">
                  <w:pPr>
                    <w:widowControl/>
                    <w:jc w:val="center"/>
                    <w:textAlignment w:val="center"/>
                    <w:rPr>
                      <w:color w:val="auto"/>
                      <w:kern w:val="0"/>
                      <w:szCs w:val="21"/>
                      <w:highlight w:val="none"/>
                      <w:lang w:bidi="ar"/>
                    </w:rPr>
                  </w:pPr>
                </w:p>
              </w:tc>
              <w:tc>
                <w:tcPr>
                  <w:tcW w:w="1091" w:type="dxa"/>
                  <w:vAlign w:val="center"/>
                </w:tcPr>
                <w:p w14:paraId="28678491">
                  <w:pPr>
                    <w:widowControl/>
                    <w:jc w:val="center"/>
                    <w:textAlignment w:val="center"/>
                    <w:rPr>
                      <w:color w:val="auto"/>
                      <w:kern w:val="0"/>
                      <w:szCs w:val="21"/>
                      <w:highlight w:val="none"/>
                      <w:lang w:bidi="ar"/>
                    </w:rPr>
                  </w:pPr>
                  <w:r>
                    <w:rPr>
                      <w:rFonts w:hint="eastAsia"/>
                      <w:color w:val="auto"/>
                      <w:szCs w:val="21"/>
                      <w:highlight w:val="none"/>
                    </w:rPr>
                    <w:t>/</w:t>
                  </w:r>
                </w:p>
              </w:tc>
              <w:tc>
                <w:tcPr>
                  <w:tcW w:w="929" w:type="dxa"/>
                  <w:vAlign w:val="center"/>
                </w:tcPr>
                <w:p w14:paraId="39B155AD">
                  <w:pPr>
                    <w:widowControl/>
                    <w:jc w:val="center"/>
                    <w:textAlignment w:val="center"/>
                    <w:rPr>
                      <w:color w:val="auto"/>
                      <w:kern w:val="0"/>
                      <w:szCs w:val="21"/>
                      <w:highlight w:val="none"/>
                      <w:lang w:bidi="ar"/>
                    </w:rPr>
                  </w:pPr>
                  <w:r>
                    <w:rPr>
                      <w:color w:val="auto"/>
                      <w:kern w:val="0"/>
                      <w:szCs w:val="21"/>
                      <w:highlight w:val="none"/>
                      <w:lang w:bidi="ar"/>
                    </w:rPr>
                    <w:t xml:space="preserve">0.093 </w:t>
                  </w:r>
                </w:p>
              </w:tc>
              <w:tc>
                <w:tcPr>
                  <w:tcW w:w="1847" w:type="dxa"/>
                  <w:vMerge w:val="continue"/>
                  <w:vAlign w:val="center"/>
                </w:tcPr>
                <w:p w14:paraId="3248ED19">
                  <w:pPr>
                    <w:widowControl/>
                    <w:jc w:val="center"/>
                    <w:textAlignment w:val="center"/>
                    <w:rPr>
                      <w:color w:val="auto"/>
                      <w:kern w:val="0"/>
                      <w:szCs w:val="21"/>
                      <w:highlight w:val="none"/>
                      <w:lang w:bidi="ar"/>
                    </w:rPr>
                  </w:pPr>
                </w:p>
              </w:tc>
              <w:tc>
                <w:tcPr>
                  <w:tcW w:w="1091" w:type="dxa"/>
                  <w:vAlign w:val="center"/>
                </w:tcPr>
                <w:p w14:paraId="64D96030">
                  <w:pPr>
                    <w:widowControl/>
                    <w:jc w:val="center"/>
                    <w:textAlignment w:val="center"/>
                    <w:rPr>
                      <w:color w:val="auto"/>
                      <w:kern w:val="0"/>
                      <w:szCs w:val="21"/>
                      <w:highlight w:val="none"/>
                      <w:lang w:bidi="ar"/>
                    </w:rPr>
                  </w:pPr>
                  <w:r>
                    <w:rPr>
                      <w:color w:val="auto"/>
                      <w:kern w:val="0"/>
                      <w:szCs w:val="21"/>
                      <w:highlight w:val="none"/>
                      <w:lang w:bidi="ar"/>
                    </w:rPr>
                    <w:t>10</w:t>
                  </w:r>
                </w:p>
              </w:tc>
              <w:tc>
                <w:tcPr>
                  <w:tcW w:w="900" w:type="dxa"/>
                  <w:vAlign w:val="center"/>
                </w:tcPr>
                <w:p w14:paraId="1F89C0C7">
                  <w:pPr>
                    <w:widowControl/>
                    <w:jc w:val="center"/>
                    <w:textAlignment w:val="center"/>
                    <w:rPr>
                      <w:color w:val="auto"/>
                      <w:kern w:val="0"/>
                      <w:szCs w:val="21"/>
                      <w:highlight w:val="none"/>
                      <w:lang w:bidi="ar"/>
                    </w:rPr>
                  </w:pPr>
                  <w:r>
                    <w:rPr>
                      <w:color w:val="auto"/>
                      <w:kern w:val="0"/>
                      <w:szCs w:val="21"/>
                      <w:highlight w:val="none"/>
                      <w:lang w:bidi="ar"/>
                    </w:rPr>
                    <w:t xml:space="preserve">0.015 </w:t>
                  </w:r>
                </w:p>
              </w:tc>
            </w:tr>
            <w:tr w14:paraId="6C30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27678B9E">
                  <w:pPr>
                    <w:widowControl/>
                    <w:spacing w:line="300" w:lineRule="exact"/>
                    <w:jc w:val="center"/>
                    <w:rPr>
                      <w:color w:val="auto"/>
                      <w:szCs w:val="21"/>
                      <w:highlight w:val="none"/>
                    </w:rPr>
                  </w:pPr>
                </w:p>
              </w:tc>
              <w:tc>
                <w:tcPr>
                  <w:tcW w:w="426" w:type="dxa"/>
                  <w:vMerge w:val="continue"/>
                  <w:vAlign w:val="center"/>
                </w:tcPr>
                <w:p w14:paraId="43EAD08C">
                  <w:pPr>
                    <w:widowControl/>
                    <w:spacing w:line="300" w:lineRule="exact"/>
                    <w:jc w:val="center"/>
                    <w:rPr>
                      <w:color w:val="auto"/>
                      <w:szCs w:val="21"/>
                      <w:highlight w:val="none"/>
                    </w:rPr>
                  </w:pPr>
                </w:p>
              </w:tc>
              <w:tc>
                <w:tcPr>
                  <w:tcW w:w="1052" w:type="dxa"/>
                  <w:vMerge w:val="continue"/>
                  <w:vAlign w:val="center"/>
                </w:tcPr>
                <w:p w14:paraId="0336A8F8">
                  <w:pPr>
                    <w:widowControl/>
                    <w:spacing w:line="300" w:lineRule="exact"/>
                    <w:jc w:val="center"/>
                    <w:rPr>
                      <w:color w:val="auto"/>
                      <w:szCs w:val="21"/>
                      <w:highlight w:val="none"/>
                    </w:rPr>
                  </w:pPr>
                </w:p>
              </w:tc>
              <w:tc>
                <w:tcPr>
                  <w:tcW w:w="1208" w:type="dxa"/>
                  <w:vAlign w:val="center"/>
                </w:tcPr>
                <w:p w14:paraId="353C6E31">
                  <w:pPr>
                    <w:widowControl/>
                    <w:spacing w:line="300" w:lineRule="exact"/>
                    <w:jc w:val="center"/>
                    <w:rPr>
                      <w:color w:val="auto"/>
                      <w:szCs w:val="21"/>
                      <w:highlight w:val="none"/>
                    </w:rPr>
                  </w:pPr>
                  <w:r>
                    <w:rPr>
                      <w:rFonts w:hint="eastAsia"/>
                      <w:color w:val="auto"/>
                      <w:szCs w:val="21"/>
                      <w:highlight w:val="none"/>
                    </w:rPr>
                    <w:t>SS</w:t>
                  </w:r>
                </w:p>
              </w:tc>
              <w:tc>
                <w:tcPr>
                  <w:tcW w:w="1063" w:type="dxa"/>
                  <w:vAlign w:val="center"/>
                </w:tcPr>
                <w:p w14:paraId="08062E36">
                  <w:pPr>
                    <w:widowControl/>
                    <w:jc w:val="center"/>
                    <w:textAlignment w:val="center"/>
                    <w:rPr>
                      <w:color w:val="auto"/>
                      <w:szCs w:val="21"/>
                      <w:highlight w:val="none"/>
                    </w:rPr>
                  </w:pPr>
                  <w:r>
                    <w:rPr>
                      <w:rFonts w:hint="eastAsia"/>
                      <w:color w:val="auto"/>
                      <w:szCs w:val="21"/>
                      <w:highlight w:val="none"/>
                    </w:rPr>
                    <w:t>/</w:t>
                  </w:r>
                </w:p>
              </w:tc>
              <w:tc>
                <w:tcPr>
                  <w:tcW w:w="914" w:type="dxa"/>
                  <w:vAlign w:val="center"/>
                </w:tcPr>
                <w:p w14:paraId="0BE6EE72">
                  <w:pPr>
                    <w:widowControl/>
                    <w:jc w:val="center"/>
                    <w:textAlignment w:val="center"/>
                    <w:rPr>
                      <w:color w:val="auto"/>
                      <w:szCs w:val="21"/>
                      <w:highlight w:val="none"/>
                    </w:rPr>
                  </w:pPr>
                  <w:r>
                    <w:rPr>
                      <w:color w:val="auto"/>
                      <w:kern w:val="0"/>
                      <w:szCs w:val="21"/>
                      <w:highlight w:val="none"/>
                      <w:lang w:bidi="ar"/>
                    </w:rPr>
                    <w:t xml:space="preserve">0.998 </w:t>
                  </w:r>
                </w:p>
              </w:tc>
              <w:tc>
                <w:tcPr>
                  <w:tcW w:w="1389" w:type="dxa"/>
                  <w:vMerge w:val="continue"/>
                  <w:vAlign w:val="center"/>
                </w:tcPr>
                <w:p w14:paraId="4E36845A">
                  <w:pPr>
                    <w:widowControl/>
                    <w:jc w:val="center"/>
                    <w:textAlignment w:val="center"/>
                    <w:rPr>
                      <w:color w:val="auto"/>
                      <w:kern w:val="0"/>
                      <w:szCs w:val="21"/>
                      <w:highlight w:val="none"/>
                      <w:lang w:bidi="ar"/>
                    </w:rPr>
                  </w:pPr>
                </w:p>
              </w:tc>
              <w:tc>
                <w:tcPr>
                  <w:tcW w:w="1091" w:type="dxa"/>
                  <w:vAlign w:val="center"/>
                </w:tcPr>
                <w:p w14:paraId="4C789BFA">
                  <w:pPr>
                    <w:widowControl/>
                    <w:jc w:val="center"/>
                    <w:textAlignment w:val="center"/>
                    <w:rPr>
                      <w:color w:val="auto"/>
                      <w:kern w:val="0"/>
                      <w:szCs w:val="21"/>
                      <w:highlight w:val="none"/>
                      <w:lang w:bidi="ar"/>
                    </w:rPr>
                  </w:pPr>
                  <w:r>
                    <w:rPr>
                      <w:rFonts w:hint="eastAsia"/>
                      <w:color w:val="auto"/>
                      <w:szCs w:val="21"/>
                      <w:highlight w:val="none"/>
                    </w:rPr>
                    <w:t>/</w:t>
                  </w:r>
                </w:p>
              </w:tc>
              <w:tc>
                <w:tcPr>
                  <w:tcW w:w="929" w:type="dxa"/>
                  <w:vAlign w:val="center"/>
                </w:tcPr>
                <w:p w14:paraId="7E80A701">
                  <w:pPr>
                    <w:widowControl/>
                    <w:jc w:val="center"/>
                    <w:textAlignment w:val="center"/>
                    <w:rPr>
                      <w:color w:val="auto"/>
                      <w:kern w:val="0"/>
                      <w:szCs w:val="21"/>
                      <w:highlight w:val="none"/>
                      <w:lang w:bidi="ar"/>
                    </w:rPr>
                  </w:pPr>
                  <w:r>
                    <w:rPr>
                      <w:color w:val="auto"/>
                      <w:kern w:val="0"/>
                      <w:szCs w:val="21"/>
                      <w:highlight w:val="none"/>
                      <w:lang w:bidi="ar"/>
                    </w:rPr>
                    <w:t xml:space="preserve">0.108 </w:t>
                  </w:r>
                </w:p>
              </w:tc>
              <w:tc>
                <w:tcPr>
                  <w:tcW w:w="1847" w:type="dxa"/>
                  <w:vMerge w:val="continue"/>
                  <w:vAlign w:val="center"/>
                </w:tcPr>
                <w:p w14:paraId="72B2B483">
                  <w:pPr>
                    <w:widowControl/>
                    <w:jc w:val="center"/>
                    <w:textAlignment w:val="center"/>
                    <w:rPr>
                      <w:color w:val="auto"/>
                      <w:kern w:val="0"/>
                      <w:szCs w:val="21"/>
                      <w:highlight w:val="none"/>
                      <w:lang w:bidi="ar"/>
                    </w:rPr>
                  </w:pPr>
                </w:p>
              </w:tc>
              <w:tc>
                <w:tcPr>
                  <w:tcW w:w="1091" w:type="dxa"/>
                  <w:vAlign w:val="center"/>
                </w:tcPr>
                <w:p w14:paraId="3E8C039B">
                  <w:pPr>
                    <w:widowControl/>
                    <w:jc w:val="center"/>
                    <w:textAlignment w:val="center"/>
                    <w:rPr>
                      <w:color w:val="auto"/>
                      <w:kern w:val="0"/>
                      <w:szCs w:val="21"/>
                      <w:highlight w:val="none"/>
                      <w:lang w:bidi="ar"/>
                    </w:rPr>
                  </w:pPr>
                  <w:r>
                    <w:rPr>
                      <w:color w:val="auto"/>
                      <w:kern w:val="0"/>
                      <w:szCs w:val="21"/>
                      <w:highlight w:val="none"/>
                      <w:lang w:bidi="ar"/>
                    </w:rPr>
                    <w:t>10</w:t>
                  </w:r>
                </w:p>
              </w:tc>
              <w:tc>
                <w:tcPr>
                  <w:tcW w:w="900" w:type="dxa"/>
                  <w:vAlign w:val="center"/>
                </w:tcPr>
                <w:p w14:paraId="6FB6A9E9">
                  <w:pPr>
                    <w:widowControl/>
                    <w:jc w:val="center"/>
                    <w:textAlignment w:val="center"/>
                    <w:rPr>
                      <w:color w:val="auto"/>
                      <w:kern w:val="0"/>
                      <w:szCs w:val="21"/>
                      <w:highlight w:val="none"/>
                      <w:lang w:bidi="ar"/>
                    </w:rPr>
                  </w:pPr>
                  <w:r>
                    <w:rPr>
                      <w:color w:val="auto"/>
                      <w:kern w:val="0"/>
                      <w:szCs w:val="21"/>
                      <w:highlight w:val="none"/>
                      <w:lang w:bidi="ar"/>
                    </w:rPr>
                    <w:t xml:space="preserve">0.015 </w:t>
                  </w:r>
                </w:p>
              </w:tc>
            </w:tr>
            <w:tr w14:paraId="7F0B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666D3F36">
                  <w:pPr>
                    <w:widowControl/>
                    <w:spacing w:line="300" w:lineRule="exact"/>
                    <w:jc w:val="center"/>
                    <w:rPr>
                      <w:color w:val="auto"/>
                      <w:szCs w:val="21"/>
                      <w:highlight w:val="none"/>
                    </w:rPr>
                  </w:pPr>
                </w:p>
              </w:tc>
              <w:tc>
                <w:tcPr>
                  <w:tcW w:w="426" w:type="dxa"/>
                  <w:vMerge w:val="continue"/>
                  <w:vAlign w:val="center"/>
                </w:tcPr>
                <w:p w14:paraId="59A42DD7">
                  <w:pPr>
                    <w:widowControl/>
                    <w:spacing w:line="300" w:lineRule="exact"/>
                    <w:jc w:val="center"/>
                    <w:rPr>
                      <w:color w:val="auto"/>
                      <w:szCs w:val="21"/>
                      <w:highlight w:val="none"/>
                    </w:rPr>
                  </w:pPr>
                </w:p>
              </w:tc>
              <w:tc>
                <w:tcPr>
                  <w:tcW w:w="1052" w:type="dxa"/>
                  <w:vMerge w:val="continue"/>
                  <w:vAlign w:val="center"/>
                </w:tcPr>
                <w:p w14:paraId="5337C29C">
                  <w:pPr>
                    <w:widowControl/>
                    <w:spacing w:line="300" w:lineRule="exact"/>
                    <w:jc w:val="center"/>
                    <w:rPr>
                      <w:color w:val="auto"/>
                      <w:szCs w:val="21"/>
                      <w:highlight w:val="none"/>
                    </w:rPr>
                  </w:pPr>
                </w:p>
              </w:tc>
              <w:tc>
                <w:tcPr>
                  <w:tcW w:w="1208" w:type="dxa"/>
                  <w:vAlign w:val="center"/>
                </w:tcPr>
                <w:p w14:paraId="60877A19">
                  <w:pPr>
                    <w:widowControl/>
                    <w:spacing w:line="300" w:lineRule="exact"/>
                    <w:jc w:val="center"/>
                    <w:rPr>
                      <w:color w:val="auto"/>
                      <w:szCs w:val="21"/>
                      <w:highlight w:val="none"/>
                    </w:rPr>
                  </w:pPr>
                  <w:r>
                    <w:rPr>
                      <w:rFonts w:hint="eastAsia"/>
                      <w:color w:val="auto"/>
                      <w:szCs w:val="21"/>
                      <w:highlight w:val="none"/>
                    </w:rPr>
                    <w:t>氨氮</w:t>
                  </w:r>
                </w:p>
              </w:tc>
              <w:tc>
                <w:tcPr>
                  <w:tcW w:w="1063" w:type="dxa"/>
                  <w:vAlign w:val="center"/>
                </w:tcPr>
                <w:p w14:paraId="3DFB171A">
                  <w:pPr>
                    <w:widowControl/>
                    <w:jc w:val="center"/>
                    <w:textAlignment w:val="center"/>
                    <w:rPr>
                      <w:color w:val="auto"/>
                      <w:szCs w:val="21"/>
                      <w:highlight w:val="none"/>
                    </w:rPr>
                  </w:pPr>
                  <w:r>
                    <w:rPr>
                      <w:rFonts w:hint="eastAsia"/>
                      <w:color w:val="auto"/>
                      <w:szCs w:val="21"/>
                      <w:highlight w:val="none"/>
                    </w:rPr>
                    <w:t>/</w:t>
                  </w:r>
                </w:p>
              </w:tc>
              <w:tc>
                <w:tcPr>
                  <w:tcW w:w="914" w:type="dxa"/>
                  <w:vAlign w:val="center"/>
                </w:tcPr>
                <w:p w14:paraId="60FFA3E3">
                  <w:pPr>
                    <w:widowControl/>
                    <w:jc w:val="center"/>
                    <w:textAlignment w:val="center"/>
                    <w:rPr>
                      <w:color w:val="auto"/>
                      <w:szCs w:val="21"/>
                      <w:highlight w:val="none"/>
                    </w:rPr>
                  </w:pPr>
                  <w:r>
                    <w:rPr>
                      <w:color w:val="auto"/>
                      <w:kern w:val="0"/>
                      <w:szCs w:val="21"/>
                      <w:highlight w:val="none"/>
                      <w:lang w:bidi="ar"/>
                    </w:rPr>
                    <w:t xml:space="preserve">0.043 </w:t>
                  </w:r>
                </w:p>
              </w:tc>
              <w:tc>
                <w:tcPr>
                  <w:tcW w:w="1389" w:type="dxa"/>
                  <w:vMerge w:val="continue"/>
                  <w:vAlign w:val="center"/>
                </w:tcPr>
                <w:p w14:paraId="3D598A3B">
                  <w:pPr>
                    <w:widowControl/>
                    <w:jc w:val="center"/>
                    <w:textAlignment w:val="center"/>
                    <w:rPr>
                      <w:color w:val="auto"/>
                      <w:kern w:val="0"/>
                      <w:szCs w:val="21"/>
                      <w:highlight w:val="none"/>
                      <w:lang w:bidi="ar"/>
                    </w:rPr>
                  </w:pPr>
                </w:p>
              </w:tc>
              <w:tc>
                <w:tcPr>
                  <w:tcW w:w="1091" w:type="dxa"/>
                  <w:vAlign w:val="center"/>
                </w:tcPr>
                <w:p w14:paraId="762CCE16">
                  <w:pPr>
                    <w:widowControl/>
                    <w:jc w:val="center"/>
                    <w:textAlignment w:val="center"/>
                    <w:rPr>
                      <w:color w:val="auto"/>
                      <w:kern w:val="0"/>
                      <w:szCs w:val="21"/>
                      <w:highlight w:val="none"/>
                      <w:lang w:bidi="ar"/>
                    </w:rPr>
                  </w:pPr>
                  <w:r>
                    <w:rPr>
                      <w:rFonts w:hint="eastAsia"/>
                      <w:color w:val="auto"/>
                      <w:szCs w:val="21"/>
                      <w:highlight w:val="none"/>
                    </w:rPr>
                    <w:t>/</w:t>
                  </w:r>
                </w:p>
              </w:tc>
              <w:tc>
                <w:tcPr>
                  <w:tcW w:w="929" w:type="dxa"/>
                  <w:vAlign w:val="center"/>
                </w:tcPr>
                <w:p w14:paraId="02009011">
                  <w:pPr>
                    <w:widowControl/>
                    <w:jc w:val="center"/>
                    <w:textAlignment w:val="center"/>
                    <w:rPr>
                      <w:color w:val="auto"/>
                      <w:kern w:val="0"/>
                      <w:szCs w:val="21"/>
                      <w:highlight w:val="none"/>
                      <w:lang w:bidi="ar"/>
                    </w:rPr>
                  </w:pPr>
                  <w:r>
                    <w:rPr>
                      <w:color w:val="auto"/>
                      <w:kern w:val="0"/>
                      <w:szCs w:val="21"/>
                      <w:highlight w:val="none"/>
                      <w:lang w:bidi="ar"/>
                    </w:rPr>
                    <w:t xml:space="preserve">0.038 </w:t>
                  </w:r>
                </w:p>
              </w:tc>
              <w:tc>
                <w:tcPr>
                  <w:tcW w:w="1847" w:type="dxa"/>
                  <w:vMerge w:val="continue"/>
                  <w:vAlign w:val="center"/>
                </w:tcPr>
                <w:p w14:paraId="08F6684C">
                  <w:pPr>
                    <w:widowControl/>
                    <w:jc w:val="center"/>
                    <w:textAlignment w:val="center"/>
                    <w:rPr>
                      <w:color w:val="auto"/>
                      <w:kern w:val="0"/>
                      <w:szCs w:val="21"/>
                      <w:highlight w:val="none"/>
                      <w:lang w:bidi="ar"/>
                    </w:rPr>
                  </w:pPr>
                </w:p>
              </w:tc>
              <w:tc>
                <w:tcPr>
                  <w:tcW w:w="1091" w:type="dxa"/>
                  <w:vAlign w:val="center"/>
                </w:tcPr>
                <w:p w14:paraId="636E46C7">
                  <w:pPr>
                    <w:widowControl/>
                    <w:jc w:val="center"/>
                    <w:textAlignment w:val="center"/>
                    <w:rPr>
                      <w:color w:val="auto"/>
                      <w:kern w:val="0"/>
                      <w:szCs w:val="21"/>
                      <w:highlight w:val="none"/>
                      <w:lang w:bidi="ar"/>
                    </w:rPr>
                  </w:pPr>
                  <w:r>
                    <w:rPr>
                      <w:color w:val="auto"/>
                      <w:kern w:val="0"/>
                      <w:szCs w:val="21"/>
                      <w:highlight w:val="none"/>
                      <w:lang w:bidi="ar"/>
                    </w:rPr>
                    <w:t>5</w:t>
                  </w:r>
                  <w:r>
                    <w:rPr>
                      <w:rFonts w:hint="eastAsia" w:ascii="宋体" w:hAnsi="宋体" w:cs="宋体"/>
                      <w:color w:val="auto"/>
                      <w:kern w:val="0"/>
                      <w:szCs w:val="21"/>
                      <w:highlight w:val="none"/>
                      <w:lang w:bidi="ar"/>
                    </w:rPr>
                    <w:t>（</w:t>
                  </w:r>
                  <w:r>
                    <w:rPr>
                      <w:color w:val="auto"/>
                      <w:kern w:val="0"/>
                      <w:szCs w:val="21"/>
                      <w:highlight w:val="none"/>
                      <w:lang w:bidi="ar"/>
                    </w:rPr>
                    <w:t>8</w:t>
                  </w:r>
                  <w:r>
                    <w:rPr>
                      <w:rFonts w:hint="eastAsia" w:ascii="宋体" w:hAnsi="宋体" w:cs="宋体"/>
                      <w:color w:val="auto"/>
                      <w:kern w:val="0"/>
                      <w:szCs w:val="21"/>
                      <w:highlight w:val="none"/>
                      <w:lang w:bidi="ar"/>
                    </w:rPr>
                    <w:t>）</w:t>
                  </w:r>
                </w:p>
              </w:tc>
              <w:tc>
                <w:tcPr>
                  <w:tcW w:w="900" w:type="dxa"/>
                  <w:vAlign w:val="center"/>
                </w:tcPr>
                <w:p w14:paraId="749CF548">
                  <w:pPr>
                    <w:widowControl/>
                    <w:jc w:val="center"/>
                    <w:textAlignment w:val="center"/>
                    <w:rPr>
                      <w:color w:val="auto"/>
                      <w:kern w:val="0"/>
                      <w:szCs w:val="21"/>
                      <w:highlight w:val="none"/>
                      <w:lang w:bidi="ar"/>
                    </w:rPr>
                  </w:pPr>
                  <w:r>
                    <w:rPr>
                      <w:color w:val="auto"/>
                      <w:kern w:val="0"/>
                      <w:szCs w:val="21"/>
                      <w:highlight w:val="none"/>
                      <w:lang w:bidi="ar"/>
                    </w:rPr>
                    <w:t xml:space="preserve">0.007 </w:t>
                  </w:r>
                </w:p>
              </w:tc>
            </w:tr>
            <w:tr w14:paraId="3519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59F3F51E">
                  <w:pPr>
                    <w:widowControl/>
                    <w:spacing w:line="300" w:lineRule="exact"/>
                    <w:jc w:val="center"/>
                    <w:rPr>
                      <w:color w:val="auto"/>
                      <w:szCs w:val="21"/>
                      <w:highlight w:val="none"/>
                    </w:rPr>
                  </w:pPr>
                </w:p>
              </w:tc>
              <w:tc>
                <w:tcPr>
                  <w:tcW w:w="426" w:type="dxa"/>
                  <w:vMerge w:val="continue"/>
                  <w:vAlign w:val="center"/>
                </w:tcPr>
                <w:p w14:paraId="4F2DE6C5">
                  <w:pPr>
                    <w:widowControl/>
                    <w:spacing w:line="300" w:lineRule="exact"/>
                    <w:jc w:val="center"/>
                    <w:rPr>
                      <w:color w:val="auto"/>
                      <w:szCs w:val="21"/>
                      <w:highlight w:val="none"/>
                    </w:rPr>
                  </w:pPr>
                </w:p>
              </w:tc>
              <w:tc>
                <w:tcPr>
                  <w:tcW w:w="1052" w:type="dxa"/>
                  <w:vMerge w:val="continue"/>
                  <w:vAlign w:val="center"/>
                </w:tcPr>
                <w:p w14:paraId="69C52F92">
                  <w:pPr>
                    <w:widowControl/>
                    <w:spacing w:line="300" w:lineRule="exact"/>
                    <w:jc w:val="center"/>
                    <w:rPr>
                      <w:color w:val="auto"/>
                      <w:szCs w:val="21"/>
                      <w:highlight w:val="none"/>
                    </w:rPr>
                  </w:pPr>
                </w:p>
              </w:tc>
              <w:tc>
                <w:tcPr>
                  <w:tcW w:w="1208" w:type="dxa"/>
                  <w:vAlign w:val="center"/>
                </w:tcPr>
                <w:p w14:paraId="38D9C73B">
                  <w:pPr>
                    <w:widowControl/>
                    <w:spacing w:line="300" w:lineRule="exact"/>
                    <w:jc w:val="center"/>
                    <w:rPr>
                      <w:color w:val="auto"/>
                      <w:szCs w:val="21"/>
                      <w:highlight w:val="none"/>
                    </w:rPr>
                  </w:pPr>
                  <w:r>
                    <w:rPr>
                      <w:rFonts w:hint="eastAsia"/>
                      <w:color w:val="auto"/>
                      <w:szCs w:val="21"/>
                      <w:highlight w:val="none"/>
                    </w:rPr>
                    <w:t>总氮</w:t>
                  </w:r>
                </w:p>
              </w:tc>
              <w:tc>
                <w:tcPr>
                  <w:tcW w:w="1063" w:type="dxa"/>
                  <w:vAlign w:val="center"/>
                </w:tcPr>
                <w:p w14:paraId="30D7AADD">
                  <w:pPr>
                    <w:widowControl/>
                    <w:jc w:val="center"/>
                    <w:textAlignment w:val="center"/>
                    <w:rPr>
                      <w:color w:val="auto"/>
                      <w:szCs w:val="21"/>
                      <w:highlight w:val="none"/>
                    </w:rPr>
                  </w:pPr>
                  <w:r>
                    <w:rPr>
                      <w:rFonts w:hint="eastAsia"/>
                      <w:color w:val="auto"/>
                      <w:szCs w:val="21"/>
                      <w:highlight w:val="none"/>
                    </w:rPr>
                    <w:t>/</w:t>
                  </w:r>
                </w:p>
              </w:tc>
              <w:tc>
                <w:tcPr>
                  <w:tcW w:w="914" w:type="dxa"/>
                  <w:vAlign w:val="center"/>
                </w:tcPr>
                <w:p w14:paraId="0A8AB80F">
                  <w:pPr>
                    <w:widowControl/>
                    <w:jc w:val="center"/>
                    <w:textAlignment w:val="center"/>
                    <w:rPr>
                      <w:color w:val="auto"/>
                      <w:szCs w:val="21"/>
                      <w:highlight w:val="none"/>
                    </w:rPr>
                  </w:pPr>
                  <w:r>
                    <w:rPr>
                      <w:color w:val="auto"/>
                      <w:kern w:val="0"/>
                      <w:szCs w:val="21"/>
                      <w:highlight w:val="none"/>
                      <w:lang w:bidi="ar"/>
                    </w:rPr>
                    <w:t xml:space="preserve">0.066 </w:t>
                  </w:r>
                </w:p>
              </w:tc>
              <w:tc>
                <w:tcPr>
                  <w:tcW w:w="1389" w:type="dxa"/>
                  <w:vMerge w:val="continue"/>
                  <w:vAlign w:val="center"/>
                </w:tcPr>
                <w:p w14:paraId="12B87531">
                  <w:pPr>
                    <w:widowControl/>
                    <w:jc w:val="center"/>
                    <w:textAlignment w:val="center"/>
                    <w:rPr>
                      <w:color w:val="auto"/>
                      <w:kern w:val="0"/>
                      <w:szCs w:val="21"/>
                      <w:highlight w:val="none"/>
                      <w:lang w:bidi="ar"/>
                    </w:rPr>
                  </w:pPr>
                </w:p>
              </w:tc>
              <w:tc>
                <w:tcPr>
                  <w:tcW w:w="1091" w:type="dxa"/>
                  <w:vAlign w:val="center"/>
                </w:tcPr>
                <w:p w14:paraId="236E4A1A">
                  <w:pPr>
                    <w:widowControl/>
                    <w:jc w:val="center"/>
                    <w:textAlignment w:val="center"/>
                    <w:rPr>
                      <w:color w:val="auto"/>
                      <w:kern w:val="0"/>
                      <w:szCs w:val="21"/>
                      <w:highlight w:val="none"/>
                      <w:lang w:bidi="ar"/>
                    </w:rPr>
                  </w:pPr>
                  <w:r>
                    <w:rPr>
                      <w:rFonts w:hint="eastAsia"/>
                      <w:color w:val="auto"/>
                      <w:szCs w:val="21"/>
                      <w:highlight w:val="none"/>
                    </w:rPr>
                    <w:t>/</w:t>
                  </w:r>
                </w:p>
              </w:tc>
              <w:tc>
                <w:tcPr>
                  <w:tcW w:w="929" w:type="dxa"/>
                  <w:vAlign w:val="center"/>
                </w:tcPr>
                <w:p w14:paraId="60449CF7">
                  <w:pPr>
                    <w:widowControl/>
                    <w:jc w:val="center"/>
                    <w:textAlignment w:val="center"/>
                    <w:rPr>
                      <w:color w:val="auto"/>
                      <w:kern w:val="0"/>
                      <w:szCs w:val="21"/>
                      <w:highlight w:val="none"/>
                      <w:lang w:bidi="ar"/>
                    </w:rPr>
                  </w:pPr>
                  <w:r>
                    <w:rPr>
                      <w:color w:val="auto"/>
                      <w:kern w:val="0"/>
                      <w:szCs w:val="21"/>
                      <w:highlight w:val="none"/>
                      <w:lang w:bidi="ar"/>
                    </w:rPr>
                    <w:t xml:space="preserve">0.046 </w:t>
                  </w:r>
                </w:p>
              </w:tc>
              <w:tc>
                <w:tcPr>
                  <w:tcW w:w="1847" w:type="dxa"/>
                  <w:vMerge w:val="continue"/>
                  <w:vAlign w:val="center"/>
                </w:tcPr>
                <w:p w14:paraId="6A57986E">
                  <w:pPr>
                    <w:widowControl/>
                    <w:jc w:val="center"/>
                    <w:textAlignment w:val="center"/>
                    <w:rPr>
                      <w:color w:val="auto"/>
                      <w:kern w:val="0"/>
                      <w:szCs w:val="21"/>
                      <w:highlight w:val="none"/>
                      <w:lang w:bidi="ar"/>
                    </w:rPr>
                  </w:pPr>
                </w:p>
              </w:tc>
              <w:tc>
                <w:tcPr>
                  <w:tcW w:w="1091" w:type="dxa"/>
                  <w:vAlign w:val="center"/>
                </w:tcPr>
                <w:p w14:paraId="15834F19">
                  <w:pPr>
                    <w:widowControl/>
                    <w:jc w:val="center"/>
                    <w:textAlignment w:val="center"/>
                    <w:rPr>
                      <w:color w:val="auto"/>
                      <w:kern w:val="0"/>
                      <w:szCs w:val="21"/>
                      <w:highlight w:val="none"/>
                      <w:lang w:bidi="ar"/>
                    </w:rPr>
                  </w:pPr>
                  <w:r>
                    <w:rPr>
                      <w:color w:val="auto"/>
                      <w:kern w:val="0"/>
                      <w:szCs w:val="21"/>
                      <w:highlight w:val="none"/>
                      <w:lang w:bidi="ar"/>
                    </w:rPr>
                    <w:t>15</w:t>
                  </w:r>
                </w:p>
              </w:tc>
              <w:tc>
                <w:tcPr>
                  <w:tcW w:w="900" w:type="dxa"/>
                  <w:vAlign w:val="center"/>
                </w:tcPr>
                <w:p w14:paraId="3A556AD8">
                  <w:pPr>
                    <w:widowControl/>
                    <w:jc w:val="center"/>
                    <w:textAlignment w:val="center"/>
                    <w:rPr>
                      <w:color w:val="auto"/>
                      <w:kern w:val="0"/>
                      <w:szCs w:val="21"/>
                      <w:highlight w:val="none"/>
                      <w:lang w:bidi="ar"/>
                    </w:rPr>
                  </w:pPr>
                  <w:r>
                    <w:rPr>
                      <w:color w:val="auto"/>
                      <w:kern w:val="0"/>
                      <w:szCs w:val="21"/>
                      <w:highlight w:val="none"/>
                      <w:lang w:bidi="ar"/>
                    </w:rPr>
                    <w:t xml:space="preserve">0.022 </w:t>
                  </w:r>
                </w:p>
              </w:tc>
            </w:tr>
            <w:tr w14:paraId="4E9F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Merge w:val="continue"/>
                  <w:vAlign w:val="center"/>
                </w:tcPr>
                <w:p w14:paraId="5DF264E9">
                  <w:pPr>
                    <w:widowControl/>
                    <w:spacing w:line="300" w:lineRule="exact"/>
                    <w:jc w:val="center"/>
                    <w:rPr>
                      <w:color w:val="auto"/>
                      <w:szCs w:val="21"/>
                      <w:highlight w:val="none"/>
                    </w:rPr>
                  </w:pPr>
                </w:p>
              </w:tc>
              <w:tc>
                <w:tcPr>
                  <w:tcW w:w="426" w:type="dxa"/>
                  <w:vMerge w:val="continue"/>
                  <w:vAlign w:val="center"/>
                </w:tcPr>
                <w:p w14:paraId="0231DEB1">
                  <w:pPr>
                    <w:widowControl/>
                    <w:spacing w:line="300" w:lineRule="exact"/>
                    <w:jc w:val="center"/>
                    <w:rPr>
                      <w:color w:val="auto"/>
                      <w:szCs w:val="21"/>
                      <w:highlight w:val="none"/>
                    </w:rPr>
                  </w:pPr>
                </w:p>
              </w:tc>
              <w:tc>
                <w:tcPr>
                  <w:tcW w:w="1052" w:type="dxa"/>
                  <w:vMerge w:val="continue"/>
                  <w:vAlign w:val="center"/>
                </w:tcPr>
                <w:p w14:paraId="6B94AF22">
                  <w:pPr>
                    <w:widowControl/>
                    <w:spacing w:line="300" w:lineRule="exact"/>
                    <w:jc w:val="center"/>
                    <w:rPr>
                      <w:color w:val="auto"/>
                      <w:szCs w:val="21"/>
                      <w:highlight w:val="none"/>
                    </w:rPr>
                  </w:pPr>
                </w:p>
              </w:tc>
              <w:tc>
                <w:tcPr>
                  <w:tcW w:w="1208" w:type="dxa"/>
                  <w:vAlign w:val="center"/>
                </w:tcPr>
                <w:p w14:paraId="5ECF89F2">
                  <w:pPr>
                    <w:widowControl/>
                    <w:spacing w:line="300" w:lineRule="exact"/>
                    <w:jc w:val="center"/>
                    <w:rPr>
                      <w:color w:val="auto"/>
                      <w:szCs w:val="21"/>
                      <w:highlight w:val="none"/>
                    </w:rPr>
                  </w:pPr>
                  <w:r>
                    <w:rPr>
                      <w:rFonts w:hint="eastAsia"/>
                      <w:color w:val="auto"/>
                      <w:szCs w:val="21"/>
                      <w:highlight w:val="none"/>
                    </w:rPr>
                    <w:t>总磷</w:t>
                  </w:r>
                </w:p>
              </w:tc>
              <w:tc>
                <w:tcPr>
                  <w:tcW w:w="1063" w:type="dxa"/>
                  <w:vAlign w:val="center"/>
                </w:tcPr>
                <w:p w14:paraId="15B5A8B2">
                  <w:pPr>
                    <w:widowControl/>
                    <w:jc w:val="center"/>
                    <w:textAlignment w:val="center"/>
                    <w:rPr>
                      <w:color w:val="auto"/>
                      <w:szCs w:val="21"/>
                      <w:highlight w:val="none"/>
                    </w:rPr>
                  </w:pPr>
                  <w:r>
                    <w:rPr>
                      <w:rFonts w:hint="eastAsia"/>
                      <w:color w:val="auto"/>
                      <w:szCs w:val="21"/>
                      <w:highlight w:val="none"/>
                    </w:rPr>
                    <w:t>/</w:t>
                  </w:r>
                </w:p>
              </w:tc>
              <w:tc>
                <w:tcPr>
                  <w:tcW w:w="914" w:type="dxa"/>
                  <w:vAlign w:val="center"/>
                </w:tcPr>
                <w:p w14:paraId="05914762">
                  <w:pPr>
                    <w:widowControl/>
                    <w:jc w:val="center"/>
                    <w:textAlignment w:val="center"/>
                    <w:rPr>
                      <w:color w:val="auto"/>
                      <w:szCs w:val="21"/>
                      <w:highlight w:val="none"/>
                    </w:rPr>
                  </w:pPr>
                  <w:r>
                    <w:rPr>
                      <w:color w:val="auto"/>
                      <w:kern w:val="0"/>
                      <w:szCs w:val="21"/>
                      <w:highlight w:val="none"/>
                      <w:lang w:bidi="ar"/>
                    </w:rPr>
                    <w:t xml:space="preserve">0.004 </w:t>
                  </w:r>
                </w:p>
              </w:tc>
              <w:tc>
                <w:tcPr>
                  <w:tcW w:w="1389" w:type="dxa"/>
                  <w:vMerge w:val="continue"/>
                  <w:vAlign w:val="center"/>
                </w:tcPr>
                <w:p w14:paraId="1045856A">
                  <w:pPr>
                    <w:widowControl/>
                    <w:jc w:val="center"/>
                    <w:textAlignment w:val="center"/>
                    <w:rPr>
                      <w:color w:val="auto"/>
                      <w:kern w:val="0"/>
                      <w:szCs w:val="21"/>
                      <w:highlight w:val="none"/>
                      <w:lang w:bidi="ar"/>
                    </w:rPr>
                  </w:pPr>
                </w:p>
              </w:tc>
              <w:tc>
                <w:tcPr>
                  <w:tcW w:w="1091" w:type="dxa"/>
                  <w:vAlign w:val="center"/>
                </w:tcPr>
                <w:p w14:paraId="56924FA0">
                  <w:pPr>
                    <w:widowControl/>
                    <w:jc w:val="center"/>
                    <w:textAlignment w:val="center"/>
                    <w:rPr>
                      <w:color w:val="auto"/>
                      <w:kern w:val="0"/>
                      <w:szCs w:val="21"/>
                      <w:highlight w:val="none"/>
                      <w:lang w:bidi="ar"/>
                    </w:rPr>
                  </w:pPr>
                  <w:r>
                    <w:rPr>
                      <w:rFonts w:hint="eastAsia"/>
                      <w:color w:val="auto"/>
                      <w:szCs w:val="21"/>
                      <w:highlight w:val="none"/>
                    </w:rPr>
                    <w:t>/</w:t>
                  </w:r>
                </w:p>
              </w:tc>
              <w:tc>
                <w:tcPr>
                  <w:tcW w:w="929" w:type="dxa"/>
                  <w:vAlign w:val="center"/>
                </w:tcPr>
                <w:p w14:paraId="26A23180">
                  <w:pPr>
                    <w:widowControl/>
                    <w:jc w:val="center"/>
                    <w:textAlignment w:val="center"/>
                    <w:rPr>
                      <w:color w:val="auto"/>
                      <w:kern w:val="0"/>
                      <w:szCs w:val="21"/>
                      <w:highlight w:val="none"/>
                      <w:lang w:bidi="ar"/>
                    </w:rPr>
                  </w:pPr>
                  <w:r>
                    <w:rPr>
                      <w:color w:val="auto"/>
                      <w:kern w:val="0"/>
                      <w:szCs w:val="21"/>
                      <w:highlight w:val="none"/>
                      <w:lang w:bidi="ar"/>
                    </w:rPr>
                    <w:t xml:space="preserve">0.050 </w:t>
                  </w:r>
                </w:p>
              </w:tc>
              <w:tc>
                <w:tcPr>
                  <w:tcW w:w="1847" w:type="dxa"/>
                  <w:vMerge w:val="continue"/>
                  <w:vAlign w:val="center"/>
                </w:tcPr>
                <w:p w14:paraId="390A94E7">
                  <w:pPr>
                    <w:widowControl/>
                    <w:jc w:val="center"/>
                    <w:textAlignment w:val="center"/>
                    <w:rPr>
                      <w:color w:val="auto"/>
                      <w:kern w:val="0"/>
                      <w:szCs w:val="21"/>
                      <w:highlight w:val="none"/>
                      <w:lang w:bidi="ar"/>
                    </w:rPr>
                  </w:pPr>
                </w:p>
              </w:tc>
              <w:tc>
                <w:tcPr>
                  <w:tcW w:w="1091" w:type="dxa"/>
                  <w:vAlign w:val="center"/>
                </w:tcPr>
                <w:p w14:paraId="141DB820">
                  <w:pPr>
                    <w:widowControl/>
                    <w:jc w:val="center"/>
                    <w:textAlignment w:val="center"/>
                    <w:rPr>
                      <w:color w:val="auto"/>
                      <w:kern w:val="0"/>
                      <w:szCs w:val="21"/>
                      <w:highlight w:val="none"/>
                      <w:lang w:bidi="ar"/>
                    </w:rPr>
                  </w:pPr>
                  <w:r>
                    <w:rPr>
                      <w:color w:val="auto"/>
                      <w:kern w:val="0"/>
                      <w:szCs w:val="21"/>
                      <w:highlight w:val="none"/>
                      <w:lang w:bidi="ar"/>
                    </w:rPr>
                    <w:t>0.5</w:t>
                  </w:r>
                </w:p>
              </w:tc>
              <w:tc>
                <w:tcPr>
                  <w:tcW w:w="900" w:type="dxa"/>
                  <w:vAlign w:val="center"/>
                </w:tcPr>
                <w:p w14:paraId="0FB493D9">
                  <w:pPr>
                    <w:widowControl/>
                    <w:jc w:val="center"/>
                    <w:textAlignment w:val="center"/>
                    <w:rPr>
                      <w:color w:val="auto"/>
                      <w:kern w:val="0"/>
                      <w:szCs w:val="21"/>
                      <w:highlight w:val="none"/>
                      <w:lang w:bidi="ar"/>
                    </w:rPr>
                  </w:pPr>
                  <w:r>
                    <w:rPr>
                      <w:color w:val="auto"/>
                      <w:kern w:val="0"/>
                      <w:szCs w:val="21"/>
                      <w:highlight w:val="none"/>
                      <w:lang w:bidi="ar"/>
                    </w:rPr>
                    <w:t xml:space="preserve">0.001 </w:t>
                  </w:r>
                </w:p>
              </w:tc>
            </w:tr>
          </w:tbl>
          <w:p w14:paraId="0A688AA4">
            <w:pPr>
              <w:adjustRightInd w:val="0"/>
              <w:snapToGrid w:val="0"/>
              <w:rPr>
                <w:rFonts w:ascii="宋体" w:hAnsi="宋体" w:cs="宋体"/>
                <w:bCs/>
                <w:color w:val="auto"/>
                <w:szCs w:val="21"/>
                <w:highlight w:val="none"/>
              </w:rPr>
            </w:pPr>
          </w:p>
        </w:tc>
      </w:tr>
    </w:tbl>
    <w:p w14:paraId="785AC12C">
      <w:pPr>
        <w:adjustRightInd w:val="0"/>
        <w:snapToGrid w:val="0"/>
        <w:rPr>
          <w:rFonts w:ascii="宋体" w:hAnsi="宋体" w:cs="宋体"/>
          <w:bCs/>
          <w:color w:val="auto"/>
          <w:szCs w:val="21"/>
          <w:highlight w:val="none"/>
        </w:rPr>
      </w:pPr>
    </w:p>
    <w:p w14:paraId="65A0DC84">
      <w:pPr>
        <w:adjustRightInd w:val="0"/>
        <w:snapToGrid w:val="0"/>
        <w:rPr>
          <w:rFonts w:ascii="宋体" w:hAnsi="宋体" w:cs="宋体"/>
          <w:bCs/>
          <w:color w:val="auto"/>
          <w:szCs w:val="21"/>
          <w:highlight w:val="none"/>
        </w:rPr>
        <w:sectPr>
          <w:pgSz w:w="16840" w:h="11907" w:orient="landscape"/>
          <w:pgMar w:top="1531" w:right="1701" w:bottom="1531" w:left="2127" w:header="851" w:footer="851" w:gutter="0"/>
          <w:cols w:space="720" w:num="1"/>
          <w:docGrid w:linePitch="312" w:charSpace="0"/>
        </w:sectPr>
      </w:pPr>
    </w:p>
    <w:tbl>
      <w:tblPr>
        <w:tblStyle w:val="18"/>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6"/>
        <w:gridCol w:w="8689"/>
      </w:tblGrid>
      <w:tr w14:paraId="1EBAF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6" w:hRule="atLeast"/>
          <w:jc w:val="center"/>
        </w:trPr>
        <w:tc>
          <w:tcPr>
            <w:tcW w:w="266" w:type="dxa"/>
            <w:tcMar>
              <w:left w:w="28" w:type="dxa"/>
              <w:right w:w="28" w:type="dxa"/>
            </w:tcMar>
            <w:vAlign w:val="center"/>
          </w:tcPr>
          <w:p w14:paraId="3086370F">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14:paraId="7ACF2E45">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14:paraId="5FD9EFB5">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14:paraId="61C0F2A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14:paraId="6F2D617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14:paraId="782C971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8689" w:type="dxa"/>
          </w:tcPr>
          <w:p w14:paraId="44EAD46B">
            <w:pPr>
              <w:adjustRightInd w:val="0"/>
              <w:snapToGrid w:val="0"/>
              <w:spacing w:line="360" w:lineRule="auto"/>
              <w:rPr>
                <w:rFonts w:hint="default" w:ascii="Times New Roman" w:hAnsi="Times New Roman" w:cs="Times New Roman"/>
                <w:b/>
                <w:color w:val="auto"/>
                <w:spacing w:val="-10"/>
                <w:sz w:val="24"/>
                <w:highlight w:val="none"/>
              </w:rPr>
            </w:pPr>
            <w:r>
              <w:rPr>
                <w:rFonts w:hint="default" w:ascii="Times New Roman" w:hAnsi="Times New Roman" w:cs="Times New Roman"/>
                <w:b/>
                <w:color w:val="auto"/>
                <w:spacing w:val="-10"/>
                <w:sz w:val="24"/>
                <w:highlight w:val="none"/>
              </w:rPr>
              <w:t>4.2.2.3废水处理措施及可行性分析</w:t>
            </w:r>
          </w:p>
          <w:p w14:paraId="68DB7F22">
            <w:pPr>
              <w:pStyle w:val="15"/>
              <w:spacing w:before="0" w:beforeAutospacing="0" w:after="0" w:afterAutospacing="0" w:line="360" w:lineRule="auto"/>
              <w:ind w:firstLine="482" w:firstLineChars="20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（1）自建生产废水处理措施可行性分析</w:t>
            </w:r>
          </w:p>
          <w:p w14:paraId="1314A3B7">
            <w:pPr>
              <w:pStyle w:val="15"/>
              <w:spacing w:before="0" w:beforeAutospacing="0" w:after="0" w:afterAutospacing="0"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本项目生产废水合计最大产生量为</w:t>
            </w:r>
            <w:r>
              <w:rPr>
                <w:rFonts w:hint="default" w:ascii="Times New Roman" w:hAnsi="Times New Roman" w:cs="Times New Roman"/>
                <w:color w:val="auto"/>
                <w:szCs w:val="21"/>
                <w:highlight w:val="none"/>
              </w:rPr>
              <w:t>13.061</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/d，自建废水处理设施设计处理能力15m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/d，采用“厌氧UASB+好氧”工艺，属于《</w:t>
            </w:r>
            <w:r>
              <w:rPr>
                <w:rFonts w:hint="default" w:ascii="Times New Roman" w:hAnsi="Times New Roman" w:cs="Times New Roman"/>
                <w:color w:val="auto"/>
                <w:highlight w:val="none"/>
              </w:rPr>
              <w:t>排污许可证申请与核发技术规范 农副食品加工工业——淀粉工业</w:t>
            </w:r>
            <w:r>
              <w:rPr>
                <w:rFonts w:hint="default" w:ascii="Times New Roman" w:hAnsi="Times New Roman" w:cs="Times New Roman"/>
                <w:color w:val="auto"/>
                <w:szCs w:val="24"/>
                <w:highlight w:val="none"/>
              </w:rPr>
              <w:t>》（HJ560.2-2018）表7中推荐的可行技术。</w:t>
            </w:r>
          </w:p>
          <w:p w14:paraId="01C4C012">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szCs w:val="21"/>
                <w:highlight w:val="none"/>
              </w:rPr>
              <w:t>本项目生产废水各处理前后污染物浓度统计情况见表4.2-5。</w:t>
            </w:r>
          </w:p>
          <w:p w14:paraId="742BE8B4">
            <w:pPr>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表4.2-5   生产废水各污染物浓度处理前后统计表   单位mg/L</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4"/>
              <w:gridCol w:w="1423"/>
              <w:gridCol w:w="660"/>
              <w:gridCol w:w="728"/>
              <w:gridCol w:w="531"/>
              <w:gridCol w:w="569"/>
              <w:gridCol w:w="569"/>
              <w:gridCol w:w="569"/>
            </w:tblGrid>
            <w:tr w14:paraId="565A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4" w:type="dxa"/>
                  <w:vAlign w:val="center"/>
                </w:tcPr>
                <w:p w14:paraId="6A72A70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指标</w:t>
                  </w:r>
                </w:p>
              </w:tc>
              <w:tc>
                <w:tcPr>
                  <w:tcW w:w="1423" w:type="dxa"/>
                  <w:vAlign w:val="center"/>
                </w:tcPr>
                <w:p w14:paraId="1871C0F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w:t>
                  </w:r>
                </w:p>
                <w:p w14:paraId="536EFB1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（无量纲）</w:t>
                  </w:r>
                </w:p>
              </w:tc>
              <w:tc>
                <w:tcPr>
                  <w:tcW w:w="660" w:type="dxa"/>
                  <w:vAlign w:val="center"/>
                </w:tcPr>
                <w:p w14:paraId="6922996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p>
              </w:tc>
              <w:tc>
                <w:tcPr>
                  <w:tcW w:w="728" w:type="dxa"/>
                  <w:vAlign w:val="center"/>
                </w:tcPr>
                <w:p w14:paraId="0BBA3D0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531" w:type="dxa"/>
                  <w:vAlign w:val="center"/>
                </w:tcPr>
                <w:p w14:paraId="2B0A4C4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tc>
              <w:tc>
                <w:tcPr>
                  <w:tcW w:w="569" w:type="dxa"/>
                  <w:vAlign w:val="center"/>
                </w:tcPr>
                <w:p w14:paraId="4420BA9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569" w:type="dxa"/>
                  <w:vAlign w:val="center"/>
                </w:tcPr>
                <w:p w14:paraId="1A70075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569" w:type="dxa"/>
                  <w:vAlign w:val="center"/>
                </w:tcPr>
                <w:p w14:paraId="42173EB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r>
            <w:tr w14:paraId="1B23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4" w:type="dxa"/>
                  <w:vAlign w:val="center"/>
                </w:tcPr>
                <w:p w14:paraId="7DD723C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进水水质</w:t>
                  </w:r>
                </w:p>
              </w:tc>
              <w:tc>
                <w:tcPr>
                  <w:tcW w:w="1423" w:type="dxa"/>
                  <w:vAlign w:val="center"/>
                </w:tcPr>
                <w:p w14:paraId="65B1A03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w:t>
                  </w:r>
                </w:p>
              </w:tc>
              <w:tc>
                <w:tcPr>
                  <w:tcW w:w="660" w:type="dxa"/>
                  <w:vAlign w:val="center"/>
                </w:tcPr>
                <w:p w14:paraId="610451E0">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123</w:t>
                  </w:r>
                  <w:r>
                    <w:rPr>
                      <w:rFonts w:hint="default" w:ascii="Times New Roman" w:hAnsi="Times New Roman" w:cs="Times New Roman"/>
                      <w:color w:val="auto"/>
                      <w:kern w:val="0"/>
                      <w:szCs w:val="21"/>
                      <w:highlight w:val="none"/>
                      <w:lang w:val="en-US" w:eastAsia="zh-CN" w:bidi="ar"/>
                    </w:rPr>
                    <w:t>5</w:t>
                  </w:r>
                  <w:r>
                    <w:rPr>
                      <w:rFonts w:hint="default" w:ascii="Times New Roman" w:hAnsi="Times New Roman" w:cs="Times New Roman"/>
                      <w:color w:val="auto"/>
                      <w:kern w:val="0"/>
                      <w:szCs w:val="21"/>
                      <w:highlight w:val="none"/>
                      <w:lang w:bidi="ar"/>
                    </w:rPr>
                    <w:t xml:space="preserve"> </w:t>
                  </w:r>
                </w:p>
              </w:tc>
              <w:tc>
                <w:tcPr>
                  <w:tcW w:w="728" w:type="dxa"/>
                  <w:vAlign w:val="center"/>
                </w:tcPr>
                <w:p w14:paraId="00B4633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499</w:t>
                  </w:r>
                </w:p>
              </w:tc>
              <w:tc>
                <w:tcPr>
                  <w:tcW w:w="531" w:type="dxa"/>
                  <w:vAlign w:val="center"/>
                </w:tcPr>
                <w:p w14:paraId="722AB86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692</w:t>
                  </w:r>
                </w:p>
              </w:tc>
              <w:tc>
                <w:tcPr>
                  <w:tcW w:w="569" w:type="dxa"/>
                  <w:vAlign w:val="center"/>
                </w:tcPr>
                <w:p w14:paraId="13246DC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29</w:t>
                  </w:r>
                </w:p>
              </w:tc>
              <w:tc>
                <w:tcPr>
                  <w:tcW w:w="569" w:type="dxa"/>
                  <w:vAlign w:val="center"/>
                </w:tcPr>
                <w:p w14:paraId="70007F6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w:t>
                  </w:r>
                </w:p>
              </w:tc>
              <w:tc>
                <w:tcPr>
                  <w:tcW w:w="569" w:type="dxa"/>
                  <w:vAlign w:val="center"/>
                </w:tcPr>
                <w:p w14:paraId="2E92A85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r>
            <w:tr w14:paraId="763D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4" w:type="dxa"/>
                  <w:vAlign w:val="center"/>
                </w:tcPr>
                <w:p w14:paraId="57CEBE9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出水水质</w:t>
                  </w:r>
                </w:p>
              </w:tc>
              <w:tc>
                <w:tcPr>
                  <w:tcW w:w="1423" w:type="dxa"/>
                  <w:vAlign w:val="center"/>
                </w:tcPr>
                <w:p w14:paraId="0F1140D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w:t>
                  </w:r>
                </w:p>
              </w:tc>
              <w:tc>
                <w:tcPr>
                  <w:tcW w:w="660" w:type="dxa"/>
                  <w:vAlign w:val="center"/>
                </w:tcPr>
                <w:p w14:paraId="2B214334">
                  <w:pPr>
                    <w:pStyle w:val="36"/>
                    <w:spacing w:before="24" w:after="24"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728" w:type="dxa"/>
                  <w:vAlign w:val="center"/>
                </w:tcPr>
                <w:p w14:paraId="70A538BD">
                  <w:pPr>
                    <w:pStyle w:val="36"/>
                    <w:spacing w:before="24" w:after="24"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531" w:type="dxa"/>
                  <w:vAlign w:val="center"/>
                </w:tcPr>
                <w:p w14:paraId="19A8ACA6">
                  <w:pPr>
                    <w:pStyle w:val="36"/>
                    <w:spacing w:before="24" w:after="24"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569" w:type="dxa"/>
                  <w:vAlign w:val="center"/>
                </w:tcPr>
                <w:p w14:paraId="6EC1F1E8">
                  <w:pPr>
                    <w:pStyle w:val="36"/>
                    <w:spacing w:before="24" w:after="24" w:line="300" w:lineRule="exac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29</w:t>
                  </w:r>
                </w:p>
              </w:tc>
              <w:tc>
                <w:tcPr>
                  <w:tcW w:w="569" w:type="dxa"/>
                  <w:vAlign w:val="center"/>
                </w:tcPr>
                <w:p w14:paraId="500993E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44</w:t>
                  </w:r>
                </w:p>
              </w:tc>
              <w:tc>
                <w:tcPr>
                  <w:tcW w:w="569" w:type="dxa"/>
                  <w:vAlign w:val="center"/>
                </w:tcPr>
                <w:p w14:paraId="4B1F1C93">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3</w:t>
                  </w:r>
                </w:p>
              </w:tc>
            </w:tr>
            <w:tr w14:paraId="4459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4" w:type="dxa"/>
                  <w:vAlign w:val="center"/>
                </w:tcPr>
                <w:p w14:paraId="4F506E6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处理效率（%）</w:t>
                  </w:r>
                </w:p>
              </w:tc>
              <w:tc>
                <w:tcPr>
                  <w:tcW w:w="1423" w:type="dxa"/>
                  <w:vAlign w:val="center"/>
                </w:tcPr>
                <w:p w14:paraId="5F877DA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660" w:type="dxa"/>
                  <w:vAlign w:val="center"/>
                </w:tcPr>
                <w:p w14:paraId="51C90DD7">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76</w:t>
                  </w:r>
                </w:p>
              </w:tc>
              <w:tc>
                <w:tcPr>
                  <w:tcW w:w="728" w:type="dxa"/>
                  <w:vAlign w:val="center"/>
                </w:tcPr>
                <w:p w14:paraId="03ECA65A">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86</w:t>
                  </w:r>
                </w:p>
              </w:tc>
              <w:tc>
                <w:tcPr>
                  <w:tcW w:w="531" w:type="dxa"/>
                  <w:vAlign w:val="center"/>
                </w:tcPr>
                <w:p w14:paraId="769220DB">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90</w:t>
                  </w:r>
                </w:p>
              </w:tc>
              <w:tc>
                <w:tcPr>
                  <w:tcW w:w="569" w:type="dxa"/>
                  <w:vAlign w:val="center"/>
                </w:tcPr>
                <w:p w14:paraId="16705408">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w:t>
                  </w:r>
                </w:p>
              </w:tc>
              <w:tc>
                <w:tcPr>
                  <w:tcW w:w="569" w:type="dxa"/>
                  <w:vAlign w:val="center"/>
                </w:tcPr>
                <w:p w14:paraId="59769737">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w:t>
                  </w:r>
                </w:p>
              </w:tc>
              <w:tc>
                <w:tcPr>
                  <w:tcW w:w="569" w:type="dxa"/>
                  <w:vAlign w:val="center"/>
                </w:tcPr>
                <w:p w14:paraId="09BACDFB">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w:t>
                  </w:r>
                </w:p>
              </w:tc>
            </w:tr>
            <w:tr w14:paraId="2BC7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4" w:type="dxa"/>
                  <w:vAlign w:val="center"/>
                </w:tcPr>
                <w:p w14:paraId="3F72D148">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《淀粉工业水污染物排放限值》表2中的间接排放标准</w:t>
                  </w:r>
                </w:p>
              </w:tc>
              <w:tc>
                <w:tcPr>
                  <w:tcW w:w="1423" w:type="dxa"/>
                  <w:vAlign w:val="center"/>
                </w:tcPr>
                <w:p w14:paraId="73DF3050">
                  <w:pPr>
                    <w:pStyle w:val="36"/>
                    <w:spacing w:before="24" w:after="24"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w:t>
                  </w:r>
                </w:p>
              </w:tc>
              <w:tc>
                <w:tcPr>
                  <w:tcW w:w="660" w:type="dxa"/>
                  <w:vAlign w:val="center"/>
                </w:tcPr>
                <w:p w14:paraId="5F463B7C">
                  <w:pPr>
                    <w:pStyle w:val="36"/>
                    <w:spacing w:before="24" w:after="24"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728" w:type="dxa"/>
                  <w:vAlign w:val="center"/>
                </w:tcPr>
                <w:p w14:paraId="28735EA9">
                  <w:pPr>
                    <w:pStyle w:val="36"/>
                    <w:spacing w:before="24" w:after="24" w:line="300" w:lineRule="exact"/>
                    <w:rPr>
                      <w:rFonts w:hint="default" w:ascii="Times New Roman" w:hAnsi="Times New Roman" w:cs="Times New Roman"/>
                      <w:color w:val="auto"/>
                      <w:kern w:val="2"/>
                      <w:szCs w:val="21"/>
                      <w:highlight w:val="none"/>
                    </w:rPr>
                  </w:pPr>
                  <w:r>
                    <w:rPr>
                      <w:rFonts w:hint="default" w:ascii="Times New Roman" w:hAnsi="Times New Roman" w:cs="Times New Roman"/>
                      <w:color w:val="auto"/>
                      <w:szCs w:val="21"/>
                      <w:highlight w:val="none"/>
                    </w:rPr>
                    <w:t>70</w:t>
                  </w:r>
                </w:p>
              </w:tc>
              <w:tc>
                <w:tcPr>
                  <w:tcW w:w="531" w:type="dxa"/>
                  <w:vAlign w:val="center"/>
                </w:tcPr>
                <w:p w14:paraId="4A66E7BF">
                  <w:pPr>
                    <w:pStyle w:val="36"/>
                    <w:spacing w:before="24" w:after="24" w:line="300" w:lineRule="exact"/>
                    <w:rPr>
                      <w:rFonts w:hint="default" w:ascii="Times New Roman" w:hAnsi="Times New Roman" w:cs="Times New Roman"/>
                      <w:color w:val="auto"/>
                      <w:kern w:val="2"/>
                      <w:szCs w:val="21"/>
                      <w:highlight w:val="none"/>
                    </w:rPr>
                  </w:pPr>
                  <w:r>
                    <w:rPr>
                      <w:rFonts w:hint="default" w:ascii="Times New Roman" w:hAnsi="Times New Roman" w:cs="Times New Roman"/>
                      <w:color w:val="auto"/>
                      <w:szCs w:val="21"/>
                      <w:highlight w:val="none"/>
                    </w:rPr>
                    <w:t>70</w:t>
                  </w:r>
                </w:p>
              </w:tc>
              <w:tc>
                <w:tcPr>
                  <w:tcW w:w="569" w:type="dxa"/>
                  <w:vAlign w:val="center"/>
                </w:tcPr>
                <w:p w14:paraId="70BACE57">
                  <w:pPr>
                    <w:pStyle w:val="36"/>
                    <w:spacing w:before="24" w:after="24" w:line="300" w:lineRule="exact"/>
                    <w:rPr>
                      <w:rFonts w:hint="default" w:ascii="Times New Roman" w:hAnsi="Times New Roman" w:cs="Times New Roman"/>
                      <w:color w:val="auto"/>
                      <w:kern w:val="2"/>
                      <w:szCs w:val="21"/>
                      <w:highlight w:val="none"/>
                    </w:rPr>
                  </w:pPr>
                  <w:r>
                    <w:rPr>
                      <w:rFonts w:hint="default" w:ascii="Times New Roman" w:hAnsi="Times New Roman" w:cs="Times New Roman"/>
                      <w:color w:val="auto"/>
                      <w:szCs w:val="21"/>
                      <w:highlight w:val="none"/>
                    </w:rPr>
                    <w:t>35</w:t>
                  </w:r>
                </w:p>
              </w:tc>
              <w:tc>
                <w:tcPr>
                  <w:tcW w:w="569" w:type="dxa"/>
                  <w:vAlign w:val="center"/>
                </w:tcPr>
                <w:p w14:paraId="5BF48F9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c>
                <w:tcPr>
                  <w:tcW w:w="569" w:type="dxa"/>
                  <w:vAlign w:val="center"/>
                </w:tcPr>
                <w:p w14:paraId="2806B70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r>
          </w:tbl>
          <w:p w14:paraId="204D3A79">
            <w:pPr>
              <w:pStyle w:val="15"/>
              <w:spacing w:before="0" w:beforeAutospacing="0" w:after="0" w:afterAutospacing="0" w:line="360" w:lineRule="auto"/>
              <w:ind w:firstLine="480" w:firstLineChars="200"/>
              <w:rPr>
                <w:rFonts w:hint="default" w:ascii="Times New Roman" w:hAnsi="Times New Roman" w:cs="Times New Roman"/>
                <w:color w:val="auto"/>
                <w:szCs w:val="24"/>
                <w:highlight w:val="none"/>
              </w:rPr>
            </w:pPr>
          </w:p>
          <w:p w14:paraId="70857018">
            <w:pPr>
              <w:pStyle w:val="15"/>
              <w:spacing w:before="0" w:beforeAutospacing="0" w:after="0" w:afterAutospacing="0"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本项目产生的生产废水通过采取自建废水处理设施处理后各污染物可满足《淀粉工业水污染物排放标准》（</w:t>
            </w:r>
            <w:r>
              <w:rPr>
                <w:rFonts w:hint="default" w:ascii="Times New Roman" w:hAnsi="Times New Roman" w:eastAsia="TimesNewRomanPSMT" w:cs="Times New Roman"/>
                <w:color w:val="auto"/>
                <w:szCs w:val="24"/>
                <w:highlight w:val="none"/>
              </w:rPr>
              <w:t>GB25461-2010</w:t>
            </w:r>
            <w:r>
              <w:rPr>
                <w:rFonts w:hint="default" w:ascii="Times New Roman" w:hAnsi="Times New Roman" w:cs="Times New Roman"/>
                <w:color w:val="auto"/>
                <w:szCs w:val="24"/>
                <w:highlight w:val="none"/>
              </w:rPr>
              <w:t>）中表2间接排放标准，采取的废水处理措施可行。</w:t>
            </w:r>
          </w:p>
          <w:p w14:paraId="1B9CA387">
            <w:pPr>
              <w:pStyle w:val="15"/>
              <w:spacing w:before="0" w:beforeAutospacing="0" w:after="0" w:afterAutospacing="0" w:line="360" w:lineRule="auto"/>
              <w:ind w:firstLine="482" w:firstLineChars="20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（2）生活污水依托处理可行性分析</w:t>
            </w:r>
          </w:p>
          <w:p w14:paraId="134CF18E">
            <w:pPr>
              <w:pStyle w:val="15"/>
              <w:spacing w:before="0" w:beforeAutospacing="0" w:after="0" w:afterAutospacing="0"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本项目厂内不设食宿，员工办公及卫生间均依托厨鼎食品公司，员工产生的生活污水0.425m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/d，无法单独分开收集处理，因此本项目员工产生的生活污水依托厨鼎食品公司现有生活污水处理措施收集，经已建化粪池收集预处理后经高浓度专用管道接入龙市镇工业污水处理厂。厨鼎食品公司</w:t>
            </w:r>
            <w:r>
              <w:rPr>
                <w:rFonts w:hint="default" w:ascii="Times New Roman" w:hAnsi="Times New Roman" w:cs="Times New Roman"/>
                <w:bCs/>
                <w:color w:val="auto"/>
                <w:szCs w:val="24"/>
                <w:highlight w:val="none"/>
              </w:rPr>
              <w:t>已建化粪池处理能力10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/d，现生活污水产生量约7.5m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/d，尚有2.5m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/d的余量。本项目</w:t>
            </w:r>
            <w:r>
              <w:rPr>
                <w:rFonts w:hint="default" w:ascii="Times New Roman" w:hAnsi="Times New Roman" w:cs="Times New Roman"/>
                <w:bCs/>
                <w:color w:val="auto"/>
                <w:szCs w:val="24"/>
                <w:highlight w:val="none"/>
              </w:rPr>
              <w:t>生活污水产生量为0.425</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/d，有能力接纳本项目产生的生活污水。厨鼎食品公司已经与龙市镇工业污水处理厂签订污水接收协议，并且通过竣工环保验收，本项目依托处理可行。</w:t>
            </w:r>
          </w:p>
          <w:p w14:paraId="1A369CC8">
            <w:pPr>
              <w:pStyle w:val="15"/>
              <w:spacing w:before="0" w:beforeAutospacing="0" w:after="0" w:afterAutospacing="0" w:line="360" w:lineRule="auto"/>
              <w:ind w:firstLine="571"/>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（3）依托龙市镇工业污水处理厂处理可行性分析</w:t>
            </w:r>
          </w:p>
          <w:p w14:paraId="421B2697">
            <w:pPr>
              <w:adjustRightInd w:val="0"/>
              <w:snapToGrid w:val="0"/>
              <w:spacing w:line="46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位于合川区龙市镇工业组团，已建龙市镇工业污水处理厂处理工业组团内企业产生的生产废水和生活污水。根据龙市镇工业污水处理厂环评报告和环评批复（见附件5），污水处理厂配套建设了低浓度废水管网和高浓度废水管网。低浓度废水管网收集废水中工业废水应达到相关行业间接排放标准，生活污水达到《污水综合排放标准》（GB8978-1996）三级标准并满足《污水排入城镇下水道水质标准》（GB/T31962-2015）B级要求；高浓度管网收集的工业废水为无相应行业标准的，但应隔油预处理后满足污水处理厂接管要求后接入。本项目生产废水处理达</w:t>
            </w:r>
            <w:r>
              <w:rPr>
                <w:rFonts w:hint="default" w:ascii="Times New Roman" w:hAnsi="Times New Roman" w:cs="Times New Roman"/>
                <w:color w:val="auto"/>
                <w:kern w:val="0"/>
                <w:sz w:val="24"/>
                <w:highlight w:val="none"/>
              </w:rPr>
              <w:t>《淀粉工业水污染物排放限值》（GB25461-2010）表2中的间接排放标准后接入龙市镇工业污水处理厂低浓度管网。</w:t>
            </w:r>
          </w:p>
          <w:p w14:paraId="45CDA1FC">
            <w:pPr>
              <w:adjustRightInd w:val="0"/>
              <w:snapToGrid w:val="0"/>
              <w:spacing w:line="46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龙市镇工业污水处理厂总设计处理规模3000 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/d，主要采用“预处理+EGSB+多级缺氧/好氧交替+混凝沉淀+臭氧消毒”的组合处理工艺，此工艺可处理COD浓度为10000 mg/L以内的高浓度废水。污水处理厂服务范围内现有排放量约2200 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/d，尚有800 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/d富余处理能力。本项目建成后新增排水量13.061m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/d，龙市镇工业污水处理厂可接纳本项目产生的废水。</w:t>
            </w:r>
            <w:r>
              <w:rPr>
                <w:rFonts w:hint="default" w:ascii="Times New Roman" w:hAnsi="Times New Roman" w:cs="Times New Roman"/>
                <w:color w:val="auto"/>
                <w:sz w:val="24"/>
                <w:szCs w:val="32"/>
                <w:highlight w:val="none"/>
              </w:rPr>
              <w:t>本项目污水污染物种类与龙市镇工业污水处理厂能够接纳处理的污染因子一致，</w:t>
            </w:r>
            <w:r>
              <w:rPr>
                <w:rFonts w:hint="default" w:ascii="Times New Roman" w:hAnsi="Times New Roman" w:cs="Times New Roman"/>
                <w:color w:val="auto"/>
                <w:sz w:val="24"/>
                <w:highlight w:val="none"/>
              </w:rPr>
              <w:t>不会对污水处理厂运行造成较大冲击影响。本项目产生的废水依托龙市镇工业污水处理厂处理是合理可行的。</w:t>
            </w:r>
          </w:p>
          <w:p w14:paraId="2BB66F30">
            <w:pPr>
              <w:pStyle w:val="15"/>
              <w:spacing w:before="0" w:beforeAutospacing="0" w:after="0" w:afterAutospacing="0" w:line="460" w:lineRule="exact"/>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本项目废水类别、污染物及污染治理措施信息等见表4.2-6～表4.2-9。</w:t>
            </w:r>
          </w:p>
          <w:p w14:paraId="16CF0B7D">
            <w:pPr>
              <w:pStyle w:val="15"/>
              <w:spacing w:before="0" w:beforeAutospacing="0" w:after="0" w:afterAutospacing="0" w:line="460" w:lineRule="exact"/>
              <w:ind w:firstLine="482" w:firstLineChars="20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表4.2-6  本项目废水类别、污染物及污染治理措施信息统计表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
              <w:gridCol w:w="613"/>
              <w:gridCol w:w="1000"/>
              <w:gridCol w:w="512"/>
              <w:gridCol w:w="1158"/>
              <w:gridCol w:w="775"/>
              <w:gridCol w:w="912"/>
              <w:gridCol w:w="825"/>
              <w:gridCol w:w="787"/>
              <w:gridCol w:w="648"/>
              <w:gridCol w:w="866"/>
            </w:tblGrid>
            <w:tr w14:paraId="0167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67" w:type="dxa"/>
                  <w:vMerge w:val="restart"/>
                  <w:vAlign w:val="center"/>
                </w:tcPr>
                <w:p w14:paraId="182C272A">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613" w:type="dxa"/>
                  <w:vMerge w:val="restart"/>
                  <w:vAlign w:val="center"/>
                </w:tcPr>
                <w:p w14:paraId="4225C9DA">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废水类别</w:t>
                  </w:r>
                </w:p>
              </w:tc>
              <w:tc>
                <w:tcPr>
                  <w:tcW w:w="1000" w:type="dxa"/>
                  <w:vMerge w:val="restart"/>
                  <w:vAlign w:val="center"/>
                </w:tcPr>
                <w:p w14:paraId="7DFBF33F">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污染物种类</w:t>
                  </w:r>
                </w:p>
              </w:tc>
              <w:tc>
                <w:tcPr>
                  <w:tcW w:w="512" w:type="dxa"/>
                  <w:vMerge w:val="restart"/>
                  <w:vAlign w:val="center"/>
                </w:tcPr>
                <w:p w14:paraId="37006E5C">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排放去向</w:t>
                  </w:r>
                </w:p>
              </w:tc>
              <w:tc>
                <w:tcPr>
                  <w:tcW w:w="1158" w:type="dxa"/>
                  <w:vMerge w:val="restart"/>
                  <w:vAlign w:val="center"/>
                </w:tcPr>
                <w:p w14:paraId="4FBCD801">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排放规律</w:t>
                  </w:r>
                </w:p>
              </w:tc>
              <w:tc>
                <w:tcPr>
                  <w:tcW w:w="2512" w:type="dxa"/>
                  <w:gridSpan w:val="3"/>
                  <w:vAlign w:val="center"/>
                </w:tcPr>
                <w:p w14:paraId="45324E23">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污染治理设施</w:t>
                  </w:r>
                </w:p>
              </w:tc>
              <w:tc>
                <w:tcPr>
                  <w:tcW w:w="787" w:type="dxa"/>
                  <w:vMerge w:val="restart"/>
                  <w:vAlign w:val="center"/>
                </w:tcPr>
                <w:p w14:paraId="7B30FB7F">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648" w:type="dxa"/>
                  <w:vMerge w:val="restart"/>
                  <w:vAlign w:val="center"/>
                </w:tcPr>
                <w:p w14:paraId="2EB832AA">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排放口设置是否符合要求</w:t>
                  </w:r>
                </w:p>
              </w:tc>
              <w:tc>
                <w:tcPr>
                  <w:tcW w:w="866" w:type="dxa"/>
                  <w:vMerge w:val="restart"/>
                  <w:vAlign w:val="center"/>
                </w:tcPr>
                <w:p w14:paraId="6DA614B0">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排放口类型</w:t>
                  </w:r>
                </w:p>
              </w:tc>
            </w:tr>
            <w:tr w14:paraId="7BB3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67" w:type="dxa"/>
                  <w:vMerge w:val="continue"/>
                  <w:vAlign w:val="center"/>
                </w:tcPr>
                <w:p w14:paraId="56BA51FA">
                  <w:pPr>
                    <w:adjustRightInd w:val="0"/>
                    <w:snapToGrid w:val="0"/>
                    <w:spacing w:line="260" w:lineRule="exact"/>
                    <w:jc w:val="center"/>
                    <w:rPr>
                      <w:rFonts w:hint="default" w:ascii="Times New Roman" w:hAnsi="Times New Roman" w:cs="Times New Roman"/>
                      <w:color w:val="auto"/>
                      <w:sz w:val="18"/>
                      <w:szCs w:val="18"/>
                      <w:highlight w:val="none"/>
                    </w:rPr>
                  </w:pPr>
                </w:p>
              </w:tc>
              <w:tc>
                <w:tcPr>
                  <w:tcW w:w="613" w:type="dxa"/>
                  <w:vMerge w:val="continue"/>
                  <w:vAlign w:val="center"/>
                </w:tcPr>
                <w:p w14:paraId="04BBDF6E">
                  <w:pPr>
                    <w:adjustRightInd w:val="0"/>
                    <w:snapToGrid w:val="0"/>
                    <w:spacing w:line="260" w:lineRule="exact"/>
                    <w:jc w:val="center"/>
                    <w:rPr>
                      <w:rFonts w:hint="default" w:ascii="Times New Roman" w:hAnsi="Times New Roman" w:cs="Times New Roman"/>
                      <w:color w:val="auto"/>
                      <w:sz w:val="18"/>
                      <w:szCs w:val="18"/>
                      <w:highlight w:val="none"/>
                    </w:rPr>
                  </w:pPr>
                </w:p>
              </w:tc>
              <w:tc>
                <w:tcPr>
                  <w:tcW w:w="1000" w:type="dxa"/>
                  <w:vMerge w:val="continue"/>
                  <w:vAlign w:val="center"/>
                </w:tcPr>
                <w:p w14:paraId="6F666BAF">
                  <w:pPr>
                    <w:adjustRightInd w:val="0"/>
                    <w:snapToGrid w:val="0"/>
                    <w:spacing w:line="260" w:lineRule="exact"/>
                    <w:jc w:val="center"/>
                    <w:rPr>
                      <w:rFonts w:hint="default" w:ascii="Times New Roman" w:hAnsi="Times New Roman" w:cs="Times New Roman"/>
                      <w:color w:val="auto"/>
                      <w:sz w:val="18"/>
                      <w:szCs w:val="18"/>
                      <w:highlight w:val="none"/>
                    </w:rPr>
                  </w:pPr>
                </w:p>
              </w:tc>
              <w:tc>
                <w:tcPr>
                  <w:tcW w:w="512" w:type="dxa"/>
                  <w:vMerge w:val="continue"/>
                  <w:vAlign w:val="center"/>
                </w:tcPr>
                <w:p w14:paraId="5B382324">
                  <w:pPr>
                    <w:adjustRightInd w:val="0"/>
                    <w:snapToGrid w:val="0"/>
                    <w:spacing w:line="260" w:lineRule="exact"/>
                    <w:jc w:val="center"/>
                    <w:rPr>
                      <w:rFonts w:hint="default" w:ascii="Times New Roman" w:hAnsi="Times New Roman" w:cs="Times New Roman"/>
                      <w:color w:val="auto"/>
                      <w:sz w:val="18"/>
                      <w:szCs w:val="18"/>
                      <w:highlight w:val="none"/>
                    </w:rPr>
                  </w:pPr>
                </w:p>
              </w:tc>
              <w:tc>
                <w:tcPr>
                  <w:tcW w:w="1158" w:type="dxa"/>
                  <w:vMerge w:val="continue"/>
                  <w:vAlign w:val="center"/>
                </w:tcPr>
                <w:p w14:paraId="0C3D67B3">
                  <w:pPr>
                    <w:adjustRightInd w:val="0"/>
                    <w:snapToGrid w:val="0"/>
                    <w:spacing w:line="260" w:lineRule="exact"/>
                    <w:jc w:val="center"/>
                    <w:rPr>
                      <w:rFonts w:hint="default" w:ascii="Times New Roman" w:hAnsi="Times New Roman" w:cs="Times New Roman"/>
                      <w:color w:val="auto"/>
                      <w:sz w:val="18"/>
                      <w:szCs w:val="18"/>
                      <w:highlight w:val="none"/>
                    </w:rPr>
                  </w:pPr>
                </w:p>
              </w:tc>
              <w:tc>
                <w:tcPr>
                  <w:tcW w:w="775" w:type="dxa"/>
                  <w:vAlign w:val="center"/>
                </w:tcPr>
                <w:p w14:paraId="7FB17E5E">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污染治理设施编号</w:t>
                  </w:r>
                </w:p>
              </w:tc>
              <w:tc>
                <w:tcPr>
                  <w:tcW w:w="912" w:type="dxa"/>
                  <w:vAlign w:val="center"/>
                </w:tcPr>
                <w:p w14:paraId="18DB3738">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污染治理设施名称</w:t>
                  </w:r>
                </w:p>
              </w:tc>
              <w:tc>
                <w:tcPr>
                  <w:tcW w:w="825" w:type="dxa"/>
                  <w:vAlign w:val="center"/>
                </w:tcPr>
                <w:p w14:paraId="5D974F75">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污染治理设施工艺</w:t>
                  </w:r>
                </w:p>
              </w:tc>
              <w:tc>
                <w:tcPr>
                  <w:tcW w:w="787" w:type="dxa"/>
                  <w:vMerge w:val="continue"/>
                  <w:vAlign w:val="center"/>
                </w:tcPr>
                <w:p w14:paraId="43E7BB13">
                  <w:pPr>
                    <w:adjustRightInd w:val="0"/>
                    <w:snapToGrid w:val="0"/>
                    <w:spacing w:line="260" w:lineRule="exact"/>
                    <w:jc w:val="center"/>
                    <w:rPr>
                      <w:rFonts w:hint="default" w:ascii="Times New Roman" w:hAnsi="Times New Roman" w:cs="Times New Roman"/>
                      <w:color w:val="auto"/>
                      <w:sz w:val="18"/>
                      <w:szCs w:val="18"/>
                      <w:highlight w:val="none"/>
                    </w:rPr>
                  </w:pPr>
                </w:p>
              </w:tc>
              <w:tc>
                <w:tcPr>
                  <w:tcW w:w="648" w:type="dxa"/>
                  <w:vMerge w:val="continue"/>
                  <w:vAlign w:val="center"/>
                </w:tcPr>
                <w:p w14:paraId="6CB41B02">
                  <w:pPr>
                    <w:adjustRightInd w:val="0"/>
                    <w:snapToGrid w:val="0"/>
                    <w:spacing w:line="260" w:lineRule="exact"/>
                    <w:jc w:val="center"/>
                    <w:rPr>
                      <w:rFonts w:hint="default" w:ascii="Times New Roman" w:hAnsi="Times New Roman" w:cs="Times New Roman"/>
                      <w:color w:val="auto"/>
                      <w:sz w:val="18"/>
                      <w:szCs w:val="18"/>
                      <w:highlight w:val="none"/>
                    </w:rPr>
                  </w:pPr>
                </w:p>
              </w:tc>
              <w:tc>
                <w:tcPr>
                  <w:tcW w:w="866" w:type="dxa"/>
                  <w:vMerge w:val="continue"/>
                  <w:vAlign w:val="center"/>
                </w:tcPr>
                <w:p w14:paraId="7C988384">
                  <w:pPr>
                    <w:adjustRightInd w:val="0"/>
                    <w:snapToGrid w:val="0"/>
                    <w:spacing w:line="260" w:lineRule="exact"/>
                    <w:jc w:val="center"/>
                    <w:rPr>
                      <w:rFonts w:hint="default" w:ascii="Times New Roman" w:hAnsi="Times New Roman" w:cs="Times New Roman"/>
                      <w:color w:val="auto"/>
                      <w:sz w:val="18"/>
                      <w:szCs w:val="18"/>
                      <w:highlight w:val="none"/>
                    </w:rPr>
                  </w:pPr>
                </w:p>
              </w:tc>
            </w:tr>
            <w:tr w14:paraId="7E0B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7" w:type="dxa"/>
                  <w:vAlign w:val="center"/>
                </w:tcPr>
                <w:p w14:paraId="5AC503C7">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3" w:type="dxa"/>
                  <w:vAlign w:val="center"/>
                </w:tcPr>
                <w:p w14:paraId="2502B756">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生产废水</w:t>
                  </w:r>
                </w:p>
              </w:tc>
              <w:tc>
                <w:tcPr>
                  <w:tcW w:w="1000" w:type="dxa"/>
                  <w:vAlign w:val="center"/>
                </w:tcPr>
                <w:p w14:paraId="68B68C99">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pH、SS、BOD</w:t>
                  </w:r>
                  <w:r>
                    <w:rPr>
                      <w:rFonts w:hint="default" w:ascii="Times New Roman" w:hAnsi="Times New Roman" w:cs="Times New Roman"/>
                      <w:color w:val="auto"/>
                      <w:kern w:val="0"/>
                      <w:sz w:val="18"/>
                      <w:szCs w:val="18"/>
                      <w:highlight w:val="none"/>
                      <w:vertAlign w:val="subscript"/>
                      <w:lang w:bidi="ar"/>
                    </w:rPr>
                    <w:t>5</w:t>
                  </w:r>
                  <w:r>
                    <w:rPr>
                      <w:rFonts w:hint="default" w:ascii="Times New Roman" w:hAnsi="Times New Roman" w:cs="Times New Roman"/>
                      <w:color w:val="auto"/>
                      <w:kern w:val="0"/>
                      <w:sz w:val="18"/>
                      <w:szCs w:val="18"/>
                      <w:highlight w:val="none"/>
                      <w:lang w:bidi="ar"/>
                    </w:rPr>
                    <w:t>、COD</w:t>
                  </w:r>
                  <w:r>
                    <w:rPr>
                      <w:rFonts w:hint="default" w:ascii="Times New Roman" w:hAnsi="Times New Roman" w:cs="Times New Roman"/>
                      <w:color w:val="auto"/>
                      <w:kern w:val="0"/>
                      <w:sz w:val="18"/>
                      <w:szCs w:val="18"/>
                      <w:highlight w:val="none"/>
                      <w:vertAlign w:val="subscript"/>
                      <w:lang w:bidi="ar"/>
                    </w:rPr>
                    <w:t>Cr</w:t>
                  </w:r>
                  <w:r>
                    <w:rPr>
                      <w:rFonts w:hint="default" w:ascii="Times New Roman" w:hAnsi="Times New Roman" w:cs="Times New Roman"/>
                      <w:color w:val="auto"/>
                      <w:kern w:val="0"/>
                      <w:sz w:val="18"/>
                      <w:szCs w:val="18"/>
                      <w:highlight w:val="none"/>
                      <w:lang w:bidi="ar"/>
                    </w:rPr>
                    <w:t>、 氨氮、总氮、总磷</w:t>
                  </w:r>
                </w:p>
              </w:tc>
              <w:tc>
                <w:tcPr>
                  <w:tcW w:w="512" w:type="dxa"/>
                  <w:vAlign w:val="center"/>
                </w:tcPr>
                <w:p w14:paraId="4F1C9EF8">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自建污水处理设施</w:t>
                  </w:r>
                </w:p>
              </w:tc>
              <w:tc>
                <w:tcPr>
                  <w:tcW w:w="1158" w:type="dxa"/>
                  <w:vAlign w:val="center"/>
                </w:tcPr>
                <w:p w14:paraId="1FE9EB34">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间断排放，排放期间流量不稳定且无规律，但不属于冲击性排放</w:t>
                  </w:r>
                </w:p>
              </w:tc>
              <w:tc>
                <w:tcPr>
                  <w:tcW w:w="775" w:type="dxa"/>
                  <w:vAlign w:val="center"/>
                </w:tcPr>
                <w:p w14:paraId="4C7134A5">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TW001</w:t>
                  </w:r>
                </w:p>
              </w:tc>
              <w:tc>
                <w:tcPr>
                  <w:tcW w:w="912" w:type="dxa"/>
                  <w:vAlign w:val="center"/>
                </w:tcPr>
                <w:p w14:paraId="27ECAD4F">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沉淀+调节+UASB+好氧</w:t>
                  </w:r>
                </w:p>
              </w:tc>
              <w:tc>
                <w:tcPr>
                  <w:tcW w:w="825" w:type="dxa"/>
                  <w:vAlign w:val="center"/>
                </w:tcPr>
                <w:p w14:paraId="2593A2CB">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厌氧UASB+好氧</w:t>
                  </w:r>
                </w:p>
              </w:tc>
              <w:tc>
                <w:tcPr>
                  <w:tcW w:w="787" w:type="dxa"/>
                  <w:vAlign w:val="center"/>
                </w:tcPr>
                <w:p w14:paraId="53E5E17E">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DW001</w:t>
                  </w:r>
                </w:p>
              </w:tc>
              <w:tc>
                <w:tcPr>
                  <w:tcW w:w="648" w:type="dxa"/>
                  <w:vAlign w:val="center"/>
                </w:tcPr>
                <w:p w14:paraId="391CDF84">
                  <w:pPr>
                    <w:adjustRightIn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sym w:font="Wingdings" w:char="00FE"/>
                  </w:r>
                  <w:r>
                    <w:rPr>
                      <w:rFonts w:hint="default" w:ascii="Times New Roman" w:hAnsi="Times New Roman" w:cs="Times New Roman"/>
                      <w:color w:val="auto"/>
                      <w:kern w:val="0"/>
                      <w:sz w:val="18"/>
                      <w:szCs w:val="18"/>
                      <w:highlight w:val="none"/>
                    </w:rPr>
                    <w:t>是</w:t>
                  </w:r>
                </w:p>
                <w:p w14:paraId="6E29CC79">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□否</w:t>
                  </w:r>
                </w:p>
              </w:tc>
              <w:tc>
                <w:tcPr>
                  <w:tcW w:w="866" w:type="dxa"/>
                  <w:vAlign w:val="center"/>
                </w:tcPr>
                <w:p w14:paraId="31297DBA">
                  <w:pPr>
                    <w:adjustRightIn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sym w:font="Wingdings" w:char="F0FE"/>
                  </w:r>
                  <w:r>
                    <w:rPr>
                      <w:rFonts w:hint="default" w:ascii="Times New Roman" w:hAnsi="Times New Roman" w:cs="Times New Roman"/>
                      <w:color w:val="auto"/>
                      <w:kern w:val="0"/>
                      <w:sz w:val="18"/>
                      <w:szCs w:val="18"/>
                      <w:highlight w:val="none"/>
                    </w:rPr>
                    <w:t>企业总排</w:t>
                  </w:r>
                </w:p>
                <w:p w14:paraId="6F83B01F">
                  <w:pPr>
                    <w:adjustRightIn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□雨水排放</w:t>
                  </w:r>
                </w:p>
                <w:p w14:paraId="170F5545">
                  <w:pPr>
                    <w:adjustRightIn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□清净下水排放</w:t>
                  </w:r>
                </w:p>
                <w:p w14:paraId="13A6F226">
                  <w:pPr>
                    <w:adjustRightIn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□温排水排放</w:t>
                  </w:r>
                </w:p>
                <w:p w14:paraId="4A9D0ACC">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□车间或车间处理设施排放</w:t>
                  </w:r>
                </w:p>
              </w:tc>
            </w:tr>
            <w:tr w14:paraId="276A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367" w:type="dxa"/>
                  <w:vAlign w:val="center"/>
                </w:tcPr>
                <w:p w14:paraId="4A4ACEB3">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613" w:type="dxa"/>
                  <w:vAlign w:val="center"/>
                </w:tcPr>
                <w:p w14:paraId="5E6D769C">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生活污水</w:t>
                  </w:r>
                </w:p>
              </w:tc>
              <w:tc>
                <w:tcPr>
                  <w:tcW w:w="1000" w:type="dxa"/>
                  <w:vAlign w:val="center"/>
                </w:tcPr>
                <w:p w14:paraId="1098293A">
                  <w:pPr>
                    <w:adjustRightInd w:val="0"/>
                    <w:snapToGrid w:val="0"/>
                    <w:spacing w:line="260" w:lineRule="exact"/>
                    <w:jc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pH、SS、BOD</w:t>
                  </w:r>
                  <w:r>
                    <w:rPr>
                      <w:rFonts w:hint="default" w:ascii="Times New Roman" w:hAnsi="Times New Roman" w:cs="Times New Roman"/>
                      <w:color w:val="auto"/>
                      <w:kern w:val="0"/>
                      <w:sz w:val="18"/>
                      <w:szCs w:val="18"/>
                      <w:highlight w:val="none"/>
                      <w:vertAlign w:val="subscript"/>
                      <w:lang w:bidi="ar"/>
                    </w:rPr>
                    <w:t>5</w:t>
                  </w:r>
                  <w:r>
                    <w:rPr>
                      <w:rFonts w:hint="default" w:ascii="Times New Roman" w:hAnsi="Times New Roman" w:cs="Times New Roman"/>
                      <w:color w:val="auto"/>
                      <w:kern w:val="0"/>
                      <w:sz w:val="18"/>
                      <w:szCs w:val="18"/>
                      <w:highlight w:val="none"/>
                      <w:lang w:bidi="ar"/>
                    </w:rPr>
                    <w:t>、COD</w:t>
                  </w:r>
                  <w:r>
                    <w:rPr>
                      <w:rFonts w:hint="default" w:ascii="Times New Roman" w:hAnsi="Times New Roman" w:cs="Times New Roman"/>
                      <w:color w:val="auto"/>
                      <w:kern w:val="0"/>
                      <w:sz w:val="18"/>
                      <w:szCs w:val="18"/>
                      <w:highlight w:val="none"/>
                      <w:vertAlign w:val="subscript"/>
                      <w:lang w:bidi="ar"/>
                    </w:rPr>
                    <w:t>Cr</w:t>
                  </w:r>
                  <w:r>
                    <w:rPr>
                      <w:rFonts w:hint="default" w:ascii="Times New Roman" w:hAnsi="Times New Roman" w:cs="Times New Roman"/>
                      <w:color w:val="auto"/>
                      <w:kern w:val="0"/>
                      <w:sz w:val="18"/>
                      <w:szCs w:val="18"/>
                      <w:highlight w:val="none"/>
                      <w:lang w:bidi="ar"/>
                    </w:rPr>
                    <w:t>、 氨氮、总氮、总磷</w:t>
                  </w:r>
                </w:p>
              </w:tc>
              <w:tc>
                <w:tcPr>
                  <w:tcW w:w="512" w:type="dxa"/>
                  <w:vAlign w:val="center"/>
                </w:tcPr>
                <w:p w14:paraId="68F44323">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依托厨鼎</w:t>
                  </w:r>
                </w:p>
              </w:tc>
              <w:tc>
                <w:tcPr>
                  <w:tcW w:w="1158" w:type="dxa"/>
                  <w:vAlign w:val="center"/>
                </w:tcPr>
                <w:p w14:paraId="655D3C39">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间断排放，排放期间流量不稳定且无规律，但不属于冲击性排放</w:t>
                  </w:r>
                </w:p>
              </w:tc>
              <w:tc>
                <w:tcPr>
                  <w:tcW w:w="775" w:type="dxa"/>
                  <w:vAlign w:val="center"/>
                </w:tcPr>
                <w:p w14:paraId="7C0006E2">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912" w:type="dxa"/>
                  <w:vAlign w:val="center"/>
                </w:tcPr>
                <w:p w14:paraId="1D9E5FAC">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化粪池</w:t>
                  </w:r>
                </w:p>
              </w:tc>
              <w:tc>
                <w:tcPr>
                  <w:tcW w:w="825" w:type="dxa"/>
                  <w:vAlign w:val="center"/>
                </w:tcPr>
                <w:p w14:paraId="211A0CFE">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787" w:type="dxa"/>
                  <w:vAlign w:val="center"/>
                </w:tcPr>
                <w:p w14:paraId="0605F6CF">
                  <w:pPr>
                    <w:adjustRightInd w:val="0"/>
                    <w:snapToGrid w:val="0"/>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648" w:type="dxa"/>
                  <w:vAlign w:val="center"/>
                </w:tcPr>
                <w:p w14:paraId="56288AD6">
                  <w:pPr>
                    <w:adjustRightInd w:val="0"/>
                    <w:snapToGrid w:val="0"/>
                    <w:spacing w:line="260" w:lineRule="exac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866" w:type="dxa"/>
                  <w:vAlign w:val="center"/>
                </w:tcPr>
                <w:p w14:paraId="6DC45737">
                  <w:pPr>
                    <w:adjustRightInd w:val="0"/>
                    <w:snapToGrid w:val="0"/>
                    <w:spacing w:line="260" w:lineRule="exac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r>
          </w:tbl>
          <w:p w14:paraId="500173AC">
            <w:pPr>
              <w:adjustRightInd w:val="0"/>
              <w:snapToGrid w:val="0"/>
              <w:spacing w:line="460" w:lineRule="exact"/>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表4.2-7  本项目废水间接排放口基本表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028"/>
              <w:gridCol w:w="910"/>
              <w:gridCol w:w="1155"/>
              <w:gridCol w:w="725"/>
              <w:gridCol w:w="601"/>
              <w:gridCol w:w="654"/>
              <w:gridCol w:w="640"/>
              <w:gridCol w:w="852"/>
              <w:gridCol w:w="902"/>
            </w:tblGrid>
            <w:tr w14:paraId="0289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Merge w:val="restart"/>
                  <w:vAlign w:val="center"/>
                </w:tcPr>
                <w:p w14:paraId="0024BB29">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排放口编号</w:t>
                  </w:r>
                </w:p>
              </w:tc>
              <w:tc>
                <w:tcPr>
                  <w:tcW w:w="1144" w:type="pct"/>
                  <w:gridSpan w:val="2"/>
                  <w:vAlign w:val="center"/>
                </w:tcPr>
                <w:p w14:paraId="2FE31FCB">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排放口地理坐标</w:t>
                  </w:r>
                </w:p>
              </w:tc>
              <w:tc>
                <w:tcPr>
                  <w:tcW w:w="682" w:type="pct"/>
                  <w:vMerge w:val="restart"/>
                  <w:vAlign w:val="center"/>
                </w:tcPr>
                <w:p w14:paraId="1D42F9F9">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废水排放量（t/a）</w:t>
                  </w:r>
                </w:p>
              </w:tc>
              <w:tc>
                <w:tcPr>
                  <w:tcW w:w="428" w:type="pct"/>
                  <w:vMerge w:val="restart"/>
                  <w:vAlign w:val="center"/>
                </w:tcPr>
                <w:p w14:paraId="7602E196">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排放去向</w:t>
                  </w:r>
                </w:p>
              </w:tc>
              <w:tc>
                <w:tcPr>
                  <w:tcW w:w="355" w:type="pct"/>
                  <w:vMerge w:val="restart"/>
                  <w:vAlign w:val="center"/>
                </w:tcPr>
                <w:p w14:paraId="394FBEE7">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排放规律</w:t>
                  </w:r>
                </w:p>
              </w:tc>
              <w:tc>
                <w:tcPr>
                  <w:tcW w:w="386" w:type="pct"/>
                  <w:vMerge w:val="restart"/>
                  <w:vAlign w:val="center"/>
                </w:tcPr>
                <w:p w14:paraId="3239201A">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间歇排放时段</w:t>
                  </w:r>
                </w:p>
              </w:tc>
              <w:tc>
                <w:tcPr>
                  <w:tcW w:w="1413" w:type="pct"/>
                  <w:gridSpan w:val="3"/>
                  <w:vAlign w:val="center"/>
                </w:tcPr>
                <w:p w14:paraId="777819E7">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受纳污水厂信息</w:t>
                  </w:r>
                </w:p>
              </w:tc>
            </w:tr>
            <w:tr w14:paraId="25E0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Merge w:val="continue"/>
                  <w:vAlign w:val="center"/>
                </w:tcPr>
                <w:p w14:paraId="7DA5F644">
                  <w:pPr>
                    <w:adjustRightInd w:val="0"/>
                    <w:snapToGrid w:val="0"/>
                    <w:spacing w:line="300" w:lineRule="exact"/>
                    <w:jc w:val="center"/>
                    <w:rPr>
                      <w:rFonts w:hint="default" w:ascii="Times New Roman" w:hAnsi="Times New Roman" w:cs="Times New Roman"/>
                      <w:color w:val="auto"/>
                      <w:szCs w:val="21"/>
                      <w:highlight w:val="none"/>
                    </w:rPr>
                  </w:pPr>
                </w:p>
              </w:tc>
              <w:tc>
                <w:tcPr>
                  <w:tcW w:w="607" w:type="pct"/>
                  <w:vAlign w:val="center"/>
                </w:tcPr>
                <w:p w14:paraId="092DC7B9">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经度</w:t>
                  </w:r>
                </w:p>
              </w:tc>
              <w:tc>
                <w:tcPr>
                  <w:tcW w:w="537" w:type="pct"/>
                  <w:vAlign w:val="center"/>
                </w:tcPr>
                <w:p w14:paraId="42E181FC">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纬度</w:t>
                  </w:r>
                </w:p>
              </w:tc>
              <w:tc>
                <w:tcPr>
                  <w:tcW w:w="682" w:type="pct"/>
                  <w:vMerge w:val="continue"/>
                  <w:vAlign w:val="center"/>
                </w:tcPr>
                <w:p w14:paraId="1543A742">
                  <w:pPr>
                    <w:adjustRightInd w:val="0"/>
                    <w:snapToGrid w:val="0"/>
                    <w:spacing w:line="300" w:lineRule="exact"/>
                    <w:jc w:val="center"/>
                    <w:rPr>
                      <w:rFonts w:hint="default" w:ascii="Times New Roman" w:hAnsi="Times New Roman" w:cs="Times New Roman"/>
                      <w:color w:val="auto"/>
                      <w:szCs w:val="21"/>
                      <w:highlight w:val="none"/>
                    </w:rPr>
                  </w:pPr>
                </w:p>
              </w:tc>
              <w:tc>
                <w:tcPr>
                  <w:tcW w:w="428" w:type="pct"/>
                  <w:vMerge w:val="continue"/>
                  <w:vAlign w:val="center"/>
                </w:tcPr>
                <w:p w14:paraId="40AF3B00">
                  <w:pPr>
                    <w:adjustRightInd w:val="0"/>
                    <w:snapToGrid w:val="0"/>
                    <w:spacing w:line="300" w:lineRule="exact"/>
                    <w:jc w:val="center"/>
                    <w:rPr>
                      <w:rFonts w:hint="default" w:ascii="Times New Roman" w:hAnsi="Times New Roman" w:cs="Times New Roman"/>
                      <w:color w:val="auto"/>
                      <w:szCs w:val="21"/>
                      <w:highlight w:val="none"/>
                    </w:rPr>
                  </w:pPr>
                </w:p>
              </w:tc>
              <w:tc>
                <w:tcPr>
                  <w:tcW w:w="355" w:type="pct"/>
                  <w:vMerge w:val="continue"/>
                  <w:vAlign w:val="center"/>
                </w:tcPr>
                <w:p w14:paraId="71E22F95">
                  <w:pPr>
                    <w:adjustRightInd w:val="0"/>
                    <w:snapToGrid w:val="0"/>
                    <w:spacing w:line="300" w:lineRule="exact"/>
                    <w:jc w:val="center"/>
                    <w:rPr>
                      <w:rFonts w:hint="default" w:ascii="Times New Roman" w:hAnsi="Times New Roman" w:cs="Times New Roman"/>
                      <w:color w:val="auto"/>
                      <w:szCs w:val="21"/>
                      <w:highlight w:val="none"/>
                    </w:rPr>
                  </w:pPr>
                </w:p>
              </w:tc>
              <w:tc>
                <w:tcPr>
                  <w:tcW w:w="386" w:type="pct"/>
                  <w:vMerge w:val="continue"/>
                  <w:vAlign w:val="center"/>
                </w:tcPr>
                <w:p w14:paraId="7662F64C">
                  <w:pPr>
                    <w:adjustRightInd w:val="0"/>
                    <w:snapToGrid w:val="0"/>
                    <w:spacing w:line="300" w:lineRule="exact"/>
                    <w:jc w:val="center"/>
                    <w:rPr>
                      <w:rFonts w:hint="default" w:ascii="Times New Roman" w:hAnsi="Times New Roman" w:cs="Times New Roman"/>
                      <w:color w:val="auto"/>
                      <w:szCs w:val="21"/>
                      <w:highlight w:val="none"/>
                    </w:rPr>
                  </w:pPr>
                </w:p>
              </w:tc>
              <w:tc>
                <w:tcPr>
                  <w:tcW w:w="378" w:type="pct"/>
                  <w:vAlign w:val="center"/>
                </w:tcPr>
                <w:p w14:paraId="703E2DD5">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503" w:type="pct"/>
                  <w:vAlign w:val="center"/>
                </w:tcPr>
                <w:p w14:paraId="2C2AEAA2">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污染物种类</w:t>
                  </w:r>
                </w:p>
              </w:tc>
              <w:tc>
                <w:tcPr>
                  <w:tcW w:w="531" w:type="pct"/>
                  <w:vAlign w:val="center"/>
                </w:tcPr>
                <w:p w14:paraId="57C94374">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排放限值（mg/L）</w:t>
                  </w:r>
                </w:p>
              </w:tc>
            </w:tr>
            <w:tr w14:paraId="2E5D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8" w:type="pct"/>
                  <w:vMerge w:val="restart"/>
                  <w:vAlign w:val="center"/>
                </w:tcPr>
                <w:p w14:paraId="301FE80C">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DW001</w:t>
                  </w:r>
                </w:p>
              </w:tc>
              <w:tc>
                <w:tcPr>
                  <w:tcW w:w="607" w:type="pct"/>
                  <w:vMerge w:val="restart"/>
                  <w:vAlign w:val="center"/>
                </w:tcPr>
                <w:p w14:paraId="4E7AFA53">
                  <w:pPr>
                    <w:pStyle w:val="45"/>
                    <w:spacing w:before="100" w:beforeAutospacing="1" w:after="100" w:afterAutospacing="1" w:line="300" w:lineRule="exact"/>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106.451298</w:t>
                  </w:r>
                </w:p>
              </w:tc>
              <w:tc>
                <w:tcPr>
                  <w:tcW w:w="537" w:type="pct"/>
                  <w:vMerge w:val="restart"/>
                  <w:vAlign w:val="center"/>
                </w:tcPr>
                <w:p w14:paraId="03287B95">
                  <w:pPr>
                    <w:pStyle w:val="45"/>
                    <w:spacing w:before="100" w:beforeAutospacing="1" w:after="100" w:afterAutospacing="1" w:line="300" w:lineRule="exact"/>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30.203741</w:t>
                  </w:r>
                </w:p>
              </w:tc>
              <w:tc>
                <w:tcPr>
                  <w:tcW w:w="682" w:type="pct"/>
                  <w:vMerge w:val="restart"/>
                  <w:vAlign w:val="center"/>
                </w:tcPr>
                <w:p w14:paraId="7FF0FB11">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1425.377</w:t>
                  </w:r>
                </w:p>
              </w:tc>
              <w:tc>
                <w:tcPr>
                  <w:tcW w:w="428" w:type="pct"/>
                  <w:vMerge w:val="restart"/>
                  <w:vAlign w:val="center"/>
                </w:tcPr>
                <w:p w14:paraId="653DBCDD">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龙市镇工业污水处理厂</w:t>
                  </w:r>
                </w:p>
              </w:tc>
              <w:tc>
                <w:tcPr>
                  <w:tcW w:w="355" w:type="pct"/>
                  <w:vMerge w:val="restart"/>
                  <w:vAlign w:val="center"/>
                </w:tcPr>
                <w:p w14:paraId="2AE721ED">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间断排放</w:t>
                  </w:r>
                </w:p>
              </w:tc>
              <w:tc>
                <w:tcPr>
                  <w:tcW w:w="386" w:type="pct"/>
                  <w:vMerge w:val="restart"/>
                  <w:vAlign w:val="center"/>
                </w:tcPr>
                <w:p w14:paraId="42783D09">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78" w:type="pct"/>
                  <w:vMerge w:val="restart"/>
                  <w:vAlign w:val="center"/>
                </w:tcPr>
                <w:p w14:paraId="1662DE05">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龙市镇工业污水处理厂</w:t>
                  </w:r>
                </w:p>
              </w:tc>
              <w:tc>
                <w:tcPr>
                  <w:tcW w:w="503" w:type="pct"/>
                  <w:vAlign w:val="center"/>
                </w:tcPr>
                <w:p w14:paraId="26FD6B37">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w:t>
                  </w:r>
                </w:p>
              </w:tc>
              <w:tc>
                <w:tcPr>
                  <w:tcW w:w="531" w:type="pct"/>
                  <w:vAlign w:val="center"/>
                </w:tcPr>
                <w:p w14:paraId="6BF79602">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w:t>
                  </w:r>
                </w:p>
              </w:tc>
            </w:tr>
            <w:tr w14:paraId="763E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88" w:type="pct"/>
                  <w:vMerge w:val="continue"/>
                  <w:vAlign w:val="center"/>
                </w:tcPr>
                <w:p w14:paraId="516E2DEA">
                  <w:pPr>
                    <w:adjustRightInd w:val="0"/>
                    <w:snapToGrid w:val="0"/>
                    <w:spacing w:line="300" w:lineRule="exact"/>
                    <w:jc w:val="center"/>
                    <w:rPr>
                      <w:rFonts w:hint="default" w:ascii="Times New Roman" w:hAnsi="Times New Roman" w:cs="Times New Roman"/>
                      <w:color w:val="auto"/>
                      <w:highlight w:val="none"/>
                    </w:rPr>
                  </w:pPr>
                </w:p>
              </w:tc>
              <w:tc>
                <w:tcPr>
                  <w:tcW w:w="607" w:type="pct"/>
                  <w:vMerge w:val="continue"/>
                  <w:vAlign w:val="center"/>
                </w:tcPr>
                <w:p w14:paraId="21E21F04">
                  <w:pPr>
                    <w:adjustRightInd w:val="0"/>
                    <w:snapToGrid w:val="0"/>
                    <w:spacing w:line="300" w:lineRule="exact"/>
                    <w:jc w:val="center"/>
                    <w:rPr>
                      <w:rFonts w:hint="default" w:ascii="Times New Roman" w:hAnsi="Times New Roman" w:cs="Times New Roman"/>
                      <w:color w:val="auto"/>
                      <w:highlight w:val="none"/>
                    </w:rPr>
                  </w:pPr>
                </w:p>
              </w:tc>
              <w:tc>
                <w:tcPr>
                  <w:tcW w:w="537" w:type="pct"/>
                  <w:vMerge w:val="continue"/>
                  <w:vAlign w:val="center"/>
                </w:tcPr>
                <w:p w14:paraId="7AE25C28">
                  <w:pPr>
                    <w:adjustRightInd w:val="0"/>
                    <w:snapToGrid w:val="0"/>
                    <w:spacing w:line="300" w:lineRule="exact"/>
                    <w:jc w:val="center"/>
                    <w:rPr>
                      <w:rFonts w:hint="default" w:ascii="Times New Roman" w:hAnsi="Times New Roman" w:cs="Times New Roman"/>
                      <w:color w:val="auto"/>
                      <w:highlight w:val="none"/>
                    </w:rPr>
                  </w:pPr>
                </w:p>
              </w:tc>
              <w:tc>
                <w:tcPr>
                  <w:tcW w:w="682" w:type="pct"/>
                  <w:vMerge w:val="continue"/>
                  <w:vAlign w:val="center"/>
                </w:tcPr>
                <w:p w14:paraId="0EB03528">
                  <w:pPr>
                    <w:adjustRightInd w:val="0"/>
                    <w:snapToGrid w:val="0"/>
                    <w:spacing w:line="300" w:lineRule="exact"/>
                    <w:jc w:val="center"/>
                    <w:rPr>
                      <w:rFonts w:hint="default" w:ascii="Times New Roman" w:hAnsi="Times New Roman" w:cs="Times New Roman"/>
                      <w:color w:val="auto"/>
                      <w:highlight w:val="none"/>
                    </w:rPr>
                  </w:pPr>
                </w:p>
              </w:tc>
              <w:tc>
                <w:tcPr>
                  <w:tcW w:w="428" w:type="pct"/>
                  <w:vMerge w:val="continue"/>
                  <w:vAlign w:val="center"/>
                </w:tcPr>
                <w:p w14:paraId="1010B1B7">
                  <w:pPr>
                    <w:adjustRightInd w:val="0"/>
                    <w:snapToGrid w:val="0"/>
                    <w:spacing w:line="300" w:lineRule="exact"/>
                    <w:jc w:val="center"/>
                    <w:rPr>
                      <w:rFonts w:hint="default" w:ascii="Times New Roman" w:hAnsi="Times New Roman" w:cs="Times New Roman"/>
                      <w:color w:val="auto"/>
                      <w:highlight w:val="none"/>
                    </w:rPr>
                  </w:pPr>
                </w:p>
              </w:tc>
              <w:tc>
                <w:tcPr>
                  <w:tcW w:w="355" w:type="pct"/>
                  <w:vMerge w:val="continue"/>
                  <w:vAlign w:val="center"/>
                </w:tcPr>
                <w:p w14:paraId="54018E50">
                  <w:pPr>
                    <w:adjustRightInd w:val="0"/>
                    <w:snapToGrid w:val="0"/>
                    <w:spacing w:line="300" w:lineRule="exact"/>
                    <w:jc w:val="center"/>
                    <w:rPr>
                      <w:rFonts w:hint="default" w:ascii="Times New Roman" w:hAnsi="Times New Roman" w:cs="Times New Roman"/>
                      <w:color w:val="auto"/>
                      <w:highlight w:val="none"/>
                    </w:rPr>
                  </w:pPr>
                </w:p>
              </w:tc>
              <w:tc>
                <w:tcPr>
                  <w:tcW w:w="386" w:type="pct"/>
                  <w:vMerge w:val="continue"/>
                  <w:vAlign w:val="center"/>
                </w:tcPr>
                <w:p w14:paraId="7802AA7A">
                  <w:pPr>
                    <w:adjustRightInd w:val="0"/>
                    <w:snapToGrid w:val="0"/>
                    <w:spacing w:line="300" w:lineRule="exact"/>
                    <w:jc w:val="center"/>
                    <w:rPr>
                      <w:rFonts w:hint="default" w:ascii="Times New Roman" w:hAnsi="Times New Roman" w:cs="Times New Roman"/>
                      <w:color w:val="auto"/>
                      <w:highlight w:val="none"/>
                    </w:rPr>
                  </w:pPr>
                </w:p>
              </w:tc>
              <w:tc>
                <w:tcPr>
                  <w:tcW w:w="378" w:type="pct"/>
                  <w:vMerge w:val="continue"/>
                  <w:vAlign w:val="center"/>
                </w:tcPr>
                <w:p w14:paraId="6301DE5F">
                  <w:pPr>
                    <w:adjustRightInd w:val="0"/>
                    <w:snapToGrid w:val="0"/>
                    <w:spacing w:line="300" w:lineRule="exact"/>
                    <w:jc w:val="center"/>
                    <w:rPr>
                      <w:rFonts w:hint="default" w:ascii="Times New Roman" w:hAnsi="Times New Roman" w:cs="Times New Roman"/>
                      <w:color w:val="auto"/>
                      <w:highlight w:val="none"/>
                    </w:rPr>
                  </w:pPr>
                </w:p>
              </w:tc>
              <w:tc>
                <w:tcPr>
                  <w:tcW w:w="503" w:type="pct"/>
                  <w:vAlign w:val="center"/>
                </w:tcPr>
                <w:p w14:paraId="7BAFF227">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p>
              </w:tc>
              <w:tc>
                <w:tcPr>
                  <w:tcW w:w="531" w:type="pct"/>
                  <w:vAlign w:val="center"/>
                </w:tcPr>
                <w:p w14:paraId="7AFC1554">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w:t>
                  </w:r>
                </w:p>
              </w:tc>
            </w:tr>
            <w:tr w14:paraId="7318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88" w:type="pct"/>
                  <w:vMerge w:val="continue"/>
                  <w:vAlign w:val="center"/>
                </w:tcPr>
                <w:p w14:paraId="3FB573AC">
                  <w:pPr>
                    <w:adjustRightInd w:val="0"/>
                    <w:snapToGrid w:val="0"/>
                    <w:spacing w:line="300" w:lineRule="exact"/>
                    <w:jc w:val="center"/>
                    <w:rPr>
                      <w:rFonts w:hint="default" w:ascii="Times New Roman" w:hAnsi="Times New Roman" w:cs="Times New Roman"/>
                      <w:color w:val="auto"/>
                      <w:szCs w:val="21"/>
                      <w:highlight w:val="none"/>
                    </w:rPr>
                  </w:pPr>
                </w:p>
              </w:tc>
              <w:tc>
                <w:tcPr>
                  <w:tcW w:w="607" w:type="pct"/>
                  <w:vMerge w:val="continue"/>
                  <w:vAlign w:val="center"/>
                </w:tcPr>
                <w:p w14:paraId="3652D702">
                  <w:pPr>
                    <w:adjustRightInd w:val="0"/>
                    <w:snapToGrid w:val="0"/>
                    <w:spacing w:line="300" w:lineRule="exact"/>
                    <w:jc w:val="center"/>
                    <w:rPr>
                      <w:rFonts w:hint="default" w:ascii="Times New Roman" w:hAnsi="Times New Roman" w:cs="Times New Roman"/>
                      <w:color w:val="auto"/>
                      <w:szCs w:val="21"/>
                      <w:highlight w:val="none"/>
                    </w:rPr>
                  </w:pPr>
                </w:p>
              </w:tc>
              <w:tc>
                <w:tcPr>
                  <w:tcW w:w="537" w:type="pct"/>
                  <w:vMerge w:val="continue"/>
                  <w:vAlign w:val="center"/>
                </w:tcPr>
                <w:p w14:paraId="312A1CC3">
                  <w:pPr>
                    <w:adjustRightInd w:val="0"/>
                    <w:snapToGrid w:val="0"/>
                    <w:spacing w:line="300" w:lineRule="exact"/>
                    <w:jc w:val="center"/>
                    <w:rPr>
                      <w:rFonts w:hint="default" w:ascii="Times New Roman" w:hAnsi="Times New Roman" w:cs="Times New Roman"/>
                      <w:color w:val="auto"/>
                      <w:szCs w:val="21"/>
                      <w:highlight w:val="none"/>
                    </w:rPr>
                  </w:pPr>
                </w:p>
              </w:tc>
              <w:tc>
                <w:tcPr>
                  <w:tcW w:w="682" w:type="pct"/>
                  <w:vMerge w:val="continue"/>
                  <w:vAlign w:val="center"/>
                </w:tcPr>
                <w:p w14:paraId="4DC852DC">
                  <w:pPr>
                    <w:adjustRightInd w:val="0"/>
                    <w:snapToGrid w:val="0"/>
                    <w:spacing w:line="300" w:lineRule="exact"/>
                    <w:jc w:val="center"/>
                    <w:rPr>
                      <w:rFonts w:hint="default" w:ascii="Times New Roman" w:hAnsi="Times New Roman" w:cs="Times New Roman"/>
                      <w:color w:val="auto"/>
                      <w:szCs w:val="21"/>
                      <w:highlight w:val="none"/>
                    </w:rPr>
                  </w:pPr>
                </w:p>
              </w:tc>
              <w:tc>
                <w:tcPr>
                  <w:tcW w:w="428" w:type="pct"/>
                  <w:vMerge w:val="continue"/>
                  <w:vAlign w:val="center"/>
                </w:tcPr>
                <w:p w14:paraId="02B822E7">
                  <w:pPr>
                    <w:adjustRightInd w:val="0"/>
                    <w:snapToGrid w:val="0"/>
                    <w:spacing w:line="300" w:lineRule="exact"/>
                    <w:jc w:val="center"/>
                    <w:rPr>
                      <w:rFonts w:hint="default" w:ascii="Times New Roman" w:hAnsi="Times New Roman" w:cs="Times New Roman"/>
                      <w:color w:val="auto"/>
                      <w:szCs w:val="21"/>
                      <w:highlight w:val="none"/>
                    </w:rPr>
                  </w:pPr>
                </w:p>
              </w:tc>
              <w:tc>
                <w:tcPr>
                  <w:tcW w:w="355" w:type="pct"/>
                  <w:vMerge w:val="continue"/>
                  <w:vAlign w:val="center"/>
                </w:tcPr>
                <w:p w14:paraId="0811F95E">
                  <w:pPr>
                    <w:adjustRightInd w:val="0"/>
                    <w:snapToGrid w:val="0"/>
                    <w:spacing w:line="300" w:lineRule="exact"/>
                    <w:jc w:val="center"/>
                    <w:rPr>
                      <w:rFonts w:hint="default" w:ascii="Times New Roman" w:hAnsi="Times New Roman" w:cs="Times New Roman"/>
                      <w:color w:val="auto"/>
                      <w:szCs w:val="21"/>
                      <w:highlight w:val="none"/>
                    </w:rPr>
                  </w:pPr>
                </w:p>
              </w:tc>
              <w:tc>
                <w:tcPr>
                  <w:tcW w:w="386" w:type="pct"/>
                  <w:vMerge w:val="continue"/>
                  <w:vAlign w:val="center"/>
                </w:tcPr>
                <w:p w14:paraId="220EDAC2">
                  <w:pPr>
                    <w:adjustRightInd w:val="0"/>
                    <w:snapToGrid w:val="0"/>
                    <w:spacing w:line="300" w:lineRule="exact"/>
                    <w:jc w:val="center"/>
                    <w:rPr>
                      <w:rFonts w:hint="default" w:ascii="Times New Roman" w:hAnsi="Times New Roman" w:cs="Times New Roman"/>
                      <w:color w:val="auto"/>
                      <w:szCs w:val="21"/>
                      <w:highlight w:val="none"/>
                    </w:rPr>
                  </w:pPr>
                </w:p>
              </w:tc>
              <w:tc>
                <w:tcPr>
                  <w:tcW w:w="378" w:type="pct"/>
                  <w:vMerge w:val="continue"/>
                  <w:vAlign w:val="center"/>
                </w:tcPr>
                <w:p w14:paraId="6AA9C69B">
                  <w:pPr>
                    <w:adjustRightInd w:val="0"/>
                    <w:snapToGrid w:val="0"/>
                    <w:spacing w:line="300" w:lineRule="exact"/>
                    <w:jc w:val="center"/>
                    <w:rPr>
                      <w:rFonts w:hint="default" w:ascii="Times New Roman" w:hAnsi="Times New Roman" w:cs="Times New Roman"/>
                      <w:color w:val="auto"/>
                      <w:szCs w:val="21"/>
                      <w:highlight w:val="none"/>
                    </w:rPr>
                  </w:pPr>
                </w:p>
              </w:tc>
              <w:tc>
                <w:tcPr>
                  <w:tcW w:w="503" w:type="pct"/>
                  <w:vAlign w:val="center"/>
                </w:tcPr>
                <w:p w14:paraId="6A082708">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531" w:type="pct"/>
                  <w:vAlign w:val="center"/>
                </w:tcPr>
                <w:p w14:paraId="282AFB66">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14:paraId="184B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88" w:type="pct"/>
                  <w:vMerge w:val="continue"/>
                  <w:vAlign w:val="center"/>
                </w:tcPr>
                <w:p w14:paraId="3851BDFE">
                  <w:pPr>
                    <w:adjustRightInd w:val="0"/>
                    <w:snapToGrid w:val="0"/>
                    <w:spacing w:line="300" w:lineRule="exact"/>
                    <w:jc w:val="center"/>
                    <w:rPr>
                      <w:rFonts w:hint="default" w:ascii="Times New Roman" w:hAnsi="Times New Roman" w:cs="Times New Roman"/>
                      <w:color w:val="auto"/>
                      <w:szCs w:val="21"/>
                      <w:highlight w:val="none"/>
                    </w:rPr>
                  </w:pPr>
                </w:p>
              </w:tc>
              <w:tc>
                <w:tcPr>
                  <w:tcW w:w="607" w:type="pct"/>
                  <w:vMerge w:val="continue"/>
                  <w:vAlign w:val="center"/>
                </w:tcPr>
                <w:p w14:paraId="68EC82F4">
                  <w:pPr>
                    <w:adjustRightInd w:val="0"/>
                    <w:snapToGrid w:val="0"/>
                    <w:spacing w:line="300" w:lineRule="exact"/>
                    <w:jc w:val="center"/>
                    <w:rPr>
                      <w:rFonts w:hint="default" w:ascii="Times New Roman" w:hAnsi="Times New Roman" w:cs="Times New Roman"/>
                      <w:color w:val="auto"/>
                      <w:szCs w:val="21"/>
                      <w:highlight w:val="none"/>
                    </w:rPr>
                  </w:pPr>
                </w:p>
              </w:tc>
              <w:tc>
                <w:tcPr>
                  <w:tcW w:w="537" w:type="pct"/>
                  <w:vMerge w:val="continue"/>
                  <w:vAlign w:val="center"/>
                </w:tcPr>
                <w:p w14:paraId="2D647445">
                  <w:pPr>
                    <w:adjustRightInd w:val="0"/>
                    <w:snapToGrid w:val="0"/>
                    <w:spacing w:line="300" w:lineRule="exact"/>
                    <w:jc w:val="center"/>
                    <w:rPr>
                      <w:rFonts w:hint="default" w:ascii="Times New Roman" w:hAnsi="Times New Roman" w:cs="Times New Roman"/>
                      <w:color w:val="auto"/>
                      <w:szCs w:val="21"/>
                      <w:highlight w:val="none"/>
                    </w:rPr>
                  </w:pPr>
                </w:p>
              </w:tc>
              <w:tc>
                <w:tcPr>
                  <w:tcW w:w="682" w:type="pct"/>
                  <w:vMerge w:val="continue"/>
                  <w:vAlign w:val="center"/>
                </w:tcPr>
                <w:p w14:paraId="0225C98B">
                  <w:pPr>
                    <w:adjustRightInd w:val="0"/>
                    <w:snapToGrid w:val="0"/>
                    <w:spacing w:line="300" w:lineRule="exact"/>
                    <w:jc w:val="center"/>
                    <w:rPr>
                      <w:rFonts w:hint="default" w:ascii="Times New Roman" w:hAnsi="Times New Roman" w:cs="Times New Roman"/>
                      <w:color w:val="auto"/>
                      <w:szCs w:val="21"/>
                      <w:highlight w:val="none"/>
                    </w:rPr>
                  </w:pPr>
                </w:p>
              </w:tc>
              <w:tc>
                <w:tcPr>
                  <w:tcW w:w="428" w:type="pct"/>
                  <w:vMerge w:val="continue"/>
                  <w:vAlign w:val="center"/>
                </w:tcPr>
                <w:p w14:paraId="3956965C">
                  <w:pPr>
                    <w:adjustRightInd w:val="0"/>
                    <w:snapToGrid w:val="0"/>
                    <w:spacing w:line="300" w:lineRule="exact"/>
                    <w:jc w:val="center"/>
                    <w:rPr>
                      <w:rFonts w:hint="default" w:ascii="Times New Roman" w:hAnsi="Times New Roman" w:cs="Times New Roman"/>
                      <w:color w:val="auto"/>
                      <w:szCs w:val="21"/>
                      <w:highlight w:val="none"/>
                    </w:rPr>
                  </w:pPr>
                </w:p>
              </w:tc>
              <w:tc>
                <w:tcPr>
                  <w:tcW w:w="355" w:type="pct"/>
                  <w:vMerge w:val="continue"/>
                  <w:vAlign w:val="center"/>
                </w:tcPr>
                <w:p w14:paraId="299AA9E1">
                  <w:pPr>
                    <w:adjustRightInd w:val="0"/>
                    <w:snapToGrid w:val="0"/>
                    <w:spacing w:line="300" w:lineRule="exact"/>
                    <w:jc w:val="center"/>
                    <w:rPr>
                      <w:rFonts w:hint="default" w:ascii="Times New Roman" w:hAnsi="Times New Roman" w:cs="Times New Roman"/>
                      <w:color w:val="auto"/>
                      <w:szCs w:val="21"/>
                      <w:highlight w:val="none"/>
                    </w:rPr>
                  </w:pPr>
                </w:p>
              </w:tc>
              <w:tc>
                <w:tcPr>
                  <w:tcW w:w="386" w:type="pct"/>
                  <w:vMerge w:val="continue"/>
                  <w:vAlign w:val="center"/>
                </w:tcPr>
                <w:p w14:paraId="663757E0">
                  <w:pPr>
                    <w:adjustRightInd w:val="0"/>
                    <w:snapToGrid w:val="0"/>
                    <w:spacing w:line="300" w:lineRule="exact"/>
                    <w:jc w:val="center"/>
                    <w:rPr>
                      <w:rFonts w:hint="default" w:ascii="Times New Roman" w:hAnsi="Times New Roman" w:cs="Times New Roman"/>
                      <w:color w:val="auto"/>
                      <w:szCs w:val="21"/>
                      <w:highlight w:val="none"/>
                    </w:rPr>
                  </w:pPr>
                </w:p>
              </w:tc>
              <w:tc>
                <w:tcPr>
                  <w:tcW w:w="378" w:type="pct"/>
                  <w:vMerge w:val="continue"/>
                  <w:vAlign w:val="center"/>
                </w:tcPr>
                <w:p w14:paraId="34B56729">
                  <w:pPr>
                    <w:adjustRightInd w:val="0"/>
                    <w:snapToGrid w:val="0"/>
                    <w:spacing w:line="300" w:lineRule="exact"/>
                    <w:jc w:val="center"/>
                    <w:rPr>
                      <w:rFonts w:hint="default" w:ascii="Times New Roman" w:hAnsi="Times New Roman" w:cs="Times New Roman"/>
                      <w:color w:val="auto"/>
                      <w:szCs w:val="21"/>
                      <w:highlight w:val="none"/>
                    </w:rPr>
                  </w:pPr>
                </w:p>
              </w:tc>
              <w:tc>
                <w:tcPr>
                  <w:tcW w:w="503" w:type="pct"/>
                  <w:vAlign w:val="center"/>
                </w:tcPr>
                <w:p w14:paraId="585ACA13">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tc>
              <w:tc>
                <w:tcPr>
                  <w:tcW w:w="531" w:type="pct"/>
                  <w:vAlign w:val="center"/>
                </w:tcPr>
                <w:p w14:paraId="4FAB5A33">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14:paraId="5053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88" w:type="pct"/>
                  <w:vMerge w:val="continue"/>
                  <w:vAlign w:val="center"/>
                </w:tcPr>
                <w:p w14:paraId="75BEA690">
                  <w:pPr>
                    <w:adjustRightInd w:val="0"/>
                    <w:snapToGrid w:val="0"/>
                    <w:spacing w:line="300" w:lineRule="exact"/>
                    <w:jc w:val="center"/>
                    <w:rPr>
                      <w:rFonts w:hint="default" w:ascii="Times New Roman" w:hAnsi="Times New Roman" w:cs="Times New Roman"/>
                      <w:color w:val="auto"/>
                      <w:szCs w:val="21"/>
                      <w:highlight w:val="none"/>
                    </w:rPr>
                  </w:pPr>
                </w:p>
              </w:tc>
              <w:tc>
                <w:tcPr>
                  <w:tcW w:w="607" w:type="pct"/>
                  <w:vMerge w:val="continue"/>
                  <w:vAlign w:val="center"/>
                </w:tcPr>
                <w:p w14:paraId="6FB9F898">
                  <w:pPr>
                    <w:adjustRightInd w:val="0"/>
                    <w:snapToGrid w:val="0"/>
                    <w:spacing w:line="300" w:lineRule="exact"/>
                    <w:jc w:val="center"/>
                    <w:rPr>
                      <w:rFonts w:hint="default" w:ascii="Times New Roman" w:hAnsi="Times New Roman" w:cs="Times New Roman"/>
                      <w:color w:val="auto"/>
                      <w:szCs w:val="21"/>
                      <w:highlight w:val="none"/>
                    </w:rPr>
                  </w:pPr>
                </w:p>
              </w:tc>
              <w:tc>
                <w:tcPr>
                  <w:tcW w:w="537" w:type="pct"/>
                  <w:vMerge w:val="continue"/>
                  <w:vAlign w:val="center"/>
                </w:tcPr>
                <w:p w14:paraId="712AC291">
                  <w:pPr>
                    <w:adjustRightInd w:val="0"/>
                    <w:snapToGrid w:val="0"/>
                    <w:spacing w:line="300" w:lineRule="exact"/>
                    <w:jc w:val="center"/>
                    <w:rPr>
                      <w:rFonts w:hint="default" w:ascii="Times New Roman" w:hAnsi="Times New Roman" w:cs="Times New Roman"/>
                      <w:color w:val="auto"/>
                      <w:szCs w:val="21"/>
                      <w:highlight w:val="none"/>
                    </w:rPr>
                  </w:pPr>
                </w:p>
              </w:tc>
              <w:tc>
                <w:tcPr>
                  <w:tcW w:w="682" w:type="pct"/>
                  <w:vMerge w:val="continue"/>
                  <w:vAlign w:val="center"/>
                </w:tcPr>
                <w:p w14:paraId="4D127F37">
                  <w:pPr>
                    <w:adjustRightInd w:val="0"/>
                    <w:snapToGrid w:val="0"/>
                    <w:spacing w:line="300" w:lineRule="exact"/>
                    <w:jc w:val="center"/>
                    <w:rPr>
                      <w:rFonts w:hint="default" w:ascii="Times New Roman" w:hAnsi="Times New Roman" w:cs="Times New Roman"/>
                      <w:color w:val="auto"/>
                      <w:szCs w:val="21"/>
                      <w:highlight w:val="none"/>
                    </w:rPr>
                  </w:pPr>
                </w:p>
              </w:tc>
              <w:tc>
                <w:tcPr>
                  <w:tcW w:w="428" w:type="pct"/>
                  <w:vMerge w:val="continue"/>
                  <w:vAlign w:val="center"/>
                </w:tcPr>
                <w:p w14:paraId="439B5499">
                  <w:pPr>
                    <w:adjustRightInd w:val="0"/>
                    <w:snapToGrid w:val="0"/>
                    <w:spacing w:line="300" w:lineRule="exact"/>
                    <w:jc w:val="center"/>
                    <w:rPr>
                      <w:rFonts w:hint="default" w:ascii="Times New Roman" w:hAnsi="Times New Roman" w:cs="Times New Roman"/>
                      <w:color w:val="auto"/>
                      <w:szCs w:val="21"/>
                      <w:highlight w:val="none"/>
                    </w:rPr>
                  </w:pPr>
                </w:p>
              </w:tc>
              <w:tc>
                <w:tcPr>
                  <w:tcW w:w="355" w:type="pct"/>
                  <w:vMerge w:val="continue"/>
                  <w:vAlign w:val="center"/>
                </w:tcPr>
                <w:p w14:paraId="6ED3A6B0">
                  <w:pPr>
                    <w:adjustRightInd w:val="0"/>
                    <w:snapToGrid w:val="0"/>
                    <w:spacing w:line="300" w:lineRule="exact"/>
                    <w:jc w:val="center"/>
                    <w:rPr>
                      <w:rFonts w:hint="default" w:ascii="Times New Roman" w:hAnsi="Times New Roman" w:cs="Times New Roman"/>
                      <w:color w:val="auto"/>
                      <w:szCs w:val="21"/>
                      <w:highlight w:val="none"/>
                    </w:rPr>
                  </w:pPr>
                </w:p>
              </w:tc>
              <w:tc>
                <w:tcPr>
                  <w:tcW w:w="386" w:type="pct"/>
                  <w:vMerge w:val="continue"/>
                  <w:vAlign w:val="center"/>
                </w:tcPr>
                <w:p w14:paraId="3D10F76C">
                  <w:pPr>
                    <w:adjustRightInd w:val="0"/>
                    <w:snapToGrid w:val="0"/>
                    <w:spacing w:line="300" w:lineRule="exact"/>
                    <w:jc w:val="center"/>
                    <w:rPr>
                      <w:rFonts w:hint="default" w:ascii="Times New Roman" w:hAnsi="Times New Roman" w:cs="Times New Roman"/>
                      <w:color w:val="auto"/>
                      <w:szCs w:val="21"/>
                      <w:highlight w:val="none"/>
                    </w:rPr>
                  </w:pPr>
                </w:p>
              </w:tc>
              <w:tc>
                <w:tcPr>
                  <w:tcW w:w="378" w:type="pct"/>
                  <w:vMerge w:val="continue"/>
                  <w:vAlign w:val="center"/>
                </w:tcPr>
                <w:p w14:paraId="2E956F57">
                  <w:pPr>
                    <w:adjustRightInd w:val="0"/>
                    <w:snapToGrid w:val="0"/>
                    <w:spacing w:line="300" w:lineRule="exact"/>
                    <w:jc w:val="center"/>
                    <w:rPr>
                      <w:rFonts w:hint="default" w:ascii="Times New Roman" w:hAnsi="Times New Roman" w:cs="Times New Roman"/>
                      <w:color w:val="auto"/>
                      <w:szCs w:val="21"/>
                      <w:highlight w:val="none"/>
                    </w:rPr>
                  </w:pPr>
                </w:p>
              </w:tc>
              <w:tc>
                <w:tcPr>
                  <w:tcW w:w="503" w:type="pct"/>
                  <w:vAlign w:val="center"/>
                </w:tcPr>
                <w:p w14:paraId="1955F1F4">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tc>
              <w:tc>
                <w:tcPr>
                  <w:tcW w:w="531" w:type="pct"/>
                  <w:vAlign w:val="center"/>
                </w:tcPr>
                <w:p w14:paraId="278D6362">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5（8）</w:t>
                  </w:r>
                </w:p>
              </w:tc>
            </w:tr>
            <w:tr w14:paraId="506B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88" w:type="pct"/>
                  <w:vMerge w:val="continue"/>
                  <w:vAlign w:val="center"/>
                </w:tcPr>
                <w:p w14:paraId="692D2039">
                  <w:pPr>
                    <w:adjustRightInd w:val="0"/>
                    <w:snapToGrid w:val="0"/>
                    <w:spacing w:line="300" w:lineRule="exact"/>
                    <w:jc w:val="center"/>
                    <w:rPr>
                      <w:rFonts w:hint="default" w:ascii="Times New Roman" w:hAnsi="Times New Roman" w:cs="Times New Roman"/>
                      <w:color w:val="auto"/>
                      <w:szCs w:val="21"/>
                      <w:highlight w:val="none"/>
                    </w:rPr>
                  </w:pPr>
                </w:p>
              </w:tc>
              <w:tc>
                <w:tcPr>
                  <w:tcW w:w="607" w:type="pct"/>
                  <w:vMerge w:val="continue"/>
                  <w:vAlign w:val="center"/>
                </w:tcPr>
                <w:p w14:paraId="7801A74D">
                  <w:pPr>
                    <w:adjustRightInd w:val="0"/>
                    <w:snapToGrid w:val="0"/>
                    <w:spacing w:line="300" w:lineRule="exact"/>
                    <w:jc w:val="center"/>
                    <w:rPr>
                      <w:rFonts w:hint="default" w:ascii="Times New Roman" w:hAnsi="Times New Roman" w:cs="Times New Roman"/>
                      <w:color w:val="auto"/>
                      <w:szCs w:val="21"/>
                      <w:highlight w:val="none"/>
                    </w:rPr>
                  </w:pPr>
                </w:p>
              </w:tc>
              <w:tc>
                <w:tcPr>
                  <w:tcW w:w="537" w:type="pct"/>
                  <w:vMerge w:val="continue"/>
                  <w:vAlign w:val="center"/>
                </w:tcPr>
                <w:p w14:paraId="1055A153">
                  <w:pPr>
                    <w:adjustRightInd w:val="0"/>
                    <w:snapToGrid w:val="0"/>
                    <w:spacing w:line="300" w:lineRule="exact"/>
                    <w:jc w:val="center"/>
                    <w:rPr>
                      <w:rFonts w:hint="default" w:ascii="Times New Roman" w:hAnsi="Times New Roman" w:cs="Times New Roman"/>
                      <w:color w:val="auto"/>
                      <w:szCs w:val="21"/>
                      <w:highlight w:val="none"/>
                    </w:rPr>
                  </w:pPr>
                </w:p>
              </w:tc>
              <w:tc>
                <w:tcPr>
                  <w:tcW w:w="682" w:type="pct"/>
                  <w:vMerge w:val="continue"/>
                  <w:vAlign w:val="center"/>
                </w:tcPr>
                <w:p w14:paraId="590DF02E">
                  <w:pPr>
                    <w:adjustRightInd w:val="0"/>
                    <w:snapToGrid w:val="0"/>
                    <w:spacing w:line="300" w:lineRule="exact"/>
                    <w:jc w:val="center"/>
                    <w:rPr>
                      <w:rFonts w:hint="default" w:ascii="Times New Roman" w:hAnsi="Times New Roman" w:cs="Times New Roman"/>
                      <w:color w:val="auto"/>
                      <w:szCs w:val="21"/>
                      <w:highlight w:val="none"/>
                    </w:rPr>
                  </w:pPr>
                </w:p>
              </w:tc>
              <w:tc>
                <w:tcPr>
                  <w:tcW w:w="428" w:type="pct"/>
                  <w:vMerge w:val="continue"/>
                  <w:vAlign w:val="center"/>
                </w:tcPr>
                <w:p w14:paraId="623213C4">
                  <w:pPr>
                    <w:adjustRightInd w:val="0"/>
                    <w:snapToGrid w:val="0"/>
                    <w:spacing w:line="300" w:lineRule="exact"/>
                    <w:jc w:val="center"/>
                    <w:rPr>
                      <w:rFonts w:hint="default" w:ascii="Times New Roman" w:hAnsi="Times New Roman" w:cs="Times New Roman"/>
                      <w:color w:val="auto"/>
                      <w:szCs w:val="21"/>
                      <w:highlight w:val="none"/>
                    </w:rPr>
                  </w:pPr>
                </w:p>
              </w:tc>
              <w:tc>
                <w:tcPr>
                  <w:tcW w:w="355" w:type="pct"/>
                  <w:vMerge w:val="continue"/>
                  <w:vAlign w:val="center"/>
                </w:tcPr>
                <w:p w14:paraId="0ADA3841">
                  <w:pPr>
                    <w:adjustRightInd w:val="0"/>
                    <w:snapToGrid w:val="0"/>
                    <w:spacing w:line="300" w:lineRule="exact"/>
                    <w:jc w:val="center"/>
                    <w:rPr>
                      <w:rFonts w:hint="default" w:ascii="Times New Roman" w:hAnsi="Times New Roman" w:cs="Times New Roman"/>
                      <w:color w:val="auto"/>
                      <w:szCs w:val="21"/>
                      <w:highlight w:val="none"/>
                    </w:rPr>
                  </w:pPr>
                </w:p>
              </w:tc>
              <w:tc>
                <w:tcPr>
                  <w:tcW w:w="386" w:type="pct"/>
                  <w:vMerge w:val="continue"/>
                  <w:vAlign w:val="center"/>
                </w:tcPr>
                <w:p w14:paraId="1E3BA34C">
                  <w:pPr>
                    <w:adjustRightInd w:val="0"/>
                    <w:snapToGrid w:val="0"/>
                    <w:spacing w:line="300" w:lineRule="exact"/>
                    <w:jc w:val="center"/>
                    <w:rPr>
                      <w:rFonts w:hint="default" w:ascii="Times New Roman" w:hAnsi="Times New Roman" w:cs="Times New Roman"/>
                      <w:color w:val="auto"/>
                      <w:szCs w:val="21"/>
                      <w:highlight w:val="none"/>
                    </w:rPr>
                  </w:pPr>
                </w:p>
              </w:tc>
              <w:tc>
                <w:tcPr>
                  <w:tcW w:w="378" w:type="pct"/>
                  <w:vMerge w:val="continue"/>
                  <w:vAlign w:val="center"/>
                </w:tcPr>
                <w:p w14:paraId="048D9D01">
                  <w:pPr>
                    <w:adjustRightInd w:val="0"/>
                    <w:snapToGrid w:val="0"/>
                    <w:spacing w:line="300" w:lineRule="exact"/>
                    <w:jc w:val="center"/>
                    <w:rPr>
                      <w:rFonts w:hint="default" w:ascii="Times New Roman" w:hAnsi="Times New Roman" w:cs="Times New Roman"/>
                      <w:color w:val="auto"/>
                      <w:szCs w:val="21"/>
                      <w:highlight w:val="none"/>
                    </w:rPr>
                  </w:pPr>
                </w:p>
              </w:tc>
              <w:tc>
                <w:tcPr>
                  <w:tcW w:w="503" w:type="pct"/>
                  <w:vAlign w:val="center"/>
                </w:tcPr>
                <w:p w14:paraId="1B23AA90">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531" w:type="pct"/>
                  <w:vAlign w:val="center"/>
                </w:tcPr>
                <w:p w14:paraId="4D991882">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r w14:paraId="73EA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88" w:type="pct"/>
                  <w:vMerge w:val="continue"/>
                  <w:vAlign w:val="center"/>
                </w:tcPr>
                <w:p w14:paraId="620BC5DB">
                  <w:pPr>
                    <w:spacing w:line="300" w:lineRule="exact"/>
                    <w:jc w:val="center"/>
                    <w:rPr>
                      <w:rFonts w:hint="default" w:ascii="Times New Roman" w:hAnsi="Times New Roman" w:cs="Times New Roman"/>
                      <w:color w:val="auto"/>
                      <w:highlight w:val="none"/>
                    </w:rPr>
                  </w:pPr>
                </w:p>
              </w:tc>
              <w:tc>
                <w:tcPr>
                  <w:tcW w:w="607" w:type="pct"/>
                  <w:vMerge w:val="continue"/>
                  <w:vAlign w:val="center"/>
                </w:tcPr>
                <w:p w14:paraId="0894B33F">
                  <w:pPr>
                    <w:spacing w:line="300" w:lineRule="exact"/>
                    <w:jc w:val="center"/>
                    <w:rPr>
                      <w:rFonts w:hint="default" w:ascii="Times New Roman" w:hAnsi="Times New Roman" w:cs="Times New Roman"/>
                      <w:color w:val="auto"/>
                      <w:highlight w:val="none"/>
                    </w:rPr>
                  </w:pPr>
                </w:p>
              </w:tc>
              <w:tc>
                <w:tcPr>
                  <w:tcW w:w="537" w:type="pct"/>
                  <w:vMerge w:val="continue"/>
                  <w:vAlign w:val="center"/>
                </w:tcPr>
                <w:p w14:paraId="52B7C7B3">
                  <w:pPr>
                    <w:spacing w:line="300" w:lineRule="exact"/>
                    <w:jc w:val="center"/>
                    <w:rPr>
                      <w:rFonts w:hint="default" w:ascii="Times New Roman" w:hAnsi="Times New Roman" w:cs="Times New Roman"/>
                      <w:color w:val="auto"/>
                      <w:highlight w:val="none"/>
                    </w:rPr>
                  </w:pPr>
                </w:p>
              </w:tc>
              <w:tc>
                <w:tcPr>
                  <w:tcW w:w="682" w:type="pct"/>
                  <w:vMerge w:val="continue"/>
                  <w:vAlign w:val="center"/>
                </w:tcPr>
                <w:p w14:paraId="3533CF3B">
                  <w:pPr>
                    <w:spacing w:line="300" w:lineRule="exact"/>
                    <w:jc w:val="center"/>
                    <w:rPr>
                      <w:rFonts w:hint="default" w:ascii="Times New Roman" w:hAnsi="Times New Roman" w:cs="Times New Roman"/>
                      <w:color w:val="auto"/>
                      <w:highlight w:val="none"/>
                    </w:rPr>
                  </w:pPr>
                </w:p>
              </w:tc>
              <w:tc>
                <w:tcPr>
                  <w:tcW w:w="428" w:type="pct"/>
                  <w:vMerge w:val="continue"/>
                  <w:vAlign w:val="center"/>
                </w:tcPr>
                <w:p w14:paraId="1010378F">
                  <w:pPr>
                    <w:spacing w:line="300" w:lineRule="exact"/>
                    <w:jc w:val="center"/>
                    <w:rPr>
                      <w:rFonts w:hint="default" w:ascii="Times New Roman" w:hAnsi="Times New Roman" w:cs="Times New Roman"/>
                      <w:color w:val="auto"/>
                      <w:highlight w:val="none"/>
                    </w:rPr>
                  </w:pPr>
                </w:p>
              </w:tc>
              <w:tc>
                <w:tcPr>
                  <w:tcW w:w="355" w:type="pct"/>
                  <w:vMerge w:val="continue"/>
                  <w:vAlign w:val="center"/>
                </w:tcPr>
                <w:p w14:paraId="210341FD">
                  <w:pPr>
                    <w:spacing w:line="300" w:lineRule="exact"/>
                    <w:jc w:val="center"/>
                    <w:rPr>
                      <w:rFonts w:hint="default" w:ascii="Times New Roman" w:hAnsi="Times New Roman" w:cs="Times New Roman"/>
                      <w:color w:val="auto"/>
                      <w:highlight w:val="none"/>
                    </w:rPr>
                  </w:pPr>
                </w:p>
              </w:tc>
              <w:tc>
                <w:tcPr>
                  <w:tcW w:w="386" w:type="pct"/>
                  <w:vMerge w:val="continue"/>
                  <w:vAlign w:val="center"/>
                </w:tcPr>
                <w:p w14:paraId="09046EFD">
                  <w:pPr>
                    <w:spacing w:line="300" w:lineRule="exact"/>
                    <w:jc w:val="center"/>
                    <w:rPr>
                      <w:rFonts w:hint="default" w:ascii="Times New Roman" w:hAnsi="Times New Roman" w:cs="Times New Roman"/>
                      <w:color w:val="auto"/>
                      <w:highlight w:val="none"/>
                    </w:rPr>
                  </w:pPr>
                </w:p>
              </w:tc>
              <w:tc>
                <w:tcPr>
                  <w:tcW w:w="378" w:type="pct"/>
                  <w:vMerge w:val="continue"/>
                  <w:vAlign w:val="center"/>
                </w:tcPr>
                <w:p w14:paraId="4DF3AF83">
                  <w:pPr>
                    <w:spacing w:line="300" w:lineRule="exact"/>
                    <w:jc w:val="center"/>
                    <w:rPr>
                      <w:rFonts w:hint="default" w:ascii="Times New Roman" w:hAnsi="Times New Roman" w:cs="Times New Roman"/>
                      <w:color w:val="auto"/>
                      <w:highlight w:val="none"/>
                    </w:rPr>
                  </w:pPr>
                </w:p>
              </w:tc>
              <w:tc>
                <w:tcPr>
                  <w:tcW w:w="503" w:type="pct"/>
                  <w:vAlign w:val="center"/>
                </w:tcPr>
                <w:p w14:paraId="179D450A">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531" w:type="pct"/>
                  <w:vAlign w:val="center"/>
                </w:tcPr>
                <w:p w14:paraId="3CBD3C0D">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w:t>
                  </w:r>
                </w:p>
              </w:tc>
            </w:tr>
          </w:tbl>
          <w:p w14:paraId="07A1AFEC">
            <w:pPr>
              <w:adjustRightInd w:val="0"/>
              <w:snapToGrid w:val="0"/>
              <w:spacing w:line="460" w:lineRule="exact"/>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表4.2-8  本项目废水污染物排放执行标准表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113"/>
              <w:gridCol w:w="2115"/>
              <w:gridCol w:w="2119"/>
            </w:tblGrid>
            <w:tr w14:paraId="4D39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vAlign w:val="center"/>
                </w:tcPr>
                <w:p w14:paraId="21A03BB3">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排放口编号</w:t>
                  </w:r>
                </w:p>
              </w:tc>
              <w:tc>
                <w:tcPr>
                  <w:tcW w:w="1249" w:type="pct"/>
                  <w:vMerge w:val="restart"/>
                  <w:vAlign w:val="center"/>
                </w:tcPr>
                <w:p w14:paraId="54470FEB">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污染物种类</w:t>
                  </w:r>
                </w:p>
              </w:tc>
              <w:tc>
                <w:tcPr>
                  <w:tcW w:w="2501" w:type="pct"/>
                  <w:gridSpan w:val="2"/>
                  <w:vAlign w:val="center"/>
                </w:tcPr>
                <w:p w14:paraId="6610381C">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间接排放标准</w:t>
                  </w:r>
                </w:p>
              </w:tc>
            </w:tr>
            <w:tr w14:paraId="5615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14:paraId="671CF628">
                  <w:pPr>
                    <w:adjustRightInd w:val="0"/>
                    <w:snapToGrid w:val="0"/>
                    <w:spacing w:line="300" w:lineRule="exact"/>
                    <w:jc w:val="center"/>
                    <w:rPr>
                      <w:rFonts w:hint="default" w:ascii="Times New Roman" w:hAnsi="Times New Roman" w:cs="Times New Roman"/>
                      <w:color w:val="auto"/>
                      <w:szCs w:val="21"/>
                      <w:highlight w:val="none"/>
                    </w:rPr>
                  </w:pPr>
                </w:p>
              </w:tc>
              <w:tc>
                <w:tcPr>
                  <w:tcW w:w="1249" w:type="pct"/>
                  <w:vMerge w:val="continue"/>
                  <w:vAlign w:val="center"/>
                </w:tcPr>
                <w:p w14:paraId="62C56991">
                  <w:pPr>
                    <w:adjustRightInd w:val="0"/>
                    <w:snapToGrid w:val="0"/>
                    <w:spacing w:line="300" w:lineRule="exact"/>
                    <w:jc w:val="center"/>
                    <w:rPr>
                      <w:rFonts w:hint="default" w:ascii="Times New Roman" w:hAnsi="Times New Roman" w:cs="Times New Roman"/>
                      <w:color w:val="auto"/>
                      <w:szCs w:val="21"/>
                      <w:highlight w:val="none"/>
                    </w:rPr>
                  </w:pPr>
                </w:p>
              </w:tc>
              <w:tc>
                <w:tcPr>
                  <w:tcW w:w="1250" w:type="pct"/>
                  <w:vAlign w:val="center"/>
                </w:tcPr>
                <w:p w14:paraId="12350DEA">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251" w:type="pct"/>
                  <w:vAlign w:val="center"/>
                </w:tcPr>
                <w:p w14:paraId="278B14BE">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排放限值（mg/L）</w:t>
                  </w:r>
                </w:p>
              </w:tc>
            </w:tr>
            <w:tr w14:paraId="6770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vAlign w:val="center"/>
                </w:tcPr>
                <w:p w14:paraId="6A7473CD">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DW001</w:t>
                  </w:r>
                </w:p>
              </w:tc>
              <w:tc>
                <w:tcPr>
                  <w:tcW w:w="1249" w:type="pct"/>
                  <w:vAlign w:val="center"/>
                </w:tcPr>
                <w:p w14:paraId="0DEF2E7C">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pH无量纲</w:t>
                  </w:r>
                </w:p>
              </w:tc>
              <w:tc>
                <w:tcPr>
                  <w:tcW w:w="1250" w:type="pct"/>
                  <w:vMerge w:val="restart"/>
                  <w:vAlign w:val="center"/>
                </w:tcPr>
                <w:p w14:paraId="687FBE3B">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《淀粉工业水污染物排放限值》（GB25461-2010）表2中的间接排放标准</w:t>
                  </w:r>
                </w:p>
              </w:tc>
              <w:tc>
                <w:tcPr>
                  <w:tcW w:w="1251" w:type="pct"/>
                  <w:vAlign w:val="center"/>
                </w:tcPr>
                <w:p w14:paraId="260ADC72">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6~9</w:t>
                  </w:r>
                </w:p>
              </w:tc>
            </w:tr>
            <w:tr w14:paraId="2772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14:paraId="2C4DA128">
                  <w:pPr>
                    <w:adjustRightInd w:val="0"/>
                    <w:snapToGrid w:val="0"/>
                    <w:spacing w:line="300" w:lineRule="exact"/>
                    <w:jc w:val="center"/>
                    <w:rPr>
                      <w:rFonts w:hint="default" w:ascii="Times New Roman" w:hAnsi="Times New Roman" w:cs="Times New Roman"/>
                      <w:color w:val="auto"/>
                      <w:szCs w:val="21"/>
                      <w:highlight w:val="none"/>
                    </w:rPr>
                  </w:pPr>
                </w:p>
              </w:tc>
              <w:tc>
                <w:tcPr>
                  <w:tcW w:w="1249" w:type="pct"/>
                  <w:vAlign w:val="center"/>
                </w:tcPr>
                <w:p w14:paraId="5EAEF90E">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p>
              </w:tc>
              <w:tc>
                <w:tcPr>
                  <w:tcW w:w="1250" w:type="pct"/>
                  <w:vMerge w:val="continue"/>
                  <w:vAlign w:val="center"/>
                </w:tcPr>
                <w:p w14:paraId="44639CF8">
                  <w:pPr>
                    <w:adjustRightInd w:val="0"/>
                    <w:snapToGrid w:val="0"/>
                    <w:spacing w:line="300" w:lineRule="exact"/>
                    <w:jc w:val="center"/>
                    <w:rPr>
                      <w:rFonts w:hint="default" w:ascii="Times New Roman" w:hAnsi="Times New Roman" w:cs="Times New Roman"/>
                      <w:color w:val="auto"/>
                      <w:szCs w:val="21"/>
                      <w:highlight w:val="none"/>
                    </w:rPr>
                  </w:pPr>
                </w:p>
              </w:tc>
              <w:tc>
                <w:tcPr>
                  <w:tcW w:w="1251" w:type="pct"/>
                  <w:vAlign w:val="center"/>
                </w:tcPr>
                <w:p w14:paraId="07135EBD">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r>
            <w:tr w14:paraId="21CB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14:paraId="4A6EB3F8">
                  <w:pPr>
                    <w:adjustRightInd w:val="0"/>
                    <w:snapToGrid w:val="0"/>
                    <w:spacing w:line="300" w:lineRule="exact"/>
                    <w:jc w:val="center"/>
                    <w:rPr>
                      <w:rFonts w:hint="default" w:ascii="Times New Roman" w:hAnsi="Times New Roman" w:cs="Times New Roman"/>
                      <w:color w:val="auto"/>
                      <w:szCs w:val="21"/>
                      <w:highlight w:val="none"/>
                    </w:rPr>
                  </w:pPr>
                </w:p>
              </w:tc>
              <w:tc>
                <w:tcPr>
                  <w:tcW w:w="1249" w:type="pct"/>
                  <w:vAlign w:val="center"/>
                </w:tcPr>
                <w:p w14:paraId="56E21732">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1250" w:type="pct"/>
                  <w:vMerge w:val="continue"/>
                  <w:vAlign w:val="center"/>
                </w:tcPr>
                <w:p w14:paraId="34063320">
                  <w:pPr>
                    <w:adjustRightInd w:val="0"/>
                    <w:snapToGrid w:val="0"/>
                    <w:spacing w:line="300" w:lineRule="exact"/>
                    <w:jc w:val="center"/>
                    <w:rPr>
                      <w:rFonts w:hint="default" w:ascii="Times New Roman" w:hAnsi="Times New Roman" w:cs="Times New Roman"/>
                      <w:color w:val="auto"/>
                      <w:szCs w:val="21"/>
                      <w:highlight w:val="none"/>
                    </w:rPr>
                  </w:pPr>
                </w:p>
              </w:tc>
              <w:tc>
                <w:tcPr>
                  <w:tcW w:w="1251" w:type="pct"/>
                  <w:vAlign w:val="center"/>
                </w:tcPr>
                <w:p w14:paraId="537B6133">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r>
            <w:tr w14:paraId="0622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14:paraId="05ACE83F">
                  <w:pPr>
                    <w:adjustRightInd w:val="0"/>
                    <w:snapToGrid w:val="0"/>
                    <w:spacing w:line="300" w:lineRule="exact"/>
                    <w:jc w:val="center"/>
                    <w:rPr>
                      <w:rFonts w:hint="default" w:ascii="Times New Roman" w:hAnsi="Times New Roman" w:cs="Times New Roman"/>
                      <w:color w:val="auto"/>
                      <w:szCs w:val="21"/>
                      <w:highlight w:val="none"/>
                    </w:rPr>
                  </w:pPr>
                </w:p>
              </w:tc>
              <w:tc>
                <w:tcPr>
                  <w:tcW w:w="1249" w:type="pct"/>
                  <w:vAlign w:val="center"/>
                </w:tcPr>
                <w:p w14:paraId="5CDF11AA">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tc>
              <w:tc>
                <w:tcPr>
                  <w:tcW w:w="1250" w:type="pct"/>
                  <w:vMerge w:val="continue"/>
                  <w:vAlign w:val="center"/>
                </w:tcPr>
                <w:p w14:paraId="6E8C818C">
                  <w:pPr>
                    <w:adjustRightInd w:val="0"/>
                    <w:snapToGrid w:val="0"/>
                    <w:spacing w:line="300" w:lineRule="exact"/>
                    <w:jc w:val="center"/>
                    <w:rPr>
                      <w:rFonts w:hint="default" w:ascii="Times New Roman" w:hAnsi="Times New Roman" w:cs="Times New Roman"/>
                      <w:color w:val="auto"/>
                      <w:szCs w:val="21"/>
                      <w:highlight w:val="none"/>
                    </w:rPr>
                  </w:pPr>
                </w:p>
              </w:tc>
              <w:tc>
                <w:tcPr>
                  <w:tcW w:w="1251" w:type="pct"/>
                  <w:vAlign w:val="center"/>
                </w:tcPr>
                <w:p w14:paraId="5C9AB163">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r>
            <w:tr w14:paraId="4F4E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14:paraId="0B6B494D">
                  <w:pPr>
                    <w:adjustRightInd w:val="0"/>
                    <w:snapToGrid w:val="0"/>
                    <w:spacing w:line="300" w:lineRule="exact"/>
                    <w:jc w:val="center"/>
                    <w:rPr>
                      <w:rFonts w:hint="default" w:ascii="Times New Roman" w:hAnsi="Times New Roman" w:cs="Times New Roman"/>
                      <w:color w:val="auto"/>
                      <w:szCs w:val="21"/>
                      <w:highlight w:val="none"/>
                    </w:rPr>
                  </w:pPr>
                </w:p>
              </w:tc>
              <w:tc>
                <w:tcPr>
                  <w:tcW w:w="1249" w:type="pct"/>
                  <w:vAlign w:val="center"/>
                </w:tcPr>
                <w:p w14:paraId="23778F58">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1250" w:type="pct"/>
                  <w:vMerge w:val="continue"/>
                  <w:vAlign w:val="center"/>
                </w:tcPr>
                <w:p w14:paraId="50A5E638">
                  <w:pPr>
                    <w:adjustRightInd w:val="0"/>
                    <w:snapToGrid w:val="0"/>
                    <w:spacing w:line="300" w:lineRule="exact"/>
                    <w:jc w:val="center"/>
                    <w:rPr>
                      <w:rFonts w:hint="default" w:ascii="Times New Roman" w:hAnsi="Times New Roman" w:cs="Times New Roman"/>
                      <w:color w:val="auto"/>
                      <w:szCs w:val="21"/>
                      <w:highlight w:val="none"/>
                    </w:rPr>
                  </w:pPr>
                </w:p>
              </w:tc>
              <w:tc>
                <w:tcPr>
                  <w:tcW w:w="1251" w:type="pct"/>
                  <w:vAlign w:val="center"/>
                </w:tcPr>
                <w:p w14:paraId="42D9CF05">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r>
            <w:tr w14:paraId="058D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14:paraId="28A1C2C6">
                  <w:pPr>
                    <w:adjustRightInd w:val="0"/>
                    <w:snapToGrid w:val="0"/>
                    <w:spacing w:line="300" w:lineRule="exact"/>
                    <w:jc w:val="center"/>
                    <w:rPr>
                      <w:rFonts w:hint="default" w:ascii="Times New Roman" w:hAnsi="Times New Roman" w:cs="Times New Roman"/>
                      <w:color w:val="auto"/>
                      <w:szCs w:val="21"/>
                      <w:highlight w:val="none"/>
                    </w:rPr>
                  </w:pPr>
                </w:p>
              </w:tc>
              <w:tc>
                <w:tcPr>
                  <w:tcW w:w="1249" w:type="pct"/>
                  <w:vAlign w:val="center"/>
                </w:tcPr>
                <w:p w14:paraId="1E9402A0">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1250" w:type="pct"/>
                  <w:vMerge w:val="continue"/>
                  <w:vAlign w:val="center"/>
                </w:tcPr>
                <w:p w14:paraId="79CEC054">
                  <w:pPr>
                    <w:adjustRightInd w:val="0"/>
                    <w:snapToGrid w:val="0"/>
                    <w:spacing w:line="300" w:lineRule="exact"/>
                    <w:jc w:val="center"/>
                    <w:rPr>
                      <w:rFonts w:hint="default" w:ascii="Times New Roman" w:hAnsi="Times New Roman" w:cs="Times New Roman"/>
                      <w:color w:val="auto"/>
                      <w:szCs w:val="21"/>
                      <w:highlight w:val="none"/>
                    </w:rPr>
                  </w:pPr>
                </w:p>
              </w:tc>
              <w:tc>
                <w:tcPr>
                  <w:tcW w:w="1251" w:type="pct"/>
                  <w:vAlign w:val="center"/>
                </w:tcPr>
                <w:p w14:paraId="589A52A4">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r>
            <w:tr w14:paraId="1172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14:paraId="53ABF925">
                  <w:pPr>
                    <w:adjustRightInd w:val="0"/>
                    <w:snapToGrid w:val="0"/>
                    <w:spacing w:line="300" w:lineRule="exact"/>
                    <w:jc w:val="center"/>
                    <w:rPr>
                      <w:rFonts w:hint="default" w:ascii="Times New Roman" w:hAnsi="Times New Roman" w:cs="Times New Roman"/>
                      <w:color w:val="auto"/>
                      <w:szCs w:val="21"/>
                      <w:highlight w:val="none"/>
                    </w:rPr>
                  </w:pPr>
                </w:p>
              </w:tc>
              <w:tc>
                <w:tcPr>
                  <w:tcW w:w="1249" w:type="pct"/>
                  <w:vAlign w:val="center"/>
                </w:tcPr>
                <w:p w14:paraId="0C4B6374">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1250" w:type="pct"/>
                  <w:vMerge w:val="continue"/>
                  <w:vAlign w:val="center"/>
                </w:tcPr>
                <w:p w14:paraId="64015921">
                  <w:pPr>
                    <w:adjustRightInd w:val="0"/>
                    <w:snapToGrid w:val="0"/>
                    <w:spacing w:line="300" w:lineRule="exact"/>
                    <w:jc w:val="center"/>
                    <w:rPr>
                      <w:rFonts w:hint="default" w:ascii="Times New Roman" w:hAnsi="Times New Roman" w:cs="Times New Roman"/>
                      <w:color w:val="auto"/>
                      <w:szCs w:val="21"/>
                      <w:highlight w:val="none"/>
                    </w:rPr>
                  </w:pPr>
                </w:p>
              </w:tc>
              <w:tc>
                <w:tcPr>
                  <w:tcW w:w="1251" w:type="pct"/>
                  <w:vAlign w:val="center"/>
                </w:tcPr>
                <w:p w14:paraId="2F14BF2A">
                  <w:pPr>
                    <w:adjustRightInd w:val="0"/>
                    <w:snapToGrid w:val="0"/>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r>
            <w:tr w14:paraId="798E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09B668A9">
                  <w:pPr>
                    <w:adjustRightInd w:val="0"/>
                    <w:snapToGrid w:val="0"/>
                    <w:spacing w:line="30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备注：生活污水依托厨鼎食品公司环保设施，执行龙市镇工业污水处理厂接管标准。</w:t>
                  </w:r>
                </w:p>
              </w:tc>
            </w:tr>
          </w:tbl>
          <w:p w14:paraId="70DB500C">
            <w:pPr>
              <w:adjustRightInd w:val="0"/>
              <w:snapToGrid w:val="0"/>
              <w:spacing w:line="460" w:lineRule="exact"/>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表4.2-9  本项目废水污染物排放信息表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7"/>
              <w:gridCol w:w="1787"/>
              <w:gridCol w:w="2118"/>
              <w:gridCol w:w="2118"/>
            </w:tblGrid>
            <w:tr w14:paraId="1160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Align w:val="center"/>
                </w:tcPr>
                <w:p w14:paraId="371D9B30">
                  <w:pPr>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排放口编号</w:t>
                  </w:r>
                </w:p>
              </w:tc>
              <w:tc>
                <w:tcPr>
                  <w:tcW w:w="1056" w:type="pct"/>
                  <w:vAlign w:val="center"/>
                </w:tcPr>
                <w:p w14:paraId="687F117A">
                  <w:pPr>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污染物种类</w:t>
                  </w:r>
                </w:p>
              </w:tc>
              <w:tc>
                <w:tcPr>
                  <w:tcW w:w="1251" w:type="pct"/>
                  <w:vAlign w:val="center"/>
                </w:tcPr>
                <w:p w14:paraId="0DC9236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排放浓度</w:t>
                  </w:r>
                </w:p>
                <w:p w14:paraId="46836F94">
                  <w:pPr>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（mg/L）</w:t>
                  </w:r>
                </w:p>
              </w:tc>
              <w:tc>
                <w:tcPr>
                  <w:tcW w:w="1251" w:type="pct"/>
                  <w:vAlign w:val="center"/>
                </w:tcPr>
                <w:p w14:paraId="64CA03A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年排放量</w:t>
                  </w:r>
                </w:p>
                <w:p w14:paraId="53107D4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（t/a）</w:t>
                  </w:r>
                </w:p>
              </w:tc>
            </w:tr>
            <w:tr w14:paraId="37DE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restart"/>
                  <w:vAlign w:val="center"/>
                </w:tcPr>
                <w:p w14:paraId="7C89CAD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DW001</w:t>
                  </w:r>
                </w:p>
                <w:p w14:paraId="5E7873DE">
                  <w:pPr>
                    <w:jc w:val="center"/>
                    <w:rPr>
                      <w:rFonts w:hint="default" w:ascii="Times New Roman" w:hAnsi="Times New Roman" w:cs="Times New Roman"/>
                      <w:color w:val="auto"/>
                      <w:szCs w:val="21"/>
                      <w:highlight w:val="none"/>
                    </w:rPr>
                  </w:pPr>
                </w:p>
              </w:tc>
              <w:tc>
                <w:tcPr>
                  <w:tcW w:w="1056" w:type="pct"/>
                  <w:shd w:val="clear" w:color="auto" w:fill="auto"/>
                  <w:vAlign w:val="center"/>
                </w:tcPr>
                <w:p w14:paraId="6DCF8C5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pH无量纲</w:t>
                  </w:r>
                </w:p>
              </w:tc>
              <w:tc>
                <w:tcPr>
                  <w:tcW w:w="1251" w:type="pct"/>
                  <w:vAlign w:val="center"/>
                </w:tcPr>
                <w:p w14:paraId="7BB63348">
                  <w:pPr>
                    <w:widowControl/>
                    <w:spacing w:line="30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6~9</w:t>
                  </w:r>
                </w:p>
              </w:tc>
              <w:tc>
                <w:tcPr>
                  <w:tcW w:w="1251" w:type="pct"/>
                  <w:vAlign w:val="center"/>
                </w:tcPr>
                <w:p w14:paraId="0C788FD4">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w:t>
                  </w:r>
                </w:p>
              </w:tc>
            </w:tr>
            <w:tr w14:paraId="7216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 w:type="pct"/>
                  <w:vMerge w:val="continue"/>
                  <w:vAlign w:val="center"/>
                </w:tcPr>
                <w:p w14:paraId="1A136D4C">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0E251FA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p>
              </w:tc>
              <w:tc>
                <w:tcPr>
                  <w:tcW w:w="1251" w:type="pct"/>
                  <w:vAlign w:val="center"/>
                </w:tcPr>
                <w:p w14:paraId="5197DEB1">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290</w:t>
                  </w:r>
                </w:p>
              </w:tc>
              <w:tc>
                <w:tcPr>
                  <w:tcW w:w="1251" w:type="pct"/>
                  <w:vAlign w:val="center"/>
                </w:tcPr>
                <w:p w14:paraId="2CCC789A">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 xml:space="preserve">0.413 </w:t>
                  </w:r>
                </w:p>
              </w:tc>
            </w:tr>
            <w:tr w14:paraId="3160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4876D0F5">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7AB7FB2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1251" w:type="pct"/>
                  <w:vAlign w:val="center"/>
                </w:tcPr>
                <w:p w14:paraId="2AC7785C">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55</w:t>
                  </w:r>
                </w:p>
              </w:tc>
              <w:tc>
                <w:tcPr>
                  <w:tcW w:w="1251" w:type="pct"/>
                  <w:vAlign w:val="center"/>
                </w:tcPr>
                <w:p w14:paraId="7F44FBD9">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 xml:space="preserve">0.078 </w:t>
                  </w:r>
                </w:p>
              </w:tc>
            </w:tr>
            <w:tr w14:paraId="6FB8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6F7921AE">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174AA5B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tc>
              <w:tc>
                <w:tcPr>
                  <w:tcW w:w="1251" w:type="pct"/>
                  <w:vAlign w:val="center"/>
                </w:tcPr>
                <w:p w14:paraId="693209BC">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69</w:t>
                  </w:r>
                </w:p>
              </w:tc>
              <w:tc>
                <w:tcPr>
                  <w:tcW w:w="1251" w:type="pct"/>
                  <w:vAlign w:val="center"/>
                </w:tcPr>
                <w:p w14:paraId="1AF6A0DE">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 xml:space="preserve">0.098 </w:t>
                  </w:r>
                </w:p>
              </w:tc>
            </w:tr>
            <w:tr w14:paraId="5DF0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7147A40B">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3796063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1251" w:type="pct"/>
                  <w:vAlign w:val="center"/>
                </w:tcPr>
                <w:p w14:paraId="38465BEA">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25</w:t>
                  </w:r>
                </w:p>
              </w:tc>
              <w:tc>
                <w:tcPr>
                  <w:tcW w:w="1251" w:type="pct"/>
                  <w:vAlign w:val="center"/>
                </w:tcPr>
                <w:p w14:paraId="042BF5FF">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 xml:space="preserve">0.036 </w:t>
                  </w:r>
                </w:p>
              </w:tc>
            </w:tr>
            <w:tr w14:paraId="72D0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2C098E16">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4CF25FF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1251" w:type="pct"/>
                  <w:vAlign w:val="center"/>
                </w:tcPr>
                <w:p w14:paraId="0694B51D">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30</w:t>
                  </w:r>
                </w:p>
              </w:tc>
              <w:tc>
                <w:tcPr>
                  <w:tcW w:w="1251" w:type="pct"/>
                  <w:vAlign w:val="center"/>
                </w:tcPr>
                <w:p w14:paraId="285FDCB3">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 xml:space="preserve">0.043 </w:t>
                  </w:r>
                </w:p>
              </w:tc>
            </w:tr>
            <w:tr w14:paraId="06DD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67B08139">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7D4C700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1251" w:type="pct"/>
                  <w:vAlign w:val="center"/>
                </w:tcPr>
                <w:p w14:paraId="3AA9DCA0">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3</w:t>
                  </w:r>
                </w:p>
              </w:tc>
              <w:tc>
                <w:tcPr>
                  <w:tcW w:w="1251" w:type="pct"/>
                  <w:vAlign w:val="center"/>
                </w:tcPr>
                <w:p w14:paraId="6DDCEFC7">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 xml:space="preserve">0.004 </w:t>
                  </w:r>
                </w:p>
              </w:tc>
            </w:tr>
            <w:tr w14:paraId="353A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restart"/>
                  <w:vAlign w:val="center"/>
                </w:tcPr>
                <w:p w14:paraId="097C6AB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依托厨鼎排放口</w:t>
                  </w:r>
                </w:p>
              </w:tc>
              <w:tc>
                <w:tcPr>
                  <w:tcW w:w="1056" w:type="pct"/>
                  <w:shd w:val="clear" w:color="auto" w:fill="auto"/>
                  <w:vAlign w:val="center"/>
                </w:tcPr>
                <w:p w14:paraId="69A07FA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pH无量纲</w:t>
                  </w:r>
                </w:p>
              </w:tc>
              <w:tc>
                <w:tcPr>
                  <w:tcW w:w="1251" w:type="pct"/>
                  <w:vAlign w:val="center"/>
                </w:tcPr>
                <w:p w14:paraId="1E6E80A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w:t>
                  </w:r>
                </w:p>
              </w:tc>
              <w:tc>
                <w:tcPr>
                  <w:tcW w:w="1251" w:type="pct"/>
                  <w:shd w:val="clear" w:color="auto" w:fill="auto"/>
                  <w:vAlign w:val="center"/>
                </w:tcPr>
                <w:p w14:paraId="6ECED6E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7AFC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01CC85D4">
                  <w:pPr>
                    <w:jc w:val="center"/>
                    <w:rPr>
                      <w:rFonts w:hint="default" w:ascii="Times New Roman" w:hAnsi="Times New Roman" w:cs="Times New Roman"/>
                      <w:color w:val="auto"/>
                      <w:szCs w:val="21"/>
                      <w:highlight w:val="none"/>
                    </w:rPr>
                  </w:pPr>
                </w:p>
              </w:tc>
              <w:tc>
                <w:tcPr>
                  <w:tcW w:w="1056" w:type="pct"/>
                  <w:shd w:val="clear" w:color="auto" w:fill="auto"/>
                  <w:vAlign w:val="center"/>
                </w:tcPr>
                <w:p w14:paraId="3BD293B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p>
              </w:tc>
              <w:tc>
                <w:tcPr>
                  <w:tcW w:w="1251" w:type="pct"/>
                  <w:vAlign w:val="center"/>
                </w:tcPr>
                <w:p w14:paraId="7922293C">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400 </w:t>
                  </w:r>
                </w:p>
              </w:tc>
              <w:tc>
                <w:tcPr>
                  <w:tcW w:w="1251" w:type="pct"/>
                  <w:shd w:val="clear" w:color="auto" w:fill="auto"/>
                  <w:vAlign w:val="center"/>
                </w:tcPr>
                <w:p w14:paraId="02511788">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0.020 </w:t>
                  </w:r>
                </w:p>
              </w:tc>
            </w:tr>
            <w:tr w14:paraId="6446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6789F51A">
                  <w:pPr>
                    <w:jc w:val="center"/>
                    <w:rPr>
                      <w:rFonts w:hint="default" w:ascii="Times New Roman" w:hAnsi="Times New Roman" w:cs="Times New Roman"/>
                      <w:color w:val="auto"/>
                      <w:szCs w:val="21"/>
                      <w:highlight w:val="none"/>
                    </w:rPr>
                  </w:pPr>
                </w:p>
              </w:tc>
              <w:tc>
                <w:tcPr>
                  <w:tcW w:w="1056" w:type="pct"/>
                  <w:shd w:val="clear" w:color="auto" w:fill="auto"/>
                  <w:vAlign w:val="center"/>
                </w:tcPr>
                <w:p w14:paraId="021BBAA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1251" w:type="pct"/>
                  <w:vAlign w:val="center"/>
                </w:tcPr>
                <w:p w14:paraId="6C10B2B2">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300 </w:t>
                  </w:r>
                </w:p>
              </w:tc>
              <w:tc>
                <w:tcPr>
                  <w:tcW w:w="1251" w:type="pct"/>
                  <w:shd w:val="clear" w:color="auto" w:fill="auto"/>
                  <w:vAlign w:val="center"/>
                </w:tcPr>
                <w:p w14:paraId="59C446B4">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0.015 </w:t>
                  </w:r>
                </w:p>
              </w:tc>
            </w:tr>
            <w:tr w14:paraId="133E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0A1FA9D4">
                  <w:pPr>
                    <w:jc w:val="center"/>
                    <w:rPr>
                      <w:rFonts w:hint="default" w:ascii="Times New Roman" w:hAnsi="Times New Roman" w:cs="Times New Roman"/>
                      <w:color w:val="auto"/>
                      <w:szCs w:val="21"/>
                      <w:highlight w:val="none"/>
                    </w:rPr>
                  </w:pPr>
                </w:p>
              </w:tc>
              <w:tc>
                <w:tcPr>
                  <w:tcW w:w="1056" w:type="pct"/>
                  <w:shd w:val="clear" w:color="auto" w:fill="auto"/>
                  <w:vAlign w:val="center"/>
                </w:tcPr>
                <w:p w14:paraId="087CAEA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tc>
              <w:tc>
                <w:tcPr>
                  <w:tcW w:w="1251" w:type="pct"/>
                  <w:vAlign w:val="center"/>
                </w:tcPr>
                <w:p w14:paraId="322CE16E">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200 </w:t>
                  </w:r>
                </w:p>
              </w:tc>
              <w:tc>
                <w:tcPr>
                  <w:tcW w:w="1251" w:type="pct"/>
                  <w:shd w:val="clear" w:color="auto" w:fill="auto"/>
                  <w:vAlign w:val="center"/>
                </w:tcPr>
                <w:p w14:paraId="12F5BF8F">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0.010 </w:t>
                  </w:r>
                </w:p>
              </w:tc>
            </w:tr>
            <w:tr w14:paraId="126B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6CAC1FFC">
                  <w:pPr>
                    <w:jc w:val="center"/>
                    <w:rPr>
                      <w:rFonts w:hint="default" w:ascii="Times New Roman" w:hAnsi="Times New Roman" w:cs="Times New Roman"/>
                      <w:color w:val="auto"/>
                      <w:szCs w:val="21"/>
                      <w:highlight w:val="none"/>
                    </w:rPr>
                  </w:pPr>
                </w:p>
              </w:tc>
              <w:tc>
                <w:tcPr>
                  <w:tcW w:w="1056" w:type="pct"/>
                  <w:shd w:val="clear" w:color="auto" w:fill="auto"/>
                  <w:vAlign w:val="center"/>
                </w:tcPr>
                <w:p w14:paraId="28AFE5C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1251" w:type="pct"/>
                  <w:vAlign w:val="center"/>
                </w:tcPr>
                <w:p w14:paraId="50C26733">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30 </w:t>
                  </w:r>
                </w:p>
              </w:tc>
              <w:tc>
                <w:tcPr>
                  <w:tcW w:w="1251" w:type="pct"/>
                  <w:shd w:val="clear" w:color="auto" w:fill="auto"/>
                  <w:vAlign w:val="center"/>
                </w:tcPr>
                <w:p w14:paraId="1E334825">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0.002 </w:t>
                  </w:r>
                </w:p>
              </w:tc>
            </w:tr>
            <w:tr w14:paraId="6271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26FB6A41">
                  <w:pPr>
                    <w:jc w:val="center"/>
                    <w:rPr>
                      <w:rFonts w:hint="default" w:ascii="Times New Roman" w:hAnsi="Times New Roman" w:cs="Times New Roman"/>
                      <w:color w:val="auto"/>
                      <w:szCs w:val="21"/>
                      <w:highlight w:val="none"/>
                    </w:rPr>
                  </w:pPr>
                </w:p>
              </w:tc>
              <w:tc>
                <w:tcPr>
                  <w:tcW w:w="1056" w:type="pct"/>
                  <w:shd w:val="clear" w:color="auto" w:fill="auto"/>
                  <w:vAlign w:val="center"/>
                </w:tcPr>
                <w:p w14:paraId="49B9C4A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1251" w:type="pct"/>
                  <w:vAlign w:val="center"/>
                </w:tcPr>
                <w:p w14:paraId="18CFA24E">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50 </w:t>
                  </w:r>
                </w:p>
              </w:tc>
              <w:tc>
                <w:tcPr>
                  <w:tcW w:w="1251" w:type="pct"/>
                  <w:shd w:val="clear" w:color="auto" w:fill="auto"/>
                  <w:vAlign w:val="center"/>
                </w:tcPr>
                <w:p w14:paraId="66B49DB1">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0.003 </w:t>
                  </w:r>
                </w:p>
              </w:tc>
            </w:tr>
            <w:tr w14:paraId="7E8B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672A07B1">
                  <w:pPr>
                    <w:jc w:val="center"/>
                    <w:rPr>
                      <w:rFonts w:hint="default" w:ascii="Times New Roman" w:hAnsi="Times New Roman" w:cs="Times New Roman"/>
                      <w:color w:val="auto"/>
                      <w:szCs w:val="21"/>
                      <w:highlight w:val="none"/>
                    </w:rPr>
                  </w:pPr>
                </w:p>
              </w:tc>
              <w:tc>
                <w:tcPr>
                  <w:tcW w:w="1056" w:type="pct"/>
                  <w:shd w:val="clear" w:color="auto" w:fill="auto"/>
                  <w:vAlign w:val="center"/>
                </w:tcPr>
                <w:p w14:paraId="2C5C7D7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1251" w:type="pct"/>
                  <w:vAlign w:val="center"/>
                </w:tcPr>
                <w:p w14:paraId="226742C5">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5 </w:t>
                  </w:r>
                </w:p>
              </w:tc>
              <w:tc>
                <w:tcPr>
                  <w:tcW w:w="1251" w:type="pct"/>
                  <w:shd w:val="clear" w:color="auto" w:fill="auto"/>
                  <w:vAlign w:val="center"/>
                </w:tcPr>
                <w:p w14:paraId="509E4BA5">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0.0003 </w:t>
                  </w:r>
                </w:p>
              </w:tc>
            </w:tr>
            <w:tr w14:paraId="3CF6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restart"/>
                  <w:vAlign w:val="center"/>
                </w:tcPr>
                <w:p w14:paraId="6468071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污水厂排放口</w:t>
                  </w:r>
                </w:p>
                <w:p w14:paraId="20EB698C">
                  <w:pPr>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（排入地表水体）</w:t>
                  </w:r>
                </w:p>
              </w:tc>
              <w:tc>
                <w:tcPr>
                  <w:tcW w:w="1056" w:type="pct"/>
                  <w:shd w:val="clear" w:color="auto" w:fill="auto"/>
                  <w:vAlign w:val="center"/>
                </w:tcPr>
                <w:p w14:paraId="157B374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pH无量纲</w:t>
                  </w:r>
                </w:p>
              </w:tc>
              <w:tc>
                <w:tcPr>
                  <w:tcW w:w="1251" w:type="pct"/>
                  <w:vAlign w:val="center"/>
                </w:tcPr>
                <w:p w14:paraId="406AFB95">
                  <w:pPr>
                    <w:widowControl/>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6~9</w:t>
                  </w:r>
                </w:p>
              </w:tc>
              <w:tc>
                <w:tcPr>
                  <w:tcW w:w="1251" w:type="pct"/>
                  <w:shd w:val="clear" w:color="auto" w:fill="auto"/>
                  <w:vAlign w:val="center"/>
                </w:tcPr>
                <w:p w14:paraId="6F8ACAF0">
                  <w:pPr>
                    <w:widowControl/>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w:t>
                  </w:r>
                </w:p>
              </w:tc>
            </w:tr>
            <w:tr w14:paraId="0641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440" w:type="pct"/>
                  <w:vMerge w:val="continue"/>
                  <w:vAlign w:val="center"/>
                </w:tcPr>
                <w:p w14:paraId="4AA90B94">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4231F54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p>
              </w:tc>
              <w:tc>
                <w:tcPr>
                  <w:tcW w:w="1251" w:type="pct"/>
                  <w:vAlign w:val="center"/>
                </w:tcPr>
                <w:p w14:paraId="0261AA3E">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50</w:t>
                  </w:r>
                </w:p>
              </w:tc>
              <w:tc>
                <w:tcPr>
                  <w:tcW w:w="1251" w:type="pct"/>
                  <w:shd w:val="clear" w:color="auto" w:fill="auto"/>
                  <w:vAlign w:val="center"/>
                </w:tcPr>
                <w:p w14:paraId="51ED0610">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0.074</w:t>
                  </w:r>
                </w:p>
              </w:tc>
            </w:tr>
            <w:tr w14:paraId="3FEB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57A48690">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60FDC45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1251" w:type="pct"/>
                  <w:vAlign w:val="center"/>
                </w:tcPr>
                <w:p w14:paraId="56CE4F98">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10</w:t>
                  </w:r>
                </w:p>
              </w:tc>
              <w:tc>
                <w:tcPr>
                  <w:tcW w:w="1251" w:type="pct"/>
                  <w:shd w:val="clear" w:color="auto" w:fill="auto"/>
                  <w:vAlign w:val="center"/>
                </w:tcPr>
                <w:p w14:paraId="6A796F17">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0.015</w:t>
                  </w:r>
                </w:p>
              </w:tc>
            </w:tr>
            <w:tr w14:paraId="3A79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440" w:type="pct"/>
                  <w:vMerge w:val="continue"/>
                  <w:vAlign w:val="center"/>
                </w:tcPr>
                <w:p w14:paraId="2F940F2C">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591C59F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tc>
              <w:tc>
                <w:tcPr>
                  <w:tcW w:w="1251" w:type="pct"/>
                  <w:vAlign w:val="center"/>
                </w:tcPr>
                <w:p w14:paraId="0C800FD2">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10</w:t>
                  </w:r>
                </w:p>
              </w:tc>
              <w:tc>
                <w:tcPr>
                  <w:tcW w:w="1251" w:type="pct"/>
                  <w:shd w:val="clear" w:color="auto" w:fill="auto"/>
                  <w:vAlign w:val="center"/>
                </w:tcPr>
                <w:p w14:paraId="28EE619A">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0.015</w:t>
                  </w:r>
                </w:p>
              </w:tc>
            </w:tr>
            <w:tr w14:paraId="546A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42931C27">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150EF10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1251" w:type="pct"/>
                  <w:vAlign w:val="center"/>
                </w:tcPr>
                <w:p w14:paraId="7D836CD1">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5（8）</w:t>
                  </w:r>
                </w:p>
              </w:tc>
              <w:tc>
                <w:tcPr>
                  <w:tcW w:w="1251" w:type="pct"/>
                  <w:shd w:val="clear" w:color="auto" w:fill="auto"/>
                  <w:vAlign w:val="center"/>
                </w:tcPr>
                <w:p w14:paraId="375BD08F">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0.007</w:t>
                  </w:r>
                </w:p>
              </w:tc>
            </w:tr>
            <w:tr w14:paraId="518E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67ECCA47">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42F7E2F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1251" w:type="pct"/>
                  <w:vAlign w:val="center"/>
                </w:tcPr>
                <w:p w14:paraId="7A909F28">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15</w:t>
                  </w:r>
                </w:p>
              </w:tc>
              <w:tc>
                <w:tcPr>
                  <w:tcW w:w="1251" w:type="pct"/>
                  <w:shd w:val="clear" w:color="auto" w:fill="auto"/>
                  <w:vAlign w:val="center"/>
                </w:tcPr>
                <w:p w14:paraId="6EE8B847">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0.022</w:t>
                  </w:r>
                </w:p>
              </w:tc>
            </w:tr>
            <w:tr w14:paraId="0AA2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pct"/>
                  <w:vMerge w:val="continue"/>
                  <w:vAlign w:val="center"/>
                </w:tcPr>
                <w:p w14:paraId="5685B0E8">
                  <w:pPr>
                    <w:jc w:val="center"/>
                    <w:rPr>
                      <w:rFonts w:hint="default" w:ascii="Times New Roman" w:hAnsi="Times New Roman" w:cs="Times New Roman"/>
                      <w:b/>
                      <w:bCs/>
                      <w:color w:val="auto"/>
                      <w:szCs w:val="21"/>
                      <w:highlight w:val="none"/>
                    </w:rPr>
                  </w:pPr>
                </w:p>
              </w:tc>
              <w:tc>
                <w:tcPr>
                  <w:tcW w:w="1056" w:type="pct"/>
                  <w:shd w:val="clear" w:color="auto" w:fill="auto"/>
                  <w:vAlign w:val="center"/>
                </w:tcPr>
                <w:p w14:paraId="1AFC07E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1251" w:type="pct"/>
                  <w:vAlign w:val="center"/>
                </w:tcPr>
                <w:p w14:paraId="235954D5">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0.5</w:t>
                  </w:r>
                </w:p>
              </w:tc>
              <w:tc>
                <w:tcPr>
                  <w:tcW w:w="1251" w:type="pct"/>
                  <w:shd w:val="clear" w:color="auto" w:fill="auto"/>
                  <w:vAlign w:val="center"/>
                </w:tcPr>
                <w:p w14:paraId="312195AA">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kern w:val="0"/>
                      <w:szCs w:val="21"/>
                      <w:highlight w:val="none"/>
                      <w:lang w:bidi="ar"/>
                    </w:rPr>
                    <w:t>0.001</w:t>
                  </w:r>
                </w:p>
              </w:tc>
            </w:tr>
          </w:tbl>
          <w:p w14:paraId="73D7E800">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b/>
                <w:bCs/>
                <w:color w:val="auto"/>
                <w:sz w:val="24"/>
                <w:highlight w:val="none"/>
              </w:rPr>
            </w:pPr>
            <w:r>
              <w:rPr>
                <w:rFonts w:hint="default" w:ascii="Times New Roman" w:hAnsi="Times New Roman" w:cs="Times New Roman"/>
                <w:b/>
                <w:color w:val="auto"/>
                <w:spacing w:val="-10"/>
                <w:sz w:val="24"/>
                <w:highlight w:val="none"/>
              </w:rPr>
              <w:t>4.2.2.4</w:t>
            </w:r>
            <w:r>
              <w:rPr>
                <w:rFonts w:hint="default" w:ascii="Times New Roman" w:hAnsi="Times New Roman" w:cs="Times New Roman"/>
                <w:b/>
                <w:bCs/>
                <w:color w:val="auto"/>
                <w:sz w:val="24"/>
                <w:highlight w:val="none"/>
              </w:rPr>
              <w:t>废水自行监测计划</w:t>
            </w:r>
          </w:p>
          <w:p w14:paraId="2EA863A9">
            <w:pPr>
              <w:widowControl/>
              <w:spacing w:line="460" w:lineRule="exact"/>
              <w:ind w:firstLine="480" w:firstLineChars="200"/>
              <w:jc w:val="left"/>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本项目采用新鲜葛根生产葛根粉，属于农副食品加工业。根据《排污单位自行监测技术指南  农副食品加工业》（HJ986-2018），本项目为非重点排污单位，废水为间接排放，生产废水排口自行监测计划见表4.2-10。</w:t>
            </w:r>
          </w:p>
          <w:p w14:paraId="753164D5">
            <w:pPr>
              <w:adjustRightInd w:val="0"/>
              <w:snapToGrid w:val="0"/>
              <w:spacing w:line="460" w:lineRule="exact"/>
              <w:jc w:val="center"/>
              <w:rPr>
                <w:rFonts w:hint="default" w:ascii="Times New Roman" w:hAnsi="Times New Roman" w:cs="Times New Roman"/>
                <w:b/>
                <w:color w:val="auto"/>
                <w:spacing w:val="-10"/>
                <w:sz w:val="24"/>
                <w:highlight w:val="none"/>
              </w:rPr>
            </w:pPr>
            <w:r>
              <w:rPr>
                <w:rFonts w:hint="default" w:ascii="Times New Roman" w:hAnsi="Times New Roman" w:cs="Times New Roman"/>
                <w:b/>
                <w:color w:val="auto"/>
                <w:spacing w:val="-10"/>
                <w:sz w:val="24"/>
                <w:highlight w:val="none"/>
              </w:rPr>
              <w:t>表4.2-10  废水自行监测计划</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2518"/>
              <w:gridCol w:w="2151"/>
              <w:gridCol w:w="2139"/>
            </w:tblGrid>
            <w:tr w14:paraId="013B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vAlign w:val="center"/>
                </w:tcPr>
                <w:p w14:paraId="52FA4A54">
                  <w:pPr>
                    <w:adjustRightInd w:val="0"/>
                    <w:snapToGrid w:val="0"/>
                    <w:spacing w:line="3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采样点位置</w:t>
                  </w:r>
                </w:p>
              </w:tc>
              <w:tc>
                <w:tcPr>
                  <w:tcW w:w="2518" w:type="dxa"/>
                  <w:vAlign w:val="center"/>
                </w:tcPr>
                <w:p w14:paraId="35882CE8">
                  <w:pPr>
                    <w:adjustRightInd w:val="0"/>
                    <w:snapToGrid w:val="0"/>
                    <w:spacing w:line="3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监测指标</w:t>
                  </w:r>
                </w:p>
              </w:tc>
              <w:tc>
                <w:tcPr>
                  <w:tcW w:w="2151" w:type="dxa"/>
                  <w:vAlign w:val="center"/>
                </w:tcPr>
                <w:p w14:paraId="0904F94D">
                  <w:pPr>
                    <w:adjustRightInd w:val="0"/>
                    <w:snapToGrid w:val="0"/>
                    <w:spacing w:line="3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监测频率（间接排放）</w:t>
                  </w:r>
                </w:p>
              </w:tc>
              <w:tc>
                <w:tcPr>
                  <w:tcW w:w="2139" w:type="dxa"/>
                  <w:vAlign w:val="center"/>
                </w:tcPr>
                <w:p w14:paraId="42554F68">
                  <w:pPr>
                    <w:adjustRightInd w:val="0"/>
                    <w:snapToGrid w:val="0"/>
                    <w:spacing w:line="3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执行标准</w:t>
                  </w:r>
                </w:p>
              </w:tc>
            </w:tr>
            <w:tr w14:paraId="2F55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vAlign w:val="center"/>
                </w:tcPr>
                <w:p w14:paraId="538F1F30">
                  <w:pPr>
                    <w:adjustRightInd w:val="0"/>
                    <w:snapToGrid w:val="0"/>
                    <w:spacing w:line="3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生产废水</w:t>
                  </w:r>
                </w:p>
                <w:p w14:paraId="5CEB8F4F">
                  <w:pPr>
                    <w:adjustRightInd w:val="0"/>
                    <w:snapToGrid w:val="0"/>
                    <w:spacing w:line="3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排放口</w:t>
                  </w:r>
                </w:p>
              </w:tc>
              <w:tc>
                <w:tcPr>
                  <w:tcW w:w="2518" w:type="dxa"/>
                  <w:vAlign w:val="center"/>
                </w:tcPr>
                <w:p w14:paraId="7359C9D1">
                  <w:pPr>
                    <w:adjustRightInd w:val="0"/>
                    <w:snapToGrid w:val="0"/>
                    <w:spacing w:line="3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pH值、流量、化学需氧量、氨氮、总氮、总磷、悬浮物、五日生化需氧量</w:t>
                  </w:r>
                </w:p>
              </w:tc>
              <w:tc>
                <w:tcPr>
                  <w:tcW w:w="2151" w:type="dxa"/>
                  <w:vAlign w:val="center"/>
                </w:tcPr>
                <w:p w14:paraId="437B4971">
                  <w:pPr>
                    <w:adjustRightInd w:val="0"/>
                    <w:snapToGrid w:val="0"/>
                    <w:spacing w:line="3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1次/半年</w:t>
                  </w:r>
                </w:p>
              </w:tc>
              <w:tc>
                <w:tcPr>
                  <w:tcW w:w="2139" w:type="dxa"/>
                  <w:vAlign w:val="center"/>
                </w:tcPr>
                <w:p w14:paraId="41735480">
                  <w:pPr>
                    <w:adjustRightInd w:val="0"/>
                    <w:snapToGrid w:val="0"/>
                    <w:spacing w:line="3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《淀粉工业水污染物排放限值》（GB25461-2010）表2间接排放限值</w:t>
                  </w:r>
                </w:p>
              </w:tc>
            </w:tr>
          </w:tbl>
          <w:p w14:paraId="701B3A72">
            <w:pPr>
              <w:adjustRightInd w:val="0"/>
              <w:snapToGrid w:val="0"/>
              <w:spacing w:line="460" w:lineRule="exact"/>
              <w:rPr>
                <w:rFonts w:hint="default" w:ascii="Times New Roman" w:hAnsi="Times New Roman" w:cs="Times New Roman"/>
                <w:b/>
                <w:color w:val="auto"/>
                <w:spacing w:val="-10"/>
                <w:sz w:val="24"/>
                <w:highlight w:val="none"/>
              </w:rPr>
            </w:pPr>
            <w:r>
              <w:rPr>
                <w:rFonts w:hint="default" w:ascii="Times New Roman" w:hAnsi="Times New Roman" w:cs="Times New Roman"/>
                <w:b/>
                <w:color w:val="auto"/>
                <w:spacing w:val="-10"/>
                <w:sz w:val="24"/>
                <w:highlight w:val="none"/>
              </w:rPr>
              <w:t>4.2.3噪声</w:t>
            </w:r>
          </w:p>
          <w:p w14:paraId="384EC5D2">
            <w:pPr>
              <w:adjustRightInd w:val="0"/>
              <w:snapToGrid w:val="0"/>
              <w:spacing w:line="460" w:lineRule="exact"/>
              <w:rPr>
                <w:rFonts w:hint="default" w:ascii="Times New Roman" w:hAnsi="Times New Roman" w:cs="Times New Roman"/>
                <w:b/>
                <w:color w:val="auto"/>
                <w:spacing w:val="-10"/>
                <w:sz w:val="24"/>
                <w:highlight w:val="none"/>
              </w:rPr>
            </w:pPr>
            <w:r>
              <w:rPr>
                <w:rFonts w:hint="default" w:ascii="Times New Roman" w:hAnsi="Times New Roman" w:cs="Times New Roman"/>
                <w:b/>
                <w:color w:val="auto"/>
                <w:spacing w:val="-10"/>
                <w:sz w:val="24"/>
                <w:highlight w:val="none"/>
              </w:rPr>
              <w:t>（一）噪声源强</w:t>
            </w:r>
          </w:p>
          <w:p w14:paraId="0F00E8FA">
            <w:pPr>
              <w:pStyle w:val="47"/>
              <w:spacing w:line="46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本项目营运期的噪声污染源主要为机械设备噪声，各类设备在未采取任何降噪措施前噪声源强一般在68~80 dB之间。所有设备均位于室内，故噪声源强为室内声源。</w:t>
            </w:r>
          </w:p>
          <w:p w14:paraId="25754636">
            <w:pPr>
              <w:pStyle w:val="47"/>
              <w:spacing w:line="46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项目运营期主要设备噪声源强、产生位置及治理措施见下表4.2-11。</w:t>
            </w:r>
          </w:p>
          <w:p w14:paraId="352B96AE">
            <w:pPr>
              <w:pStyle w:val="47"/>
              <w:spacing w:line="460" w:lineRule="exact"/>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表4.2-11 设备噪声源强表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1678"/>
              <w:gridCol w:w="1417"/>
              <w:gridCol w:w="1619"/>
              <w:gridCol w:w="2139"/>
            </w:tblGrid>
            <w:tr w14:paraId="1B4E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1" w:type="pct"/>
                  <w:vAlign w:val="center"/>
                </w:tcPr>
                <w:p w14:paraId="117018EA">
                  <w:pPr>
                    <w:pStyle w:val="47"/>
                    <w:spacing w:line="30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设备名称</w:t>
                  </w:r>
                </w:p>
              </w:tc>
              <w:tc>
                <w:tcPr>
                  <w:tcW w:w="991" w:type="pct"/>
                  <w:vAlign w:val="center"/>
                </w:tcPr>
                <w:p w14:paraId="639CD88A">
                  <w:pPr>
                    <w:pStyle w:val="47"/>
                    <w:spacing w:line="30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产生位置</w:t>
                  </w:r>
                </w:p>
              </w:tc>
              <w:tc>
                <w:tcPr>
                  <w:tcW w:w="837" w:type="pct"/>
                  <w:vAlign w:val="center"/>
                </w:tcPr>
                <w:p w14:paraId="207244EB">
                  <w:pPr>
                    <w:pStyle w:val="47"/>
                    <w:spacing w:line="30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台数（套）数</w:t>
                  </w:r>
                </w:p>
              </w:tc>
              <w:tc>
                <w:tcPr>
                  <w:tcW w:w="956" w:type="pct"/>
                  <w:vAlign w:val="center"/>
                </w:tcPr>
                <w:p w14:paraId="04BE137B">
                  <w:pPr>
                    <w:pStyle w:val="47"/>
                    <w:spacing w:line="30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声级dB（A）</w:t>
                  </w:r>
                </w:p>
              </w:tc>
              <w:tc>
                <w:tcPr>
                  <w:tcW w:w="1263" w:type="pct"/>
                  <w:vAlign w:val="center"/>
                </w:tcPr>
                <w:p w14:paraId="262AC033">
                  <w:pPr>
                    <w:pStyle w:val="47"/>
                    <w:spacing w:line="30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治理措施</w:t>
                  </w:r>
                </w:p>
              </w:tc>
            </w:tr>
            <w:tr w14:paraId="3A56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51" w:type="pct"/>
                  <w:vAlign w:val="center"/>
                </w:tcPr>
                <w:p w14:paraId="69BBD3F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毛刷</w:t>
                  </w:r>
                  <w:r>
                    <w:rPr>
                      <w:rFonts w:hint="default" w:ascii="Times New Roman" w:hAnsi="Times New Roman" w:eastAsia="Arial" w:cs="Times New Roman"/>
                      <w:color w:val="auto"/>
                      <w:szCs w:val="21"/>
                      <w:highlight w:val="none"/>
                    </w:rPr>
                    <w:t>清洗机</w:t>
                  </w:r>
                </w:p>
              </w:tc>
              <w:tc>
                <w:tcPr>
                  <w:tcW w:w="991" w:type="pct"/>
                  <w:vAlign w:val="center"/>
                </w:tcPr>
                <w:p w14:paraId="201A3032">
                  <w:pPr>
                    <w:pStyle w:val="47"/>
                    <w:spacing w:line="30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清洗间</w:t>
                  </w:r>
                </w:p>
              </w:tc>
              <w:tc>
                <w:tcPr>
                  <w:tcW w:w="837" w:type="pct"/>
                  <w:vAlign w:val="center"/>
                </w:tcPr>
                <w:p w14:paraId="4336F015">
                  <w:pPr>
                    <w:pStyle w:val="47"/>
                    <w:spacing w:line="30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56" w:type="pct"/>
                  <w:vAlign w:val="center"/>
                </w:tcPr>
                <w:p w14:paraId="7E39B08F">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 w:val="20"/>
                      <w:highlight w:val="none"/>
                    </w:rPr>
                    <w:t>80</w:t>
                  </w:r>
                </w:p>
              </w:tc>
              <w:tc>
                <w:tcPr>
                  <w:tcW w:w="1263" w:type="pct"/>
                  <w:vMerge w:val="restart"/>
                  <w:vAlign w:val="center"/>
                </w:tcPr>
                <w:p w14:paraId="6A5F70A0">
                  <w:pPr>
                    <w:pStyle w:val="47"/>
                    <w:spacing w:line="30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基础减震，建筑隔声，隔声量15dB（A）</w:t>
                  </w:r>
                </w:p>
                <w:p w14:paraId="4C4186E1">
                  <w:pPr>
                    <w:pStyle w:val="47"/>
                    <w:spacing w:line="300" w:lineRule="exact"/>
                    <w:ind w:firstLine="0" w:firstLineChars="0"/>
                    <w:rPr>
                      <w:rFonts w:hint="default" w:ascii="Times New Roman" w:hAnsi="Times New Roman" w:cs="Times New Roman"/>
                      <w:color w:val="auto"/>
                      <w:sz w:val="21"/>
                      <w:szCs w:val="21"/>
                      <w:highlight w:val="none"/>
                    </w:rPr>
                  </w:pPr>
                </w:p>
              </w:tc>
            </w:tr>
            <w:tr w14:paraId="100F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51" w:type="pct"/>
                  <w:vAlign w:val="center"/>
                </w:tcPr>
                <w:p w14:paraId="4201A0B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提升泵</w:t>
                  </w:r>
                </w:p>
              </w:tc>
              <w:tc>
                <w:tcPr>
                  <w:tcW w:w="991" w:type="pct"/>
                  <w:vAlign w:val="center"/>
                </w:tcPr>
                <w:p w14:paraId="28EC682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清洗间</w:t>
                  </w:r>
                </w:p>
              </w:tc>
              <w:tc>
                <w:tcPr>
                  <w:tcW w:w="837" w:type="pct"/>
                  <w:vAlign w:val="center"/>
                </w:tcPr>
                <w:p w14:paraId="444CE43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956" w:type="pct"/>
                  <w:vAlign w:val="center"/>
                </w:tcPr>
                <w:p w14:paraId="098FC9E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263" w:type="pct"/>
                  <w:vMerge w:val="continue"/>
                  <w:vAlign w:val="center"/>
                </w:tcPr>
                <w:p w14:paraId="1DA4041B">
                  <w:pPr>
                    <w:jc w:val="center"/>
                    <w:rPr>
                      <w:rFonts w:hint="default" w:ascii="Times New Roman" w:hAnsi="Times New Roman" w:cs="Times New Roman"/>
                      <w:color w:val="auto"/>
                      <w:szCs w:val="21"/>
                      <w:highlight w:val="none"/>
                    </w:rPr>
                  </w:pPr>
                </w:p>
              </w:tc>
            </w:tr>
            <w:tr w14:paraId="7CE7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Align w:val="center"/>
                </w:tcPr>
                <w:p w14:paraId="4979B53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皮带运输机</w:t>
                  </w:r>
                </w:p>
              </w:tc>
              <w:tc>
                <w:tcPr>
                  <w:tcW w:w="991" w:type="pct"/>
                  <w:vAlign w:val="center"/>
                </w:tcPr>
                <w:p w14:paraId="0AFDE621">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清洗间、粉碎磨洗间</w:t>
                  </w:r>
                </w:p>
              </w:tc>
              <w:tc>
                <w:tcPr>
                  <w:tcW w:w="837" w:type="pct"/>
                  <w:vAlign w:val="center"/>
                </w:tcPr>
                <w:p w14:paraId="345CE177">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snapToGrid w:val="0"/>
                      <w:color w:val="auto"/>
                      <w:kern w:val="21"/>
                      <w:szCs w:val="21"/>
                      <w:highlight w:val="none"/>
                    </w:rPr>
                    <w:t>1</w:t>
                  </w:r>
                </w:p>
              </w:tc>
              <w:tc>
                <w:tcPr>
                  <w:tcW w:w="956" w:type="pct"/>
                  <w:vAlign w:val="center"/>
                </w:tcPr>
                <w:p w14:paraId="055AE6B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 w:val="20"/>
                      <w:highlight w:val="none"/>
                    </w:rPr>
                    <w:t>68</w:t>
                  </w:r>
                </w:p>
              </w:tc>
              <w:tc>
                <w:tcPr>
                  <w:tcW w:w="1263" w:type="pct"/>
                  <w:vMerge w:val="continue"/>
                  <w:vAlign w:val="center"/>
                </w:tcPr>
                <w:p w14:paraId="0EC6AB76">
                  <w:pPr>
                    <w:pStyle w:val="47"/>
                    <w:spacing w:line="300" w:lineRule="exact"/>
                    <w:ind w:firstLine="0" w:firstLineChars="0"/>
                    <w:rPr>
                      <w:rFonts w:hint="default" w:ascii="Times New Roman" w:hAnsi="Times New Roman" w:cs="Times New Roman"/>
                      <w:color w:val="auto"/>
                      <w:sz w:val="21"/>
                      <w:szCs w:val="21"/>
                      <w:highlight w:val="none"/>
                    </w:rPr>
                  </w:pPr>
                </w:p>
              </w:tc>
            </w:tr>
            <w:tr w14:paraId="0B33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951" w:type="pct"/>
                  <w:vAlign w:val="center"/>
                </w:tcPr>
                <w:p w14:paraId="18CDE9C9">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葛根粉碎机</w:t>
                  </w:r>
                </w:p>
              </w:tc>
              <w:tc>
                <w:tcPr>
                  <w:tcW w:w="991" w:type="pct"/>
                  <w:vMerge w:val="restart"/>
                  <w:vAlign w:val="center"/>
                </w:tcPr>
                <w:p w14:paraId="22A11624">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粉碎磨浆间</w:t>
                  </w:r>
                </w:p>
              </w:tc>
              <w:tc>
                <w:tcPr>
                  <w:tcW w:w="837" w:type="pct"/>
                  <w:vAlign w:val="center"/>
                </w:tcPr>
                <w:p w14:paraId="6FE0BD35">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snapToGrid w:val="0"/>
                      <w:color w:val="auto"/>
                      <w:kern w:val="21"/>
                      <w:szCs w:val="21"/>
                      <w:highlight w:val="none"/>
                    </w:rPr>
                    <w:t>1</w:t>
                  </w:r>
                </w:p>
              </w:tc>
              <w:tc>
                <w:tcPr>
                  <w:tcW w:w="956" w:type="pct"/>
                  <w:vAlign w:val="center"/>
                </w:tcPr>
                <w:p w14:paraId="665A5F8B">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 w:val="20"/>
                      <w:highlight w:val="none"/>
                    </w:rPr>
                    <w:t>78</w:t>
                  </w:r>
                </w:p>
              </w:tc>
              <w:tc>
                <w:tcPr>
                  <w:tcW w:w="1263" w:type="pct"/>
                  <w:vMerge w:val="continue"/>
                  <w:vAlign w:val="center"/>
                </w:tcPr>
                <w:p w14:paraId="76AC98E8">
                  <w:pPr>
                    <w:pStyle w:val="47"/>
                    <w:spacing w:line="300" w:lineRule="exact"/>
                    <w:ind w:firstLine="0" w:firstLineChars="0"/>
                    <w:rPr>
                      <w:rFonts w:hint="default" w:ascii="Times New Roman" w:hAnsi="Times New Roman" w:cs="Times New Roman"/>
                      <w:color w:val="auto"/>
                      <w:sz w:val="21"/>
                      <w:szCs w:val="21"/>
                      <w:highlight w:val="none"/>
                    </w:rPr>
                  </w:pPr>
                </w:p>
              </w:tc>
            </w:tr>
            <w:tr w14:paraId="4917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51" w:type="pct"/>
                  <w:vAlign w:val="center"/>
                </w:tcPr>
                <w:p w14:paraId="1CF7FBC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浆渣分离机</w:t>
                  </w:r>
                </w:p>
              </w:tc>
              <w:tc>
                <w:tcPr>
                  <w:tcW w:w="991" w:type="pct"/>
                  <w:vMerge w:val="continue"/>
                  <w:vAlign w:val="center"/>
                </w:tcPr>
                <w:p w14:paraId="6A49331E">
                  <w:pPr>
                    <w:jc w:val="center"/>
                    <w:rPr>
                      <w:rFonts w:hint="default" w:ascii="Times New Roman" w:hAnsi="Times New Roman" w:eastAsia="Arial" w:cs="Times New Roman"/>
                      <w:color w:val="auto"/>
                      <w:szCs w:val="21"/>
                      <w:highlight w:val="none"/>
                    </w:rPr>
                  </w:pPr>
                </w:p>
              </w:tc>
              <w:tc>
                <w:tcPr>
                  <w:tcW w:w="837" w:type="pct"/>
                  <w:vAlign w:val="center"/>
                </w:tcPr>
                <w:p w14:paraId="1E89155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956" w:type="pct"/>
                  <w:vAlign w:val="center"/>
                </w:tcPr>
                <w:p w14:paraId="522827BD">
                  <w:pPr>
                    <w:jc w:val="center"/>
                    <w:rPr>
                      <w:rFonts w:hint="default" w:ascii="Times New Roman" w:hAnsi="Times New Roman" w:eastAsia="Arial" w:cs="Times New Roman"/>
                      <w:color w:val="auto"/>
                      <w:szCs w:val="21"/>
                      <w:highlight w:val="none"/>
                    </w:rPr>
                  </w:pPr>
                  <w:r>
                    <w:rPr>
                      <w:rFonts w:hint="default" w:ascii="Times New Roman" w:hAnsi="Times New Roman" w:eastAsia="Arial" w:cs="Times New Roman"/>
                      <w:color w:val="auto"/>
                      <w:sz w:val="20"/>
                      <w:highlight w:val="none"/>
                    </w:rPr>
                    <w:t>75</w:t>
                  </w:r>
                </w:p>
              </w:tc>
              <w:tc>
                <w:tcPr>
                  <w:tcW w:w="1263" w:type="pct"/>
                  <w:vMerge w:val="continue"/>
                  <w:vAlign w:val="center"/>
                </w:tcPr>
                <w:p w14:paraId="024FA0F7">
                  <w:pPr>
                    <w:jc w:val="center"/>
                    <w:rPr>
                      <w:rFonts w:hint="default" w:ascii="Times New Roman" w:hAnsi="Times New Roman" w:eastAsia="Arial" w:cs="Times New Roman"/>
                      <w:color w:val="auto"/>
                      <w:szCs w:val="21"/>
                      <w:highlight w:val="none"/>
                    </w:rPr>
                  </w:pPr>
                </w:p>
              </w:tc>
            </w:tr>
            <w:tr w14:paraId="19C8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Align w:val="center"/>
                </w:tcPr>
                <w:p w14:paraId="23149680">
                  <w:pPr>
                    <w:jc w:val="center"/>
                    <w:rPr>
                      <w:rFonts w:hint="default" w:ascii="Times New Roman" w:hAnsi="Times New Roman" w:cs="Times New Roman"/>
                      <w:snapToGrid w:val="0"/>
                      <w:color w:val="auto"/>
                      <w:kern w:val="21"/>
                      <w:szCs w:val="21"/>
                      <w:highlight w:val="none"/>
                    </w:rPr>
                  </w:pPr>
                  <w:r>
                    <w:rPr>
                      <w:rFonts w:hint="default" w:ascii="Times New Roman" w:hAnsi="Times New Roman" w:eastAsia="Arial" w:cs="Times New Roman"/>
                      <w:color w:val="auto"/>
                      <w:szCs w:val="21"/>
                      <w:highlight w:val="none"/>
                    </w:rPr>
                    <w:t>二罗机</w:t>
                  </w:r>
                </w:p>
              </w:tc>
              <w:tc>
                <w:tcPr>
                  <w:tcW w:w="991" w:type="pct"/>
                  <w:vMerge w:val="continue"/>
                  <w:vAlign w:val="center"/>
                </w:tcPr>
                <w:p w14:paraId="48C4BB94">
                  <w:pPr>
                    <w:spacing w:line="300" w:lineRule="exact"/>
                    <w:jc w:val="center"/>
                    <w:rPr>
                      <w:rFonts w:hint="default" w:ascii="Times New Roman" w:hAnsi="Times New Roman" w:cs="Times New Roman"/>
                      <w:color w:val="auto"/>
                      <w:szCs w:val="21"/>
                      <w:highlight w:val="none"/>
                    </w:rPr>
                  </w:pPr>
                </w:p>
              </w:tc>
              <w:tc>
                <w:tcPr>
                  <w:tcW w:w="837" w:type="pct"/>
                  <w:vAlign w:val="center"/>
                </w:tcPr>
                <w:p w14:paraId="2C7C02B1">
                  <w:pPr>
                    <w:widowControl/>
                    <w:spacing w:line="300" w:lineRule="exact"/>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1</w:t>
                  </w:r>
                </w:p>
              </w:tc>
              <w:tc>
                <w:tcPr>
                  <w:tcW w:w="956" w:type="pct"/>
                  <w:vAlign w:val="center"/>
                </w:tcPr>
                <w:p w14:paraId="6E70C07B">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 w:val="20"/>
                      <w:highlight w:val="none"/>
                    </w:rPr>
                    <w:t>72</w:t>
                  </w:r>
                </w:p>
              </w:tc>
              <w:tc>
                <w:tcPr>
                  <w:tcW w:w="1263" w:type="pct"/>
                  <w:vMerge w:val="continue"/>
                  <w:vAlign w:val="center"/>
                </w:tcPr>
                <w:p w14:paraId="5EF3F611">
                  <w:pPr>
                    <w:pStyle w:val="47"/>
                    <w:spacing w:line="300" w:lineRule="exact"/>
                    <w:ind w:firstLine="0" w:firstLineChars="0"/>
                    <w:rPr>
                      <w:rFonts w:hint="default" w:ascii="Times New Roman" w:hAnsi="Times New Roman" w:cs="Times New Roman"/>
                      <w:color w:val="auto"/>
                      <w:sz w:val="21"/>
                      <w:szCs w:val="21"/>
                      <w:highlight w:val="none"/>
                    </w:rPr>
                  </w:pPr>
                </w:p>
              </w:tc>
            </w:tr>
            <w:tr w14:paraId="57B5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Align w:val="center"/>
                </w:tcPr>
                <w:p w14:paraId="12646410">
                  <w:pPr>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szCs w:val="21"/>
                      <w:highlight w:val="none"/>
                    </w:rPr>
                    <w:t>淀粉</w:t>
                  </w:r>
                  <w:r>
                    <w:rPr>
                      <w:rFonts w:hint="default" w:ascii="Times New Roman" w:hAnsi="Times New Roman" w:eastAsia="Arial" w:cs="Times New Roman"/>
                      <w:color w:val="auto"/>
                      <w:szCs w:val="21"/>
                      <w:highlight w:val="none"/>
                    </w:rPr>
                    <w:t>除砂器</w:t>
                  </w:r>
                </w:p>
              </w:tc>
              <w:tc>
                <w:tcPr>
                  <w:tcW w:w="991" w:type="pct"/>
                  <w:vMerge w:val="continue"/>
                  <w:vAlign w:val="center"/>
                </w:tcPr>
                <w:p w14:paraId="5E6D98BB">
                  <w:pPr>
                    <w:spacing w:line="300" w:lineRule="exact"/>
                    <w:jc w:val="center"/>
                    <w:rPr>
                      <w:rFonts w:hint="default" w:ascii="Times New Roman" w:hAnsi="Times New Roman" w:cs="Times New Roman"/>
                      <w:color w:val="auto"/>
                      <w:szCs w:val="21"/>
                      <w:highlight w:val="none"/>
                    </w:rPr>
                  </w:pPr>
                </w:p>
              </w:tc>
              <w:tc>
                <w:tcPr>
                  <w:tcW w:w="837" w:type="pct"/>
                  <w:vAlign w:val="center"/>
                </w:tcPr>
                <w:p w14:paraId="6D70BC29">
                  <w:pPr>
                    <w:widowControl/>
                    <w:spacing w:line="300" w:lineRule="exact"/>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1</w:t>
                  </w:r>
                </w:p>
              </w:tc>
              <w:tc>
                <w:tcPr>
                  <w:tcW w:w="956" w:type="pct"/>
                  <w:vAlign w:val="center"/>
                </w:tcPr>
                <w:p w14:paraId="712BDA88">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 w:val="20"/>
                      <w:highlight w:val="none"/>
                    </w:rPr>
                    <w:t>75</w:t>
                  </w:r>
                </w:p>
              </w:tc>
              <w:tc>
                <w:tcPr>
                  <w:tcW w:w="1263" w:type="pct"/>
                  <w:vMerge w:val="continue"/>
                  <w:vAlign w:val="center"/>
                </w:tcPr>
                <w:p w14:paraId="158370F3">
                  <w:pPr>
                    <w:pStyle w:val="47"/>
                    <w:spacing w:line="300" w:lineRule="exact"/>
                    <w:ind w:firstLine="0" w:firstLineChars="0"/>
                    <w:rPr>
                      <w:rFonts w:hint="default" w:ascii="Times New Roman" w:hAnsi="Times New Roman" w:cs="Times New Roman"/>
                      <w:color w:val="auto"/>
                      <w:sz w:val="21"/>
                      <w:szCs w:val="21"/>
                      <w:highlight w:val="none"/>
                    </w:rPr>
                  </w:pPr>
                </w:p>
              </w:tc>
            </w:tr>
            <w:tr w14:paraId="6F33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Align w:val="center"/>
                </w:tcPr>
                <w:p w14:paraId="035DF3A3">
                  <w:pPr>
                    <w:jc w:val="center"/>
                    <w:rPr>
                      <w:rFonts w:hint="default" w:ascii="Times New Roman" w:hAnsi="Times New Roman" w:cs="Times New Roman"/>
                      <w:snapToGrid w:val="0"/>
                      <w:color w:val="auto"/>
                      <w:kern w:val="21"/>
                      <w:szCs w:val="21"/>
                      <w:highlight w:val="none"/>
                    </w:rPr>
                  </w:pPr>
                  <w:r>
                    <w:rPr>
                      <w:rFonts w:hint="default" w:ascii="Times New Roman" w:hAnsi="Times New Roman" w:eastAsia="Arial" w:cs="Times New Roman"/>
                      <w:color w:val="auto"/>
                      <w:szCs w:val="21"/>
                      <w:highlight w:val="none"/>
                    </w:rPr>
                    <w:t>除砂器泵</w:t>
                  </w:r>
                </w:p>
              </w:tc>
              <w:tc>
                <w:tcPr>
                  <w:tcW w:w="991" w:type="pct"/>
                  <w:vMerge w:val="continue"/>
                  <w:vAlign w:val="center"/>
                </w:tcPr>
                <w:p w14:paraId="1F33D08D">
                  <w:pPr>
                    <w:spacing w:line="300" w:lineRule="exact"/>
                    <w:jc w:val="center"/>
                    <w:rPr>
                      <w:rFonts w:hint="default" w:ascii="Times New Roman" w:hAnsi="Times New Roman" w:cs="Times New Roman"/>
                      <w:color w:val="auto"/>
                      <w:szCs w:val="21"/>
                      <w:highlight w:val="none"/>
                    </w:rPr>
                  </w:pPr>
                </w:p>
              </w:tc>
              <w:tc>
                <w:tcPr>
                  <w:tcW w:w="837" w:type="pct"/>
                  <w:vAlign w:val="center"/>
                </w:tcPr>
                <w:p w14:paraId="2A19AF1B">
                  <w:pPr>
                    <w:widowControl/>
                    <w:spacing w:line="300" w:lineRule="exact"/>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1</w:t>
                  </w:r>
                </w:p>
              </w:tc>
              <w:tc>
                <w:tcPr>
                  <w:tcW w:w="956" w:type="pct"/>
                  <w:vAlign w:val="center"/>
                </w:tcPr>
                <w:p w14:paraId="7EFFB64C">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 w:val="20"/>
                      <w:highlight w:val="none"/>
                    </w:rPr>
                    <w:t>80</w:t>
                  </w:r>
                </w:p>
              </w:tc>
              <w:tc>
                <w:tcPr>
                  <w:tcW w:w="1263" w:type="pct"/>
                  <w:vMerge w:val="continue"/>
                  <w:vAlign w:val="center"/>
                </w:tcPr>
                <w:p w14:paraId="6A2DE650">
                  <w:pPr>
                    <w:pStyle w:val="47"/>
                    <w:spacing w:line="300" w:lineRule="exact"/>
                    <w:ind w:firstLine="0" w:firstLineChars="0"/>
                    <w:rPr>
                      <w:rFonts w:hint="default" w:ascii="Times New Roman" w:hAnsi="Times New Roman" w:cs="Times New Roman"/>
                      <w:color w:val="auto"/>
                      <w:sz w:val="21"/>
                      <w:szCs w:val="21"/>
                      <w:highlight w:val="none"/>
                    </w:rPr>
                  </w:pPr>
                </w:p>
              </w:tc>
            </w:tr>
            <w:tr w14:paraId="2C63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Align w:val="center"/>
                </w:tcPr>
                <w:p w14:paraId="7A28D3FE">
                  <w:pPr>
                    <w:spacing w:line="300" w:lineRule="exact"/>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szCs w:val="21"/>
                      <w:highlight w:val="none"/>
                    </w:rPr>
                    <w:t>烘干机</w:t>
                  </w:r>
                </w:p>
              </w:tc>
              <w:tc>
                <w:tcPr>
                  <w:tcW w:w="991" w:type="pct"/>
                  <w:vAlign w:val="center"/>
                </w:tcPr>
                <w:p w14:paraId="513607D8">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烘干间</w:t>
                  </w:r>
                </w:p>
              </w:tc>
              <w:tc>
                <w:tcPr>
                  <w:tcW w:w="837" w:type="pct"/>
                  <w:vAlign w:val="center"/>
                </w:tcPr>
                <w:p w14:paraId="0BFD6B98">
                  <w:pPr>
                    <w:widowControl/>
                    <w:spacing w:line="300" w:lineRule="exact"/>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2</w:t>
                  </w:r>
                </w:p>
              </w:tc>
              <w:tc>
                <w:tcPr>
                  <w:tcW w:w="956" w:type="pct"/>
                  <w:vAlign w:val="center"/>
                </w:tcPr>
                <w:p w14:paraId="608D6E2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 w:val="20"/>
                      <w:highlight w:val="none"/>
                    </w:rPr>
                    <w:t>80</w:t>
                  </w:r>
                </w:p>
              </w:tc>
              <w:tc>
                <w:tcPr>
                  <w:tcW w:w="1263" w:type="pct"/>
                  <w:vMerge w:val="continue"/>
                  <w:vAlign w:val="center"/>
                </w:tcPr>
                <w:p w14:paraId="1159E5F6">
                  <w:pPr>
                    <w:pStyle w:val="47"/>
                    <w:spacing w:line="300" w:lineRule="exact"/>
                    <w:ind w:firstLine="0" w:firstLineChars="0"/>
                    <w:rPr>
                      <w:rFonts w:hint="default" w:ascii="Times New Roman" w:hAnsi="Times New Roman" w:cs="Times New Roman"/>
                      <w:color w:val="auto"/>
                      <w:sz w:val="21"/>
                      <w:szCs w:val="21"/>
                      <w:highlight w:val="none"/>
                    </w:rPr>
                  </w:pPr>
                </w:p>
              </w:tc>
            </w:tr>
            <w:tr w14:paraId="06B1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Align w:val="center"/>
                </w:tcPr>
                <w:p w14:paraId="184AD168">
                  <w:pPr>
                    <w:spacing w:line="300" w:lineRule="exact"/>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szCs w:val="21"/>
                      <w:highlight w:val="none"/>
                    </w:rPr>
                    <w:t>包装机</w:t>
                  </w:r>
                </w:p>
              </w:tc>
              <w:tc>
                <w:tcPr>
                  <w:tcW w:w="991" w:type="pct"/>
                  <w:vAlign w:val="center"/>
                </w:tcPr>
                <w:p w14:paraId="7EF17449">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包装间</w:t>
                  </w:r>
                </w:p>
              </w:tc>
              <w:tc>
                <w:tcPr>
                  <w:tcW w:w="837" w:type="pct"/>
                  <w:vAlign w:val="center"/>
                </w:tcPr>
                <w:p w14:paraId="41FE7801">
                  <w:pPr>
                    <w:widowControl/>
                    <w:spacing w:line="300" w:lineRule="exact"/>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2</w:t>
                  </w:r>
                </w:p>
              </w:tc>
              <w:tc>
                <w:tcPr>
                  <w:tcW w:w="956" w:type="pct"/>
                  <w:vAlign w:val="center"/>
                </w:tcPr>
                <w:p w14:paraId="2B866B3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 w:val="20"/>
                      <w:highlight w:val="none"/>
                    </w:rPr>
                    <w:t>73</w:t>
                  </w:r>
                </w:p>
              </w:tc>
              <w:tc>
                <w:tcPr>
                  <w:tcW w:w="1263" w:type="pct"/>
                  <w:vMerge w:val="continue"/>
                  <w:vAlign w:val="center"/>
                </w:tcPr>
                <w:p w14:paraId="00FF5E9C">
                  <w:pPr>
                    <w:pStyle w:val="47"/>
                    <w:spacing w:line="300" w:lineRule="exact"/>
                    <w:ind w:firstLine="0" w:firstLineChars="0"/>
                    <w:rPr>
                      <w:rFonts w:hint="default" w:ascii="Times New Roman" w:hAnsi="Times New Roman" w:cs="Times New Roman"/>
                      <w:color w:val="auto"/>
                      <w:sz w:val="21"/>
                      <w:szCs w:val="21"/>
                      <w:highlight w:val="none"/>
                    </w:rPr>
                  </w:pPr>
                </w:p>
              </w:tc>
            </w:tr>
            <w:tr w14:paraId="3ECF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Align w:val="center"/>
                </w:tcPr>
                <w:p w14:paraId="69121C95">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水泵</w:t>
                  </w:r>
                </w:p>
              </w:tc>
              <w:tc>
                <w:tcPr>
                  <w:tcW w:w="991" w:type="pct"/>
                  <w:vAlign w:val="center"/>
                </w:tcPr>
                <w:p w14:paraId="7223A8C0">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污水处理系统</w:t>
                  </w:r>
                </w:p>
              </w:tc>
              <w:tc>
                <w:tcPr>
                  <w:tcW w:w="837" w:type="pct"/>
                  <w:vAlign w:val="center"/>
                </w:tcPr>
                <w:p w14:paraId="5D4B384C">
                  <w:pPr>
                    <w:widowControl/>
                    <w:spacing w:line="300" w:lineRule="exact"/>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1</w:t>
                  </w:r>
                </w:p>
              </w:tc>
              <w:tc>
                <w:tcPr>
                  <w:tcW w:w="956" w:type="pct"/>
                  <w:vAlign w:val="center"/>
                </w:tcPr>
                <w:p w14:paraId="1628ECB4">
                  <w:pPr>
                    <w:jc w:val="center"/>
                    <w:rPr>
                      <w:rFonts w:hint="default" w:ascii="Times New Roman" w:hAnsi="Times New Roman" w:cs="Times New Roman"/>
                      <w:color w:val="auto"/>
                      <w:sz w:val="20"/>
                      <w:highlight w:val="none"/>
                    </w:rPr>
                  </w:pPr>
                  <w:r>
                    <w:rPr>
                      <w:rFonts w:hint="default" w:ascii="Times New Roman" w:hAnsi="Times New Roman" w:cs="Times New Roman"/>
                      <w:color w:val="auto"/>
                      <w:sz w:val="20"/>
                      <w:highlight w:val="none"/>
                    </w:rPr>
                    <w:t>75</w:t>
                  </w:r>
                </w:p>
              </w:tc>
              <w:tc>
                <w:tcPr>
                  <w:tcW w:w="1263" w:type="pct"/>
                  <w:vMerge w:val="continue"/>
                  <w:vAlign w:val="center"/>
                </w:tcPr>
                <w:p w14:paraId="6E3ADF82">
                  <w:pPr>
                    <w:pStyle w:val="47"/>
                    <w:spacing w:line="300" w:lineRule="exact"/>
                    <w:ind w:firstLine="0" w:firstLineChars="0"/>
                    <w:rPr>
                      <w:rFonts w:hint="default" w:ascii="Times New Roman" w:hAnsi="Times New Roman" w:cs="Times New Roman"/>
                      <w:color w:val="auto"/>
                      <w:sz w:val="21"/>
                      <w:szCs w:val="21"/>
                      <w:highlight w:val="none"/>
                    </w:rPr>
                  </w:pPr>
                </w:p>
              </w:tc>
            </w:tr>
          </w:tbl>
          <w:p w14:paraId="543FD2CA">
            <w:pPr>
              <w:adjustRightInd w:val="0"/>
              <w:snapToGrid w:val="0"/>
              <w:spacing w:line="460" w:lineRule="exact"/>
              <w:rPr>
                <w:rFonts w:hint="default" w:ascii="Times New Roman" w:hAnsi="Times New Roman" w:cs="Times New Roman"/>
                <w:b/>
                <w:color w:val="auto"/>
                <w:spacing w:val="-10"/>
                <w:sz w:val="24"/>
                <w:highlight w:val="none"/>
              </w:rPr>
            </w:pPr>
            <w:r>
              <w:rPr>
                <w:rFonts w:hint="default" w:ascii="Times New Roman" w:hAnsi="Times New Roman" w:cs="Times New Roman"/>
                <w:b/>
                <w:color w:val="auto"/>
                <w:spacing w:val="-10"/>
                <w:sz w:val="24"/>
                <w:highlight w:val="none"/>
              </w:rPr>
              <w:t>（二）声环境影响预测</w:t>
            </w:r>
          </w:p>
          <w:p w14:paraId="420979BA">
            <w:pPr>
              <w:pStyle w:val="47"/>
              <w:spacing w:line="46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运营期噪声主要来源于各加工设备运行噪声，设备噪声源强68~80 dB（A），均设置于生产车间内，因此采用噪声叠加公式和噪声点源衰减公式进行声环境影响预测。本环评通过导则推荐的噪声预测软件对项目噪声进行影响预测和分析。</w:t>
            </w:r>
          </w:p>
          <w:p w14:paraId="5914EC68">
            <w:pPr>
              <w:pStyle w:val="47"/>
              <w:spacing w:line="46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室内声源等效室外声源声功率级计算方法：</w:t>
            </w:r>
          </w:p>
          <w:p w14:paraId="3DCB44FF">
            <w:pPr>
              <w:pStyle w:val="47"/>
              <w:tabs>
                <w:tab w:val="left" w:pos="4830"/>
              </w:tabs>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eastAsia="TimesNewRomanPSMT" w:cs="Times New Roman"/>
                <w:color w:val="auto"/>
                <w:kern w:val="0"/>
                <w:highlight w:val="none"/>
              </w:rPr>
              <w:t>Lp</w:t>
            </w:r>
            <w:r>
              <w:rPr>
                <w:rFonts w:hint="default" w:ascii="Times New Roman" w:hAnsi="Times New Roman" w:eastAsia="TimesNewRomanPSMT" w:cs="Times New Roman"/>
                <w:color w:val="auto"/>
                <w:kern w:val="0"/>
                <w:highlight w:val="none"/>
                <w:vertAlign w:val="subscript"/>
              </w:rPr>
              <w:t>2</w:t>
            </w:r>
            <w:r>
              <w:rPr>
                <w:rFonts w:hint="default" w:ascii="Times New Roman" w:hAnsi="Times New Roman" w:eastAsia="TimesNewRomanPSMT" w:cs="Times New Roman"/>
                <w:color w:val="auto"/>
                <w:kern w:val="0"/>
                <w:highlight w:val="none"/>
              </w:rPr>
              <w:t>=L</w:t>
            </w:r>
            <w:r>
              <w:rPr>
                <w:rFonts w:hint="default" w:ascii="Times New Roman" w:hAnsi="Times New Roman" w:cs="Times New Roman"/>
                <w:color w:val="auto"/>
                <w:kern w:val="0"/>
                <w:highlight w:val="none"/>
              </w:rPr>
              <w:t>p</w:t>
            </w:r>
            <w:r>
              <w:rPr>
                <w:rFonts w:hint="default" w:ascii="Times New Roman" w:hAnsi="Times New Roman" w:cs="Times New Roman"/>
                <w:color w:val="auto"/>
                <w:kern w:val="0"/>
                <w:highlight w:val="none"/>
                <w:vertAlign w:val="subscript"/>
              </w:rPr>
              <w:t>1</w:t>
            </w:r>
            <w:r>
              <w:rPr>
                <w:rFonts w:hint="default" w:ascii="Times New Roman" w:hAnsi="Times New Roman" w:cs="Times New Roman"/>
                <w:color w:val="auto"/>
                <w:kern w:val="0"/>
                <w:highlight w:val="none"/>
              </w:rPr>
              <w:t>—（TL+6）</w:t>
            </w:r>
          </w:p>
          <w:p w14:paraId="340F5002">
            <w:pPr>
              <w:pStyle w:val="47"/>
              <w:spacing w:line="460" w:lineRule="exact"/>
              <w:ind w:firstLine="0" w:firstLineChars="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式中：Lp</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——靠近开口处（或窗户）室内某倍频带的声压级或A声级，dB；</w:t>
            </w:r>
          </w:p>
          <w:p w14:paraId="1780ADEB">
            <w:pPr>
              <w:pStyle w:val="47"/>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Lp</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——靠近开口处（或窗户）室外某倍频带的声压级或A声级，dB；</w:t>
            </w:r>
          </w:p>
          <w:p w14:paraId="37107F49">
            <w:pPr>
              <w:pStyle w:val="47"/>
              <w:spacing w:line="460" w:lineRule="exact"/>
              <w:ind w:firstLine="720" w:firstLineChars="3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TL——隔墙（或窗户）倍频带或A声级的隔声量，dB。本项目取15dB（A）。</w:t>
            </w:r>
          </w:p>
          <w:p w14:paraId="0E355131">
            <w:pPr>
              <w:pStyle w:val="47"/>
              <w:spacing w:line="460" w:lineRule="exact"/>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然后预测时假设各设备同时运行，对各噪声源进行叠加，分贝叠加公式如下：</w:t>
            </w:r>
          </w:p>
          <w:p w14:paraId="437D366B">
            <w:pPr>
              <w:pStyle w:val="47"/>
              <w:spacing w:line="460" w:lineRule="exact"/>
              <w:ind w:firstLine="480"/>
              <w:rPr>
                <w:rFonts w:hint="default" w:ascii="Times New Roman" w:hAnsi="Times New Roman" w:eastAsia="TimesNewRomanPSMT" w:cs="Times New Roman"/>
                <w:color w:val="auto"/>
                <w:kern w:val="0"/>
                <w:highlight w:val="none"/>
              </w:rPr>
            </w:pPr>
            <w:r>
              <w:rPr>
                <w:rFonts w:hint="default" w:ascii="Times New Roman" w:hAnsi="Times New Roman" w:eastAsia="TimesNewRomanPSMT" w:cs="Times New Roman"/>
                <w:color w:val="auto"/>
                <w:kern w:val="0"/>
                <w:highlight w:val="none"/>
              </w:rPr>
              <w:t>L</w:t>
            </w:r>
            <w:r>
              <w:rPr>
                <w:rFonts w:hint="default" w:ascii="Times New Roman" w:hAnsi="Times New Roman" w:cs="Times New Roman"/>
                <w:color w:val="auto"/>
                <w:kern w:val="0"/>
                <w:highlight w:val="none"/>
                <w:vertAlign w:val="subscript"/>
              </w:rPr>
              <w:t>TP</w:t>
            </w:r>
            <w:r>
              <w:rPr>
                <w:rFonts w:hint="default" w:ascii="Times New Roman" w:hAnsi="Times New Roman" w:eastAsia="TimesNewRomanPSMT" w:cs="Times New Roman"/>
                <w:color w:val="auto"/>
                <w:kern w:val="0"/>
                <w:highlight w:val="none"/>
              </w:rPr>
              <w:t>=10</w:t>
            </w:r>
            <w:r>
              <w:rPr>
                <w:rFonts w:hint="default" w:ascii="Times New Roman" w:hAnsi="Times New Roman" w:cs="Times New Roman"/>
                <w:color w:val="auto"/>
                <w:kern w:val="0"/>
                <w:highlight w:val="none"/>
              </w:rPr>
              <w:t>l</w:t>
            </w:r>
            <w:r>
              <w:rPr>
                <w:rFonts w:hint="default" w:ascii="Times New Roman" w:hAnsi="Times New Roman" w:eastAsia="TimesNewRomanPSMT" w:cs="Times New Roman"/>
                <w:color w:val="auto"/>
                <w:kern w:val="0"/>
                <w:highlight w:val="none"/>
              </w:rPr>
              <w:t>g(Σ10</w:t>
            </w:r>
            <w:r>
              <w:rPr>
                <w:rFonts w:hint="default" w:ascii="Times New Roman" w:hAnsi="Times New Roman" w:eastAsia="TimesNewRomanPSMT" w:cs="Times New Roman"/>
                <w:color w:val="auto"/>
                <w:kern w:val="0"/>
                <w:highlight w:val="none"/>
                <w:vertAlign w:val="superscript"/>
              </w:rPr>
              <w:t>0.1Lpi</w:t>
            </w:r>
            <w:r>
              <w:rPr>
                <w:rFonts w:hint="default" w:ascii="Times New Roman" w:hAnsi="Times New Roman" w:eastAsia="TimesNewRomanPSMT" w:cs="Times New Roman"/>
                <w:color w:val="auto"/>
                <w:kern w:val="0"/>
                <w:highlight w:val="none"/>
              </w:rPr>
              <w:t>)</w:t>
            </w:r>
          </w:p>
          <w:p w14:paraId="08B8CC6A">
            <w:pPr>
              <w:autoSpaceDE w:val="0"/>
              <w:autoSpaceDN w:val="0"/>
              <w:spacing w:line="46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TP</w:t>
            </w:r>
            <w:r>
              <w:rPr>
                <w:rFonts w:hint="default" w:ascii="Times New Roman" w:hAnsi="Times New Roman" w:cs="Times New Roman"/>
                <w:color w:val="auto"/>
                <w:sz w:val="24"/>
                <w:highlight w:val="none"/>
              </w:rPr>
              <w:t>——叠加后的噪声级，dB（A）；</w:t>
            </w:r>
          </w:p>
          <w:p w14:paraId="115C66DB">
            <w:pPr>
              <w:autoSpaceDE w:val="0"/>
              <w:autoSpaceDN w:val="0"/>
              <w:spacing w:line="46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n</w:t>
            </w: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rPr>
              <w:t>点源个数</w:t>
            </w:r>
            <w:r>
              <w:rPr>
                <w:rFonts w:hint="default" w:ascii="Times New Roman" w:hAnsi="Times New Roman" w:cs="Times New Roman"/>
                <w:color w:val="auto"/>
                <w:sz w:val="24"/>
                <w:highlight w:val="none"/>
                <w:lang w:val="zh-CN"/>
              </w:rPr>
              <w:t>；</w:t>
            </w:r>
          </w:p>
          <w:p w14:paraId="3563E034">
            <w:pPr>
              <w:spacing w:line="46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L</w:t>
            </w:r>
            <w:r>
              <w:rPr>
                <w:rFonts w:hint="default" w:ascii="Times New Roman" w:hAnsi="Times New Roman" w:cs="Times New Roman"/>
                <w:color w:val="auto"/>
                <w:sz w:val="24"/>
                <w:highlight w:val="none"/>
                <w:vertAlign w:val="subscript"/>
              </w:rPr>
              <w:t>pi</w:t>
            </w: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rPr>
              <w:t>第i个声源的噪声级</w:t>
            </w: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rPr>
              <w:t>dB</w:t>
            </w: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rPr>
              <w:t>。</w:t>
            </w:r>
          </w:p>
          <w:p w14:paraId="57AF0A8A">
            <w:pPr>
              <w:pStyle w:val="47"/>
              <w:spacing w:line="460" w:lineRule="exact"/>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再通过距离衰减公式，分析噪声对外环境的影响，即：</w:t>
            </w:r>
          </w:p>
          <w:p w14:paraId="7F132E23">
            <w:pPr>
              <w:pStyle w:val="47"/>
              <w:spacing w:line="460" w:lineRule="exact"/>
              <w:ind w:firstLine="480"/>
              <w:rPr>
                <w:rFonts w:hint="default" w:ascii="Times New Roman" w:hAnsi="Times New Roman" w:cs="Times New Roman"/>
                <w:color w:val="auto"/>
                <w:highlight w:val="none"/>
              </w:rPr>
            </w:pPr>
            <w:r>
              <w:rPr>
                <w:rFonts w:hint="default" w:ascii="Times New Roman" w:hAnsi="Times New Roman" w:eastAsia="TimesNewRomanPSMT" w:cs="Times New Roman"/>
                <w:color w:val="auto"/>
                <w:kern w:val="0"/>
                <w:highlight w:val="none"/>
              </w:rPr>
              <w:t>Lp=Lp0-20</w:t>
            </w:r>
            <w:r>
              <w:rPr>
                <w:rFonts w:hint="default" w:ascii="Times New Roman" w:hAnsi="Times New Roman" w:cs="Times New Roman"/>
                <w:color w:val="auto"/>
                <w:kern w:val="0"/>
                <w:highlight w:val="none"/>
              </w:rPr>
              <w:t>l</w:t>
            </w:r>
            <w:r>
              <w:rPr>
                <w:rFonts w:hint="default" w:ascii="Times New Roman" w:hAnsi="Times New Roman" w:eastAsia="TimesNewRomanPSMT" w:cs="Times New Roman"/>
                <w:color w:val="auto"/>
                <w:kern w:val="0"/>
                <w:highlight w:val="none"/>
              </w:rPr>
              <w:t>g(r/r0)</w:t>
            </w:r>
          </w:p>
          <w:p w14:paraId="63D17A4F">
            <w:pPr>
              <w:pStyle w:val="47"/>
              <w:tabs>
                <w:tab w:val="left" w:pos="630"/>
              </w:tabs>
              <w:spacing w:line="46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式中：L</w:t>
            </w:r>
            <w:r>
              <w:rPr>
                <w:rFonts w:hint="default" w:ascii="Times New Roman" w:hAnsi="Times New Roman" w:cs="Times New Roman"/>
                <w:color w:val="auto"/>
                <w:highlight w:val="none"/>
                <w:vertAlign w:val="subscript"/>
              </w:rPr>
              <w:t>p</w:t>
            </w:r>
            <w:r>
              <w:rPr>
                <w:rFonts w:hint="default" w:ascii="Times New Roman" w:hAnsi="Times New Roman" w:cs="Times New Roman"/>
                <w:color w:val="auto"/>
                <w:highlight w:val="none"/>
              </w:rPr>
              <w:t>—距声源r米处的噪声预测值，dB（A）；</w:t>
            </w:r>
          </w:p>
          <w:p w14:paraId="45658FC0">
            <w:pPr>
              <w:pStyle w:val="47"/>
              <w:spacing w:line="460" w:lineRule="exact"/>
              <w:ind w:firstLine="1200" w:firstLineChars="5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p0</w:t>
            </w:r>
            <w:r>
              <w:rPr>
                <w:rFonts w:hint="default" w:ascii="Times New Roman" w:hAnsi="Times New Roman" w:cs="Times New Roman"/>
                <w:color w:val="auto"/>
                <w:highlight w:val="none"/>
              </w:rPr>
              <w:t>—参考位置r</w:t>
            </w:r>
            <w:r>
              <w:rPr>
                <w:rFonts w:hint="default" w:ascii="Times New Roman" w:hAnsi="Times New Roman" w:cs="Times New Roman"/>
                <w:color w:val="auto"/>
                <w:highlight w:val="none"/>
                <w:vertAlign w:val="subscript"/>
              </w:rPr>
              <w:t>0</w:t>
            </w:r>
            <w:r>
              <w:rPr>
                <w:rFonts w:hint="default" w:ascii="Times New Roman" w:hAnsi="Times New Roman" w:cs="Times New Roman"/>
                <w:color w:val="auto"/>
                <w:highlight w:val="none"/>
              </w:rPr>
              <w:t>处的声压级，dB（A）；</w:t>
            </w:r>
          </w:p>
          <w:p w14:paraId="3A06E8E9">
            <w:pPr>
              <w:pStyle w:val="47"/>
              <w:spacing w:line="460" w:lineRule="exact"/>
              <w:ind w:firstLine="1200" w:firstLineChars="5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r—预测点位置与点声源之间的距离，m；</w:t>
            </w:r>
          </w:p>
          <w:p w14:paraId="75D9FFEB">
            <w:pPr>
              <w:pStyle w:val="47"/>
              <w:spacing w:line="460" w:lineRule="exact"/>
              <w:ind w:firstLine="1200" w:firstLineChars="5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r</w:t>
            </w:r>
            <w:r>
              <w:rPr>
                <w:rFonts w:hint="default" w:ascii="Times New Roman" w:hAnsi="Times New Roman" w:cs="Times New Roman"/>
                <w:color w:val="auto"/>
                <w:highlight w:val="none"/>
                <w:vertAlign w:val="subscript"/>
              </w:rPr>
              <w:t>0</w:t>
            </w:r>
            <w:r>
              <w:rPr>
                <w:rFonts w:hint="default" w:ascii="Times New Roman" w:hAnsi="Times New Roman" w:cs="Times New Roman"/>
                <w:color w:val="auto"/>
                <w:highlight w:val="none"/>
              </w:rPr>
              <w:t>—参考位置处与点声源之间的距离，取1m；</w:t>
            </w:r>
          </w:p>
          <w:p w14:paraId="00603A3E">
            <w:pPr>
              <w:adjustRightInd w:val="0"/>
              <w:snapToGrid w:val="0"/>
              <w:spacing w:line="46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项目运营期主要设备噪声源强及与厂界的距离见表4.2-12，厂界噪声达标情况见表4.2-13。</w:t>
            </w:r>
          </w:p>
        </w:tc>
      </w:tr>
    </w:tbl>
    <w:p w14:paraId="6DD65EDE">
      <w:pPr>
        <w:adjustRightInd w:val="0"/>
        <w:snapToGrid w:val="0"/>
        <w:spacing w:line="360" w:lineRule="auto"/>
        <w:rPr>
          <w:rFonts w:ascii="宋体" w:cs="宋体"/>
          <w:b/>
          <w:color w:val="auto"/>
          <w:kern w:val="0"/>
          <w:sz w:val="28"/>
          <w:szCs w:val="28"/>
          <w:highlight w:val="none"/>
        </w:rPr>
        <w:sectPr>
          <w:pgSz w:w="11907" w:h="16840"/>
          <w:pgMar w:top="1701" w:right="1531" w:bottom="2127" w:left="1531" w:header="851" w:footer="851" w:gutter="0"/>
          <w:cols w:space="720" w:num="1"/>
          <w:docGrid w:linePitch="312" w:charSpace="0"/>
        </w:sectPr>
      </w:pPr>
    </w:p>
    <w:tbl>
      <w:tblPr>
        <w:tblStyle w:val="19"/>
        <w:tblW w:w="5703" w:type="pct"/>
        <w:tblInd w:w="-1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
        <w:gridCol w:w="14744"/>
      </w:tblGrid>
      <w:tr w14:paraId="0206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7" w:hRule="atLeast"/>
        </w:trPr>
        <w:tc>
          <w:tcPr>
            <w:tcW w:w="114" w:type="pct"/>
          </w:tcPr>
          <w:p w14:paraId="284BBEDB">
            <w:pPr>
              <w:adjustRightInd w:val="0"/>
              <w:snapToGrid w:val="0"/>
              <w:spacing w:line="360" w:lineRule="auto"/>
              <w:rPr>
                <w:rFonts w:ascii="宋体" w:cs="宋体"/>
                <w:b/>
                <w:color w:val="auto"/>
                <w:kern w:val="0"/>
                <w:sz w:val="24"/>
                <w:highlight w:val="none"/>
              </w:rPr>
            </w:pPr>
            <w:r>
              <w:rPr>
                <w:rFonts w:hint="eastAsia" w:ascii="宋体" w:cs="宋体"/>
                <w:bCs/>
                <w:color w:val="auto"/>
                <w:kern w:val="0"/>
                <w:szCs w:val="21"/>
                <w:highlight w:val="none"/>
              </w:rPr>
              <w:t>运营期环境影响和保护措施</w:t>
            </w:r>
          </w:p>
        </w:tc>
        <w:tc>
          <w:tcPr>
            <w:tcW w:w="4885" w:type="pct"/>
          </w:tcPr>
          <w:p w14:paraId="07776AF9">
            <w:pPr>
              <w:pStyle w:val="47"/>
              <w:spacing w:line="460" w:lineRule="exact"/>
              <w:ind w:firstLine="0" w:firstLineChars="0"/>
              <w:rPr>
                <w:b/>
                <w:bCs/>
                <w:color w:val="auto"/>
                <w:highlight w:val="none"/>
              </w:rPr>
            </w:pPr>
            <w:r>
              <w:rPr>
                <w:rFonts w:hint="eastAsia"/>
                <w:b/>
                <w:bCs/>
                <w:color w:val="auto"/>
                <w:highlight w:val="none"/>
              </w:rPr>
              <w:t xml:space="preserve">        4.2-12 </w:t>
            </w:r>
            <w:r>
              <w:rPr>
                <w:rFonts w:asciiTheme="minorEastAsia" w:hAnsiTheme="minorEastAsia" w:eastAsiaTheme="minorEastAsia"/>
                <w:b/>
                <w:bCs/>
                <w:color w:val="auto"/>
                <w:highlight w:val="none"/>
              </w:rPr>
              <w:t>工业企业噪声源强调查清单（室内声源）</w:t>
            </w:r>
            <w:r>
              <w:rPr>
                <w:rFonts w:hint="eastAsia"/>
                <w:b/>
                <w:bCs/>
                <w:color w:val="auto"/>
                <w:highlight w:val="none"/>
              </w:rPr>
              <w:t xml:space="preserve">       单位：dB（A）</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28"/>
              <w:gridCol w:w="428"/>
              <w:gridCol w:w="1035"/>
              <w:gridCol w:w="698"/>
              <w:gridCol w:w="326"/>
              <w:gridCol w:w="599"/>
              <w:gridCol w:w="625"/>
              <w:gridCol w:w="486"/>
              <w:gridCol w:w="532"/>
              <w:gridCol w:w="532"/>
              <w:gridCol w:w="442"/>
              <w:gridCol w:w="576"/>
              <w:gridCol w:w="532"/>
              <w:gridCol w:w="535"/>
              <w:gridCol w:w="535"/>
              <w:gridCol w:w="640"/>
              <w:gridCol w:w="357"/>
              <w:gridCol w:w="534"/>
              <w:gridCol w:w="534"/>
              <w:gridCol w:w="534"/>
              <w:gridCol w:w="569"/>
              <w:gridCol w:w="543"/>
              <w:gridCol w:w="543"/>
              <w:gridCol w:w="543"/>
              <w:gridCol w:w="543"/>
              <w:gridCol w:w="441"/>
            </w:tblGrid>
            <w:tr w14:paraId="1DB8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147" w:type="pct"/>
                  <w:vMerge w:val="restart"/>
                  <w:vAlign w:val="center"/>
                </w:tcPr>
                <w:p w14:paraId="3FADC0EE">
                  <w:pPr>
                    <w:jc w:val="center"/>
                    <w:rPr>
                      <w:bCs/>
                      <w:color w:val="auto"/>
                      <w:spacing w:val="-10"/>
                      <w:szCs w:val="21"/>
                      <w:highlight w:val="none"/>
                    </w:rPr>
                  </w:pPr>
                  <w:r>
                    <w:rPr>
                      <w:bCs/>
                      <w:color w:val="auto"/>
                      <w:szCs w:val="21"/>
                      <w:highlight w:val="none"/>
                    </w:rPr>
                    <w:t>序号</w:t>
                  </w:r>
                </w:p>
              </w:tc>
              <w:tc>
                <w:tcPr>
                  <w:tcW w:w="147" w:type="pct"/>
                  <w:vMerge w:val="restart"/>
                  <w:vAlign w:val="center"/>
                </w:tcPr>
                <w:p w14:paraId="6530BFAC">
                  <w:pPr>
                    <w:jc w:val="center"/>
                    <w:rPr>
                      <w:bCs/>
                      <w:color w:val="auto"/>
                      <w:spacing w:val="-10"/>
                      <w:szCs w:val="21"/>
                      <w:highlight w:val="none"/>
                    </w:rPr>
                  </w:pPr>
                  <w:r>
                    <w:rPr>
                      <w:bCs/>
                      <w:color w:val="auto"/>
                      <w:szCs w:val="21"/>
                      <w:highlight w:val="none"/>
                    </w:rPr>
                    <w:t>建筑物名称</w:t>
                  </w:r>
                </w:p>
              </w:tc>
              <w:tc>
                <w:tcPr>
                  <w:tcW w:w="147" w:type="pct"/>
                  <w:vMerge w:val="restart"/>
                  <w:vAlign w:val="center"/>
                </w:tcPr>
                <w:p w14:paraId="620E9203">
                  <w:pPr>
                    <w:jc w:val="center"/>
                    <w:rPr>
                      <w:bCs/>
                      <w:color w:val="auto"/>
                      <w:spacing w:val="-10"/>
                      <w:szCs w:val="21"/>
                      <w:highlight w:val="none"/>
                    </w:rPr>
                  </w:pPr>
                  <w:r>
                    <w:rPr>
                      <w:bCs/>
                      <w:color w:val="auto"/>
                      <w:szCs w:val="21"/>
                      <w:highlight w:val="none"/>
                    </w:rPr>
                    <w:t>声源名称</w:t>
                  </w:r>
                </w:p>
              </w:tc>
              <w:tc>
                <w:tcPr>
                  <w:tcW w:w="356" w:type="pct"/>
                  <w:vMerge w:val="restart"/>
                  <w:vAlign w:val="center"/>
                </w:tcPr>
                <w:p w14:paraId="5D9CBD3C">
                  <w:pPr>
                    <w:jc w:val="center"/>
                    <w:rPr>
                      <w:bCs/>
                      <w:color w:val="auto"/>
                      <w:spacing w:val="-10"/>
                      <w:szCs w:val="21"/>
                      <w:highlight w:val="none"/>
                    </w:rPr>
                  </w:pPr>
                  <w:r>
                    <w:rPr>
                      <w:bCs/>
                      <w:color w:val="auto"/>
                      <w:szCs w:val="21"/>
                      <w:highlight w:val="none"/>
                    </w:rPr>
                    <w:t>型号</w:t>
                  </w:r>
                </w:p>
              </w:tc>
              <w:tc>
                <w:tcPr>
                  <w:tcW w:w="240" w:type="pct"/>
                  <w:vAlign w:val="center"/>
                </w:tcPr>
                <w:p w14:paraId="042D5DBA">
                  <w:pPr>
                    <w:jc w:val="center"/>
                    <w:rPr>
                      <w:bCs/>
                      <w:color w:val="auto"/>
                      <w:spacing w:val="-10"/>
                      <w:szCs w:val="21"/>
                      <w:highlight w:val="none"/>
                    </w:rPr>
                  </w:pPr>
                  <w:r>
                    <w:rPr>
                      <w:bCs/>
                      <w:color w:val="auto"/>
                      <w:szCs w:val="21"/>
                      <w:highlight w:val="none"/>
                    </w:rPr>
                    <w:t>声源源强</w:t>
                  </w:r>
                </w:p>
              </w:tc>
              <w:tc>
                <w:tcPr>
                  <w:tcW w:w="112" w:type="pct"/>
                  <w:vMerge w:val="restart"/>
                  <w:vAlign w:val="center"/>
                </w:tcPr>
                <w:p w14:paraId="01A7C1CE">
                  <w:pPr>
                    <w:jc w:val="center"/>
                    <w:rPr>
                      <w:bCs/>
                      <w:color w:val="auto"/>
                      <w:spacing w:val="-10"/>
                      <w:szCs w:val="21"/>
                      <w:highlight w:val="none"/>
                    </w:rPr>
                  </w:pPr>
                  <w:r>
                    <w:rPr>
                      <w:bCs/>
                      <w:color w:val="auto"/>
                      <w:szCs w:val="21"/>
                      <w:highlight w:val="none"/>
                    </w:rPr>
                    <w:t>声源控制措施</w:t>
                  </w:r>
                </w:p>
              </w:tc>
              <w:tc>
                <w:tcPr>
                  <w:tcW w:w="588" w:type="pct"/>
                  <w:gridSpan w:val="3"/>
                  <w:vAlign w:val="center"/>
                </w:tcPr>
                <w:p w14:paraId="046EB873">
                  <w:pPr>
                    <w:jc w:val="center"/>
                    <w:rPr>
                      <w:bCs/>
                      <w:color w:val="auto"/>
                      <w:spacing w:val="-10"/>
                      <w:szCs w:val="21"/>
                      <w:highlight w:val="none"/>
                    </w:rPr>
                  </w:pPr>
                  <w:r>
                    <w:rPr>
                      <w:bCs/>
                      <w:color w:val="auto"/>
                      <w:szCs w:val="21"/>
                      <w:highlight w:val="none"/>
                    </w:rPr>
                    <w:t>空间相对位置/m</w:t>
                  </w:r>
                </w:p>
              </w:tc>
              <w:tc>
                <w:tcPr>
                  <w:tcW w:w="717" w:type="pct"/>
                  <w:gridSpan w:val="4"/>
                  <w:vAlign w:val="center"/>
                </w:tcPr>
                <w:p w14:paraId="277244EA">
                  <w:pPr>
                    <w:jc w:val="center"/>
                    <w:rPr>
                      <w:bCs/>
                      <w:color w:val="auto"/>
                      <w:spacing w:val="-10"/>
                      <w:szCs w:val="21"/>
                      <w:highlight w:val="none"/>
                    </w:rPr>
                  </w:pPr>
                  <w:r>
                    <w:rPr>
                      <w:bCs/>
                      <w:color w:val="auto"/>
                      <w:szCs w:val="21"/>
                      <w:highlight w:val="none"/>
                    </w:rPr>
                    <w:t>距室内边界距离/m</w:t>
                  </w:r>
                </w:p>
              </w:tc>
              <w:tc>
                <w:tcPr>
                  <w:tcW w:w="772" w:type="pct"/>
                  <w:gridSpan w:val="4"/>
                  <w:vAlign w:val="center"/>
                </w:tcPr>
                <w:p w14:paraId="5EF55FD1">
                  <w:pPr>
                    <w:jc w:val="center"/>
                    <w:rPr>
                      <w:bCs/>
                      <w:color w:val="auto"/>
                      <w:spacing w:val="-10"/>
                      <w:szCs w:val="21"/>
                      <w:highlight w:val="none"/>
                    </w:rPr>
                  </w:pPr>
                  <w:r>
                    <w:rPr>
                      <w:bCs/>
                      <w:color w:val="auto"/>
                      <w:szCs w:val="21"/>
                      <w:highlight w:val="none"/>
                    </w:rPr>
                    <w:t>室内边界声级/dB(A)</w:t>
                  </w:r>
                </w:p>
              </w:tc>
              <w:tc>
                <w:tcPr>
                  <w:tcW w:w="122" w:type="pct"/>
                  <w:vMerge w:val="restart"/>
                  <w:vAlign w:val="center"/>
                </w:tcPr>
                <w:p w14:paraId="7179A9AC">
                  <w:pPr>
                    <w:spacing w:line="300" w:lineRule="exact"/>
                    <w:jc w:val="center"/>
                    <w:rPr>
                      <w:bCs/>
                      <w:color w:val="auto"/>
                      <w:spacing w:val="-10"/>
                      <w:szCs w:val="21"/>
                      <w:highlight w:val="none"/>
                    </w:rPr>
                  </w:pPr>
                  <w:r>
                    <w:rPr>
                      <w:bCs/>
                      <w:color w:val="auto"/>
                      <w:szCs w:val="21"/>
                      <w:highlight w:val="none"/>
                    </w:rPr>
                    <w:t>运行时段</w:t>
                  </w:r>
                </w:p>
              </w:tc>
              <w:tc>
                <w:tcPr>
                  <w:tcW w:w="747" w:type="pct"/>
                  <w:gridSpan w:val="4"/>
                  <w:vAlign w:val="center"/>
                </w:tcPr>
                <w:p w14:paraId="0EC12EE8">
                  <w:pPr>
                    <w:spacing w:line="300" w:lineRule="exact"/>
                    <w:jc w:val="center"/>
                    <w:rPr>
                      <w:bCs/>
                      <w:color w:val="auto"/>
                      <w:spacing w:val="-10"/>
                      <w:szCs w:val="21"/>
                      <w:highlight w:val="none"/>
                    </w:rPr>
                  </w:pPr>
                  <w:r>
                    <w:rPr>
                      <w:bCs/>
                      <w:color w:val="auto"/>
                      <w:szCs w:val="21"/>
                      <w:highlight w:val="none"/>
                    </w:rPr>
                    <w:t>建筑物插入损失 / dB(A)</w:t>
                  </w:r>
                </w:p>
              </w:tc>
              <w:tc>
                <w:tcPr>
                  <w:tcW w:w="899" w:type="pct"/>
                  <w:gridSpan w:val="5"/>
                  <w:vAlign w:val="center"/>
                </w:tcPr>
                <w:p w14:paraId="051E0DCC">
                  <w:pPr>
                    <w:spacing w:line="300" w:lineRule="exact"/>
                    <w:jc w:val="center"/>
                    <w:rPr>
                      <w:bCs/>
                      <w:color w:val="auto"/>
                      <w:spacing w:val="-10"/>
                      <w:szCs w:val="21"/>
                      <w:highlight w:val="none"/>
                    </w:rPr>
                  </w:pPr>
                  <w:r>
                    <w:rPr>
                      <w:bCs/>
                      <w:color w:val="auto"/>
                      <w:szCs w:val="21"/>
                      <w:highlight w:val="none"/>
                    </w:rPr>
                    <w:t>建筑物外噪声声压级/dB(A)</w:t>
                  </w:r>
                </w:p>
              </w:tc>
            </w:tr>
            <w:tr w14:paraId="7715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147" w:type="pct"/>
                  <w:vMerge w:val="continue"/>
                  <w:vAlign w:val="center"/>
                </w:tcPr>
                <w:p w14:paraId="302EF710">
                  <w:pPr>
                    <w:jc w:val="center"/>
                    <w:rPr>
                      <w:bCs/>
                      <w:color w:val="auto"/>
                      <w:szCs w:val="21"/>
                      <w:highlight w:val="none"/>
                    </w:rPr>
                  </w:pPr>
                </w:p>
              </w:tc>
              <w:tc>
                <w:tcPr>
                  <w:tcW w:w="147" w:type="pct"/>
                  <w:vMerge w:val="continue"/>
                  <w:vAlign w:val="center"/>
                </w:tcPr>
                <w:p w14:paraId="3F9BD044">
                  <w:pPr>
                    <w:jc w:val="center"/>
                    <w:rPr>
                      <w:bCs/>
                      <w:color w:val="auto"/>
                      <w:szCs w:val="21"/>
                      <w:highlight w:val="none"/>
                    </w:rPr>
                  </w:pPr>
                </w:p>
              </w:tc>
              <w:tc>
                <w:tcPr>
                  <w:tcW w:w="147" w:type="pct"/>
                  <w:vMerge w:val="continue"/>
                  <w:vAlign w:val="center"/>
                </w:tcPr>
                <w:p w14:paraId="16045C41">
                  <w:pPr>
                    <w:jc w:val="center"/>
                    <w:rPr>
                      <w:bCs/>
                      <w:color w:val="auto"/>
                      <w:szCs w:val="21"/>
                      <w:highlight w:val="none"/>
                    </w:rPr>
                  </w:pPr>
                </w:p>
              </w:tc>
              <w:tc>
                <w:tcPr>
                  <w:tcW w:w="356" w:type="pct"/>
                  <w:vMerge w:val="continue"/>
                  <w:vAlign w:val="center"/>
                </w:tcPr>
                <w:p w14:paraId="497AF800">
                  <w:pPr>
                    <w:jc w:val="center"/>
                    <w:rPr>
                      <w:bCs/>
                      <w:color w:val="auto"/>
                      <w:szCs w:val="21"/>
                      <w:highlight w:val="none"/>
                    </w:rPr>
                  </w:pPr>
                </w:p>
              </w:tc>
              <w:tc>
                <w:tcPr>
                  <w:tcW w:w="240" w:type="pct"/>
                  <w:vAlign w:val="center"/>
                </w:tcPr>
                <w:p w14:paraId="11F701A8">
                  <w:pPr>
                    <w:jc w:val="center"/>
                    <w:rPr>
                      <w:bCs/>
                      <w:color w:val="auto"/>
                      <w:spacing w:val="-10"/>
                      <w:szCs w:val="21"/>
                      <w:highlight w:val="none"/>
                    </w:rPr>
                  </w:pPr>
                  <w:r>
                    <w:rPr>
                      <w:color w:val="auto"/>
                      <w:szCs w:val="21"/>
                      <w:highlight w:val="none"/>
                    </w:rPr>
                    <w:t>声功率级/dB(A)</w:t>
                  </w:r>
                </w:p>
              </w:tc>
              <w:tc>
                <w:tcPr>
                  <w:tcW w:w="112" w:type="pct"/>
                  <w:vMerge w:val="continue"/>
                  <w:vAlign w:val="center"/>
                </w:tcPr>
                <w:p w14:paraId="03C99482">
                  <w:pPr>
                    <w:jc w:val="center"/>
                    <w:rPr>
                      <w:bCs/>
                      <w:color w:val="auto"/>
                      <w:spacing w:val="-10"/>
                      <w:szCs w:val="21"/>
                      <w:highlight w:val="none"/>
                    </w:rPr>
                  </w:pPr>
                </w:p>
              </w:tc>
              <w:tc>
                <w:tcPr>
                  <w:tcW w:w="206" w:type="pct"/>
                  <w:vAlign w:val="center"/>
                </w:tcPr>
                <w:p w14:paraId="6EB14826">
                  <w:pPr>
                    <w:jc w:val="center"/>
                    <w:rPr>
                      <w:bCs/>
                      <w:color w:val="auto"/>
                      <w:spacing w:val="-10"/>
                      <w:szCs w:val="21"/>
                      <w:highlight w:val="none"/>
                    </w:rPr>
                  </w:pPr>
                  <w:r>
                    <w:rPr>
                      <w:color w:val="auto"/>
                      <w:szCs w:val="21"/>
                      <w:highlight w:val="none"/>
                    </w:rPr>
                    <w:t>X</w:t>
                  </w:r>
                </w:p>
              </w:tc>
              <w:tc>
                <w:tcPr>
                  <w:tcW w:w="215" w:type="pct"/>
                  <w:vAlign w:val="center"/>
                </w:tcPr>
                <w:p w14:paraId="1CA2AEF8">
                  <w:pPr>
                    <w:jc w:val="center"/>
                    <w:rPr>
                      <w:bCs/>
                      <w:color w:val="auto"/>
                      <w:szCs w:val="21"/>
                      <w:highlight w:val="none"/>
                    </w:rPr>
                  </w:pPr>
                  <w:r>
                    <w:rPr>
                      <w:color w:val="auto"/>
                      <w:szCs w:val="21"/>
                      <w:highlight w:val="none"/>
                    </w:rPr>
                    <w:t>Y</w:t>
                  </w:r>
                </w:p>
              </w:tc>
              <w:tc>
                <w:tcPr>
                  <w:tcW w:w="167" w:type="pct"/>
                  <w:vAlign w:val="center"/>
                </w:tcPr>
                <w:p w14:paraId="72EE86DE">
                  <w:pPr>
                    <w:jc w:val="center"/>
                    <w:rPr>
                      <w:bCs/>
                      <w:color w:val="auto"/>
                      <w:szCs w:val="21"/>
                      <w:highlight w:val="none"/>
                    </w:rPr>
                  </w:pPr>
                  <w:r>
                    <w:rPr>
                      <w:color w:val="auto"/>
                      <w:szCs w:val="21"/>
                      <w:highlight w:val="none"/>
                    </w:rPr>
                    <w:t>Z</w:t>
                  </w:r>
                </w:p>
              </w:tc>
              <w:tc>
                <w:tcPr>
                  <w:tcW w:w="183" w:type="pct"/>
                  <w:vAlign w:val="center"/>
                </w:tcPr>
                <w:p w14:paraId="4516BE63">
                  <w:pPr>
                    <w:jc w:val="center"/>
                    <w:rPr>
                      <w:bCs/>
                      <w:color w:val="auto"/>
                      <w:spacing w:val="-10"/>
                      <w:szCs w:val="21"/>
                      <w:highlight w:val="none"/>
                    </w:rPr>
                  </w:pPr>
                  <w:r>
                    <w:rPr>
                      <w:color w:val="auto"/>
                      <w:szCs w:val="21"/>
                      <w:highlight w:val="none"/>
                    </w:rPr>
                    <w:t>东</w:t>
                  </w:r>
                </w:p>
              </w:tc>
              <w:tc>
                <w:tcPr>
                  <w:tcW w:w="183" w:type="pct"/>
                  <w:vAlign w:val="center"/>
                </w:tcPr>
                <w:p w14:paraId="1541D3D4">
                  <w:pPr>
                    <w:jc w:val="center"/>
                    <w:rPr>
                      <w:bCs/>
                      <w:color w:val="auto"/>
                      <w:szCs w:val="21"/>
                      <w:highlight w:val="none"/>
                    </w:rPr>
                  </w:pPr>
                  <w:r>
                    <w:rPr>
                      <w:color w:val="auto"/>
                      <w:szCs w:val="21"/>
                      <w:highlight w:val="none"/>
                    </w:rPr>
                    <w:t>南</w:t>
                  </w:r>
                </w:p>
              </w:tc>
              <w:tc>
                <w:tcPr>
                  <w:tcW w:w="152" w:type="pct"/>
                  <w:vAlign w:val="center"/>
                </w:tcPr>
                <w:p w14:paraId="6C870C4A">
                  <w:pPr>
                    <w:jc w:val="center"/>
                    <w:rPr>
                      <w:bCs/>
                      <w:color w:val="auto"/>
                      <w:szCs w:val="21"/>
                      <w:highlight w:val="none"/>
                    </w:rPr>
                  </w:pPr>
                  <w:r>
                    <w:rPr>
                      <w:color w:val="auto"/>
                      <w:szCs w:val="21"/>
                      <w:highlight w:val="none"/>
                    </w:rPr>
                    <w:t>西</w:t>
                  </w:r>
                </w:p>
              </w:tc>
              <w:tc>
                <w:tcPr>
                  <w:tcW w:w="198" w:type="pct"/>
                  <w:vAlign w:val="center"/>
                </w:tcPr>
                <w:p w14:paraId="6DDB9069">
                  <w:pPr>
                    <w:jc w:val="center"/>
                    <w:rPr>
                      <w:bCs/>
                      <w:color w:val="auto"/>
                      <w:szCs w:val="21"/>
                      <w:highlight w:val="none"/>
                    </w:rPr>
                  </w:pPr>
                  <w:r>
                    <w:rPr>
                      <w:color w:val="auto"/>
                      <w:szCs w:val="21"/>
                      <w:highlight w:val="none"/>
                    </w:rPr>
                    <w:t>北</w:t>
                  </w:r>
                </w:p>
              </w:tc>
              <w:tc>
                <w:tcPr>
                  <w:tcW w:w="183" w:type="pct"/>
                  <w:vAlign w:val="center"/>
                </w:tcPr>
                <w:p w14:paraId="626E0648">
                  <w:pPr>
                    <w:jc w:val="center"/>
                    <w:rPr>
                      <w:bCs/>
                      <w:color w:val="auto"/>
                      <w:spacing w:val="-10"/>
                      <w:szCs w:val="21"/>
                      <w:highlight w:val="none"/>
                    </w:rPr>
                  </w:pPr>
                  <w:r>
                    <w:rPr>
                      <w:color w:val="auto"/>
                      <w:szCs w:val="21"/>
                      <w:highlight w:val="none"/>
                    </w:rPr>
                    <w:t>东</w:t>
                  </w:r>
                </w:p>
              </w:tc>
              <w:tc>
                <w:tcPr>
                  <w:tcW w:w="184" w:type="pct"/>
                  <w:vAlign w:val="center"/>
                </w:tcPr>
                <w:p w14:paraId="654836AF">
                  <w:pPr>
                    <w:jc w:val="center"/>
                    <w:rPr>
                      <w:bCs/>
                      <w:color w:val="auto"/>
                      <w:szCs w:val="21"/>
                      <w:highlight w:val="none"/>
                    </w:rPr>
                  </w:pPr>
                  <w:r>
                    <w:rPr>
                      <w:color w:val="auto"/>
                      <w:szCs w:val="21"/>
                      <w:highlight w:val="none"/>
                    </w:rPr>
                    <w:t>南</w:t>
                  </w:r>
                </w:p>
              </w:tc>
              <w:tc>
                <w:tcPr>
                  <w:tcW w:w="184" w:type="pct"/>
                  <w:vAlign w:val="center"/>
                </w:tcPr>
                <w:p w14:paraId="23B4D97E">
                  <w:pPr>
                    <w:jc w:val="center"/>
                    <w:rPr>
                      <w:bCs/>
                      <w:color w:val="auto"/>
                      <w:szCs w:val="21"/>
                      <w:highlight w:val="none"/>
                    </w:rPr>
                  </w:pPr>
                  <w:r>
                    <w:rPr>
                      <w:color w:val="auto"/>
                      <w:szCs w:val="21"/>
                      <w:highlight w:val="none"/>
                    </w:rPr>
                    <w:t>西</w:t>
                  </w:r>
                </w:p>
              </w:tc>
              <w:tc>
                <w:tcPr>
                  <w:tcW w:w="220" w:type="pct"/>
                  <w:vAlign w:val="center"/>
                </w:tcPr>
                <w:p w14:paraId="1E50FCE5">
                  <w:pPr>
                    <w:jc w:val="center"/>
                    <w:rPr>
                      <w:bCs/>
                      <w:color w:val="auto"/>
                      <w:szCs w:val="21"/>
                      <w:highlight w:val="none"/>
                    </w:rPr>
                  </w:pPr>
                  <w:r>
                    <w:rPr>
                      <w:color w:val="auto"/>
                      <w:szCs w:val="21"/>
                      <w:highlight w:val="none"/>
                    </w:rPr>
                    <w:t>北</w:t>
                  </w:r>
                </w:p>
              </w:tc>
              <w:tc>
                <w:tcPr>
                  <w:tcW w:w="122" w:type="pct"/>
                  <w:vMerge w:val="continue"/>
                  <w:vAlign w:val="center"/>
                </w:tcPr>
                <w:p w14:paraId="1DF29B77">
                  <w:pPr>
                    <w:spacing w:line="300" w:lineRule="exact"/>
                    <w:jc w:val="center"/>
                    <w:rPr>
                      <w:bCs/>
                      <w:color w:val="auto"/>
                      <w:spacing w:val="-10"/>
                      <w:szCs w:val="21"/>
                      <w:highlight w:val="none"/>
                    </w:rPr>
                  </w:pPr>
                </w:p>
              </w:tc>
              <w:tc>
                <w:tcPr>
                  <w:tcW w:w="183" w:type="pct"/>
                  <w:vAlign w:val="center"/>
                </w:tcPr>
                <w:p w14:paraId="7912F40D">
                  <w:pPr>
                    <w:spacing w:line="300" w:lineRule="exact"/>
                    <w:jc w:val="center"/>
                    <w:rPr>
                      <w:bCs/>
                      <w:color w:val="auto"/>
                      <w:spacing w:val="-10"/>
                      <w:szCs w:val="21"/>
                      <w:highlight w:val="none"/>
                    </w:rPr>
                  </w:pPr>
                  <w:r>
                    <w:rPr>
                      <w:bCs/>
                      <w:color w:val="auto"/>
                      <w:szCs w:val="21"/>
                      <w:highlight w:val="none"/>
                    </w:rPr>
                    <w:t>东</w:t>
                  </w:r>
                </w:p>
              </w:tc>
              <w:tc>
                <w:tcPr>
                  <w:tcW w:w="183" w:type="pct"/>
                  <w:vAlign w:val="center"/>
                </w:tcPr>
                <w:p w14:paraId="1319A79F">
                  <w:pPr>
                    <w:spacing w:line="300" w:lineRule="exact"/>
                    <w:jc w:val="center"/>
                    <w:rPr>
                      <w:bCs/>
                      <w:color w:val="auto"/>
                      <w:szCs w:val="21"/>
                      <w:highlight w:val="none"/>
                    </w:rPr>
                  </w:pPr>
                  <w:r>
                    <w:rPr>
                      <w:bCs/>
                      <w:color w:val="auto"/>
                      <w:szCs w:val="21"/>
                      <w:highlight w:val="none"/>
                    </w:rPr>
                    <w:t>南</w:t>
                  </w:r>
                </w:p>
              </w:tc>
              <w:tc>
                <w:tcPr>
                  <w:tcW w:w="183" w:type="pct"/>
                  <w:vAlign w:val="center"/>
                </w:tcPr>
                <w:p w14:paraId="49C4DD81">
                  <w:pPr>
                    <w:spacing w:line="300" w:lineRule="exact"/>
                    <w:jc w:val="center"/>
                    <w:rPr>
                      <w:bCs/>
                      <w:color w:val="auto"/>
                      <w:szCs w:val="21"/>
                      <w:highlight w:val="none"/>
                    </w:rPr>
                  </w:pPr>
                  <w:r>
                    <w:rPr>
                      <w:bCs/>
                      <w:color w:val="auto"/>
                      <w:szCs w:val="21"/>
                      <w:highlight w:val="none"/>
                    </w:rPr>
                    <w:t>西</w:t>
                  </w:r>
                </w:p>
              </w:tc>
              <w:tc>
                <w:tcPr>
                  <w:tcW w:w="195" w:type="pct"/>
                  <w:vAlign w:val="center"/>
                </w:tcPr>
                <w:p w14:paraId="31422BF8">
                  <w:pPr>
                    <w:spacing w:line="300" w:lineRule="exact"/>
                    <w:jc w:val="center"/>
                    <w:rPr>
                      <w:bCs/>
                      <w:color w:val="auto"/>
                      <w:szCs w:val="21"/>
                      <w:highlight w:val="none"/>
                    </w:rPr>
                  </w:pPr>
                  <w:r>
                    <w:rPr>
                      <w:bCs/>
                      <w:color w:val="auto"/>
                      <w:szCs w:val="21"/>
                      <w:highlight w:val="none"/>
                    </w:rPr>
                    <w:t>北</w:t>
                  </w:r>
                </w:p>
              </w:tc>
              <w:tc>
                <w:tcPr>
                  <w:tcW w:w="187" w:type="pct"/>
                  <w:vAlign w:val="center"/>
                </w:tcPr>
                <w:p w14:paraId="5A52002F">
                  <w:pPr>
                    <w:spacing w:line="300" w:lineRule="exact"/>
                    <w:jc w:val="center"/>
                    <w:rPr>
                      <w:bCs/>
                      <w:color w:val="auto"/>
                      <w:spacing w:val="-10"/>
                      <w:szCs w:val="21"/>
                      <w:highlight w:val="none"/>
                    </w:rPr>
                  </w:pPr>
                  <w:r>
                    <w:rPr>
                      <w:bCs/>
                      <w:color w:val="auto"/>
                      <w:szCs w:val="21"/>
                      <w:highlight w:val="none"/>
                    </w:rPr>
                    <w:t>东</w:t>
                  </w:r>
                </w:p>
              </w:tc>
              <w:tc>
                <w:tcPr>
                  <w:tcW w:w="187" w:type="pct"/>
                  <w:vAlign w:val="center"/>
                </w:tcPr>
                <w:p w14:paraId="3874F7E1">
                  <w:pPr>
                    <w:spacing w:line="300" w:lineRule="exact"/>
                    <w:jc w:val="center"/>
                    <w:rPr>
                      <w:bCs/>
                      <w:color w:val="auto"/>
                      <w:szCs w:val="21"/>
                      <w:highlight w:val="none"/>
                    </w:rPr>
                  </w:pPr>
                  <w:r>
                    <w:rPr>
                      <w:bCs/>
                      <w:color w:val="auto"/>
                      <w:szCs w:val="21"/>
                      <w:highlight w:val="none"/>
                    </w:rPr>
                    <w:t>南</w:t>
                  </w:r>
                </w:p>
              </w:tc>
              <w:tc>
                <w:tcPr>
                  <w:tcW w:w="187" w:type="pct"/>
                  <w:vAlign w:val="center"/>
                </w:tcPr>
                <w:p w14:paraId="70B3582B">
                  <w:pPr>
                    <w:spacing w:line="300" w:lineRule="exact"/>
                    <w:jc w:val="center"/>
                    <w:rPr>
                      <w:bCs/>
                      <w:color w:val="auto"/>
                      <w:szCs w:val="21"/>
                      <w:highlight w:val="none"/>
                    </w:rPr>
                  </w:pPr>
                  <w:r>
                    <w:rPr>
                      <w:bCs/>
                      <w:color w:val="auto"/>
                      <w:szCs w:val="21"/>
                      <w:highlight w:val="none"/>
                    </w:rPr>
                    <w:t>西</w:t>
                  </w:r>
                </w:p>
              </w:tc>
              <w:tc>
                <w:tcPr>
                  <w:tcW w:w="187" w:type="pct"/>
                  <w:vAlign w:val="center"/>
                </w:tcPr>
                <w:p w14:paraId="21B896A7">
                  <w:pPr>
                    <w:spacing w:line="300" w:lineRule="exact"/>
                    <w:jc w:val="center"/>
                    <w:rPr>
                      <w:bCs/>
                      <w:color w:val="auto"/>
                      <w:szCs w:val="21"/>
                      <w:highlight w:val="none"/>
                    </w:rPr>
                  </w:pPr>
                  <w:r>
                    <w:rPr>
                      <w:bCs/>
                      <w:color w:val="auto"/>
                      <w:szCs w:val="21"/>
                      <w:highlight w:val="none"/>
                    </w:rPr>
                    <w:t>北</w:t>
                  </w:r>
                </w:p>
              </w:tc>
              <w:tc>
                <w:tcPr>
                  <w:tcW w:w="151" w:type="pct"/>
                  <w:vAlign w:val="center"/>
                </w:tcPr>
                <w:p w14:paraId="73F5D98F">
                  <w:pPr>
                    <w:spacing w:line="300" w:lineRule="exact"/>
                    <w:jc w:val="center"/>
                    <w:rPr>
                      <w:bCs/>
                      <w:color w:val="auto"/>
                      <w:szCs w:val="21"/>
                      <w:highlight w:val="none"/>
                    </w:rPr>
                  </w:pPr>
                  <w:r>
                    <w:rPr>
                      <w:bCs/>
                      <w:color w:val="auto"/>
                      <w:szCs w:val="21"/>
                      <w:highlight w:val="none"/>
                    </w:rPr>
                    <w:t>建筑物外距离</w:t>
                  </w:r>
                </w:p>
              </w:tc>
            </w:tr>
            <w:tr w14:paraId="450D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 w:type="pct"/>
                  <w:vAlign w:val="center"/>
                </w:tcPr>
                <w:p w14:paraId="480ADAEE">
                  <w:pPr>
                    <w:widowControl/>
                    <w:jc w:val="center"/>
                    <w:textAlignment w:val="center"/>
                    <w:rPr>
                      <w:bCs/>
                      <w:color w:val="auto"/>
                      <w:spacing w:val="-10"/>
                      <w:sz w:val="18"/>
                      <w:szCs w:val="18"/>
                      <w:highlight w:val="none"/>
                    </w:rPr>
                  </w:pPr>
                  <w:r>
                    <w:rPr>
                      <w:color w:val="auto"/>
                      <w:kern w:val="0"/>
                      <w:sz w:val="18"/>
                      <w:szCs w:val="18"/>
                      <w:highlight w:val="none"/>
                      <w:lang w:bidi="ar"/>
                    </w:rPr>
                    <w:t>1</w:t>
                  </w:r>
                </w:p>
              </w:tc>
              <w:tc>
                <w:tcPr>
                  <w:tcW w:w="147" w:type="pct"/>
                  <w:vMerge w:val="restart"/>
                  <w:vAlign w:val="center"/>
                </w:tcPr>
                <w:p w14:paraId="1D1DBC6F">
                  <w:pPr>
                    <w:widowControl/>
                    <w:jc w:val="center"/>
                    <w:textAlignment w:val="center"/>
                    <w:rPr>
                      <w:rFonts w:ascii="宋体" w:hAnsi="宋体" w:cs="宋体"/>
                      <w:bCs/>
                      <w:color w:val="auto"/>
                      <w:spacing w:val="-10"/>
                      <w:sz w:val="18"/>
                      <w:szCs w:val="18"/>
                      <w:highlight w:val="none"/>
                    </w:rPr>
                  </w:pPr>
                  <w:r>
                    <w:rPr>
                      <w:rStyle w:val="66"/>
                      <w:rFonts w:hint="default"/>
                      <w:color w:val="auto"/>
                      <w:sz w:val="18"/>
                      <w:szCs w:val="18"/>
                      <w:highlight w:val="none"/>
                      <w:lang w:bidi="ar"/>
                    </w:rPr>
                    <w:t>厂界</w:t>
                  </w:r>
                </w:p>
              </w:tc>
              <w:tc>
                <w:tcPr>
                  <w:tcW w:w="147" w:type="pct"/>
                  <w:vAlign w:val="center"/>
                </w:tcPr>
                <w:p w14:paraId="7803CF65">
                  <w:pPr>
                    <w:widowControl/>
                    <w:jc w:val="center"/>
                    <w:textAlignment w:val="center"/>
                    <w:rPr>
                      <w:rFonts w:ascii="宋体" w:hAnsi="宋体" w:cs="宋体"/>
                      <w:bCs/>
                      <w:color w:val="auto"/>
                      <w:spacing w:val="-10"/>
                      <w:sz w:val="18"/>
                      <w:szCs w:val="18"/>
                      <w:highlight w:val="none"/>
                    </w:rPr>
                  </w:pPr>
                  <w:r>
                    <w:rPr>
                      <w:rStyle w:val="66"/>
                      <w:rFonts w:hint="default"/>
                      <w:color w:val="auto"/>
                      <w:sz w:val="18"/>
                      <w:szCs w:val="18"/>
                      <w:highlight w:val="none"/>
                      <w:lang w:bidi="ar"/>
                    </w:rPr>
                    <w:t>毛刷清洗机</w:t>
                  </w:r>
                </w:p>
              </w:tc>
              <w:tc>
                <w:tcPr>
                  <w:tcW w:w="356" w:type="pct"/>
                  <w:vAlign w:val="center"/>
                </w:tcPr>
                <w:p w14:paraId="6F116323">
                  <w:pPr>
                    <w:widowControl/>
                    <w:jc w:val="center"/>
                    <w:textAlignment w:val="center"/>
                    <w:rPr>
                      <w:bCs/>
                      <w:color w:val="auto"/>
                      <w:spacing w:val="-10"/>
                      <w:sz w:val="18"/>
                      <w:szCs w:val="18"/>
                      <w:highlight w:val="none"/>
                    </w:rPr>
                  </w:pPr>
                  <w:r>
                    <w:rPr>
                      <w:color w:val="auto"/>
                      <w:kern w:val="0"/>
                      <w:sz w:val="18"/>
                      <w:szCs w:val="18"/>
                      <w:highlight w:val="none"/>
                      <w:lang w:bidi="ar"/>
                    </w:rPr>
                    <w:t>RY-220</w:t>
                  </w:r>
                  <w:r>
                    <w:rPr>
                      <w:rStyle w:val="66"/>
                      <w:rFonts w:hint="default"/>
                      <w:color w:val="auto"/>
                      <w:sz w:val="18"/>
                      <w:szCs w:val="18"/>
                      <w:highlight w:val="none"/>
                      <w:lang w:bidi="ar"/>
                    </w:rPr>
                    <w:t>型</w:t>
                  </w:r>
                </w:p>
              </w:tc>
              <w:tc>
                <w:tcPr>
                  <w:tcW w:w="240" w:type="pct"/>
                  <w:vAlign w:val="center"/>
                </w:tcPr>
                <w:p w14:paraId="73B918AA">
                  <w:pPr>
                    <w:widowControl/>
                    <w:jc w:val="center"/>
                    <w:textAlignment w:val="center"/>
                    <w:rPr>
                      <w:bCs/>
                      <w:color w:val="auto"/>
                      <w:spacing w:val="-10"/>
                      <w:sz w:val="18"/>
                      <w:szCs w:val="18"/>
                      <w:highlight w:val="none"/>
                    </w:rPr>
                  </w:pPr>
                  <w:r>
                    <w:rPr>
                      <w:color w:val="auto"/>
                      <w:kern w:val="0"/>
                      <w:sz w:val="18"/>
                      <w:szCs w:val="18"/>
                      <w:highlight w:val="none"/>
                      <w:lang w:bidi="ar"/>
                    </w:rPr>
                    <w:t>80</w:t>
                  </w:r>
                </w:p>
              </w:tc>
              <w:tc>
                <w:tcPr>
                  <w:tcW w:w="112" w:type="pct"/>
                  <w:vMerge w:val="restart"/>
                  <w:vAlign w:val="center"/>
                </w:tcPr>
                <w:p w14:paraId="0C75C653">
                  <w:pPr>
                    <w:widowControl/>
                    <w:jc w:val="center"/>
                    <w:textAlignment w:val="center"/>
                    <w:rPr>
                      <w:bCs/>
                      <w:color w:val="auto"/>
                      <w:spacing w:val="-10"/>
                      <w:sz w:val="18"/>
                      <w:szCs w:val="18"/>
                      <w:highlight w:val="none"/>
                    </w:rPr>
                  </w:pPr>
                  <w:r>
                    <w:rPr>
                      <w:rStyle w:val="66"/>
                      <w:rFonts w:hint="default"/>
                      <w:color w:val="auto"/>
                      <w:sz w:val="18"/>
                      <w:szCs w:val="18"/>
                      <w:highlight w:val="none"/>
                      <w:lang w:bidi="ar"/>
                    </w:rPr>
                    <w:t>基础减震，建筑隔声</w:t>
                  </w:r>
                </w:p>
              </w:tc>
              <w:tc>
                <w:tcPr>
                  <w:tcW w:w="206" w:type="pct"/>
                  <w:vAlign w:val="center"/>
                </w:tcPr>
                <w:p w14:paraId="62B9FC19">
                  <w:pPr>
                    <w:widowControl/>
                    <w:jc w:val="center"/>
                    <w:textAlignment w:val="center"/>
                    <w:rPr>
                      <w:bCs/>
                      <w:color w:val="auto"/>
                      <w:spacing w:val="-10"/>
                      <w:sz w:val="18"/>
                      <w:szCs w:val="18"/>
                      <w:highlight w:val="none"/>
                    </w:rPr>
                  </w:pPr>
                  <w:r>
                    <w:rPr>
                      <w:color w:val="auto"/>
                      <w:kern w:val="0"/>
                      <w:sz w:val="18"/>
                      <w:szCs w:val="18"/>
                      <w:highlight w:val="none"/>
                      <w:lang w:bidi="ar"/>
                    </w:rPr>
                    <w:t>4.3</w:t>
                  </w:r>
                </w:p>
              </w:tc>
              <w:tc>
                <w:tcPr>
                  <w:tcW w:w="215" w:type="pct"/>
                  <w:vAlign w:val="center"/>
                </w:tcPr>
                <w:p w14:paraId="725B5E8D">
                  <w:pPr>
                    <w:widowControl/>
                    <w:jc w:val="center"/>
                    <w:textAlignment w:val="center"/>
                    <w:rPr>
                      <w:color w:val="auto"/>
                      <w:sz w:val="18"/>
                      <w:szCs w:val="18"/>
                      <w:highlight w:val="none"/>
                    </w:rPr>
                  </w:pPr>
                  <w:r>
                    <w:rPr>
                      <w:color w:val="auto"/>
                      <w:kern w:val="0"/>
                      <w:sz w:val="18"/>
                      <w:szCs w:val="18"/>
                      <w:highlight w:val="none"/>
                      <w:lang w:bidi="ar"/>
                    </w:rPr>
                    <w:t>-2.2</w:t>
                  </w:r>
                </w:p>
              </w:tc>
              <w:tc>
                <w:tcPr>
                  <w:tcW w:w="167" w:type="pct"/>
                  <w:vAlign w:val="center"/>
                </w:tcPr>
                <w:p w14:paraId="114D1D15">
                  <w:pPr>
                    <w:widowControl/>
                    <w:jc w:val="center"/>
                    <w:textAlignment w:val="center"/>
                    <w:rPr>
                      <w:color w:val="auto"/>
                      <w:sz w:val="18"/>
                      <w:szCs w:val="18"/>
                      <w:highlight w:val="none"/>
                    </w:rPr>
                  </w:pPr>
                  <w:r>
                    <w:rPr>
                      <w:color w:val="auto"/>
                      <w:kern w:val="0"/>
                      <w:sz w:val="18"/>
                      <w:szCs w:val="18"/>
                      <w:highlight w:val="none"/>
                      <w:lang w:bidi="ar"/>
                    </w:rPr>
                    <w:t>1.2</w:t>
                  </w:r>
                </w:p>
              </w:tc>
              <w:tc>
                <w:tcPr>
                  <w:tcW w:w="183" w:type="pct"/>
                  <w:vAlign w:val="center"/>
                </w:tcPr>
                <w:p w14:paraId="65429FF7">
                  <w:pPr>
                    <w:widowControl/>
                    <w:jc w:val="center"/>
                    <w:textAlignment w:val="center"/>
                    <w:rPr>
                      <w:bCs/>
                      <w:color w:val="auto"/>
                      <w:spacing w:val="-10"/>
                      <w:sz w:val="18"/>
                      <w:szCs w:val="18"/>
                      <w:highlight w:val="none"/>
                    </w:rPr>
                  </w:pPr>
                  <w:r>
                    <w:rPr>
                      <w:color w:val="auto"/>
                      <w:kern w:val="0"/>
                      <w:sz w:val="18"/>
                      <w:szCs w:val="18"/>
                      <w:highlight w:val="none"/>
                      <w:lang w:bidi="ar"/>
                    </w:rPr>
                    <w:t>12.8</w:t>
                  </w:r>
                </w:p>
              </w:tc>
              <w:tc>
                <w:tcPr>
                  <w:tcW w:w="183" w:type="pct"/>
                  <w:vAlign w:val="center"/>
                </w:tcPr>
                <w:p w14:paraId="7C068BC8">
                  <w:pPr>
                    <w:widowControl/>
                    <w:jc w:val="center"/>
                    <w:textAlignment w:val="center"/>
                    <w:rPr>
                      <w:color w:val="auto"/>
                      <w:sz w:val="18"/>
                      <w:szCs w:val="18"/>
                      <w:highlight w:val="none"/>
                    </w:rPr>
                  </w:pPr>
                  <w:r>
                    <w:rPr>
                      <w:color w:val="auto"/>
                      <w:kern w:val="0"/>
                      <w:sz w:val="18"/>
                      <w:szCs w:val="18"/>
                      <w:highlight w:val="none"/>
                      <w:lang w:bidi="ar"/>
                    </w:rPr>
                    <w:t>3.8</w:t>
                  </w:r>
                </w:p>
              </w:tc>
              <w:tc>
                <w:tcPr>
                  <w:tcW w:w="152" w:type="pct"/>
                  <w:vAlign w:val="center"/>
                </w:tcPr>
                <w:p w14:paraId="7421C4C1">
                  <w:pPr>
                    <w:widowControl/>
                    <w:jc w:val="center"/>
                    <w:textAlignment w:val="center"/>
                    <w:rPr>
                      <w:color w:val="auto"/>
                      <w:sz w:val="18"/>
                      <w:szCs w:val="18"/>
                      <w:highlight w:val="none"/>
                    </w:rPr>
                  </w:pPr>
                  <w:r>
                    <w:rPr>
                      <w:color w:val="auto"/>
                      <w:kern w:val="0"/>
                      <w:sz w:val="18"/>
                      <w:szCs w:val="18"/>
                      <w:highlight w:val="none"/>
                      <w:lang w:bidi="ar"/>
                    </w:rPr>
                    <w:t>2.5</w:t>
                  </w:r>
                </w:p>
              </w:tc>
              <w:tc>
                <w:tcPr>
                  <w:tcW w:w="198" w:type="pct"/>
                  <w:vAlign w:val="center"/>
                </w:tcPr>
                <w:p w14:paraId="56664043">
                  <w:pPr>
                    <w:widowControl/>
                    <w:jc w:val="center"/>
                    <w:textAlignment w:val="center"/>
                    <w:rPr>
                      <w:color w:val="auto"/>
                      <w:sz w:val="18"/>
                      <w:szCs w:val="18"/>
                      <w:highlight w:val="none"/>
                    </w:rPr>
                  </w:pPr>
                  <w:r>
                    <w:rPr>
                      <w:color w:val="auto"/>
                      <w:kern w:val="0"/>
                      <w:sz w:val="18"/>
                      <w:szCs w:val="18"/>
                      <w:highlight w:val="none"/>
                      <w:lang w:bidi="ar"/>
                    </w:rPr>
                    <w:t>11.1</w:t>
                  </w:r>
                </w:p>
              </w:tc>
              <w:tc>
                <w:tcPr>
                  <w:tcW w:w="183" w:type="pct"/>
                  <w:vAlign w:val="center"/>
                </w:tcPr>
                <w:p w14:paraId="0E753CF1">
                  <w:pPr>
                    <w:widowControl/>
                    <w:jc w:val="center"/>
                    <w:textAlignment w:val="center"/>
                    <w:rPr>
                      <w:color w:val="auto"/>
                      <w:sz w:val="18"/>
                      <w:szCs w:val="18"/>
                      <w:highlight w:val="none"/>
                    </w:rPr>
                  </w:pPr>
                  <w:r>
                    <w:rPr>
                      <w:color w:val="auto"/>
                      <w:kern w:val="0"/>
                      <w:sz w:val="18"/>
                      <w:szCs w:val="18"/>
                      <w:highlight w:val="none"/>
                      <w:lang w:bidi="ar"/>
                    </w:rPr>
                    <w:t>75.1</w:t>
                  </w:r>
                </w:p>
              </w:tc>
              <w:tc>
                <w:tcPr>
                  <w:tcW w:w="184" w:type="pct"/>
                  <w:vAlign w:val="center"/>
                </w:tcPr>
                <w:p w14:paraId="0BFB794F">
                  <w:pPr>
                    <w:widowControl/>
                    <w:jc w:val="center"/>
                    <w:textAlignment w:val="center"/>
                    <w:rPr>
                      <w:color w:val="auto"/>
                      <w:sz w:val="18"/>
                      <w:szCs w:val="18"/>
                      <w:highlight w:val="none"/>
                    </w:rPr>
                  </w:pPr>
                  <w:r>
                    <w:rPr>
                      <w:color w:val="auto"/>
                      <w:kern w:val="0"/>
                      <w:sz w:val="18"/>
                      <w:szCs w:val="18"/>
                      <w:highlight w:val="none"/>
                      <w:lang w:bidi="ar"/>
                    </w:rPr>
                    <w:t>75.2</w:t>
                  </w:r>
                </w:p>
              </w:tc>
              <w:tc>
                <w:tcPr>
                  <w:tcW w:w="184" w:type="pct"/>
                  <w:vAlign w:val="center"/>
                </w:tcPr>
                <w:p w14:paraId="4BE4BB23">
                  <w:pPr>
                    <w:widowControl/>
                    <w:jc w:val="center"/>
                    <w:textAlignment w:val="center"/>
                    <w:rPr>
                      <w:color w:val="auto"/>
                      <w:sz w:val="18"/>
                      <w:szCs w:val="18"/>
                      <w:highlight w:val="none"/>
                    </w:rPr>
                  </w:pPr>
                  <w:r>
                    <w:rPr>
                      <w:color w:val="auto"/>
                      <w:kern w:val="0"/>
                      <w:sz w:val="18"/>
                      <w:szCs w:val="18"/>
                      <w:highlight w:val="none"/>
                      <w:lang w:bidi="ar"/>
                    </w:rPr>
                    <w:t>75.3</w:t>
                  </w:r>
                </w:p>
              </w:tc>
              <w:tc>
                <w:tcPr>
                  <w:tcW w:w="220" w:type="pct"/>
                  <w:vAlign w:val="center"/>
                </w:tcPr>
                <w:p w14:paraId="18A4B343">
                  <w:pPr>
                    <w:widowControl/>
                    <w:jc w:val="center"/>
                    <w:textAlignment w:val="center"/>
                    <w:rPr>
                      <w:color w:val="auto"/>
                      <w:sz w:val="18"/>
                      <w:szCs w:val="18"/>
                      <w:highlight w:val="none"/>
                    </w:rPr>
                  </w:pPr>
                  <w:r>
                    <w:rPr>
                      <w:color w:val="auto"/>
                      <w:kern w:val="0"/>
                      <w:sz w:val="18"/>
                      <w:szCs w:val="18"/>
                      <w:highlight w:val="none"/>
                      <w:lang w:bidi="ar"/>
                    </w:rPr>
                    <w:t>75.1</w:t>
                  </w:r>
                </w:p>
              </w:tc>
              <w:tc>
                <w:tcPr>
                  <w:tcW w:w="122" w:type="pct"/>
                  <w:vMerge w:val="restart"/>
                  <w:vAlign w:val="center"/>
                </w:tcPr>
                <w:p w14:paraId="075C51BE">
                  <w:pPr>
                    <w:widowControl/>
                    <w:jc w:val="center"/>
                    <w:textAlignment w:val="center"/>
                    <w:rPr>
                      <w:bCs/>
                      <w:color w:val="auto"/>
                      <w:spacing w:val="-10"/>
                      <w:sz w:val="18"/>
                      <w:szCs w:val="18"/>
                      <w:highlight w:val="none"/>
                    </w:rPr>
                  </w:pPr>
                  <w:r>
                    <w:rPr>
                      <w:rStyle w:val="66"/>
                      <w:rFonts w:hint="default"/>
                      <w:color w:val="auto"/>
                      <w:sz w:val="18"/>
                      <w:szCs w:val="18"/>
                      <w:highlight w:val="none"/>
                      <w:lang w:bidi="ar"/>
                    </w:rPr>
                    <w:t>昼间</w:t>
                  </w:r>
                </w:p>
              </w:tc>
              <w:tc>
                <w:tcPr>
                  <w:tcW w:w="183" w:type="pct"/>
                  <w:vAlign w:val="center"/>
                </w:tcPr>
                <w:p w14:paraId="6E8684A0">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04A35F21">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5E10DFD7">
                  <w:pPr>
                    <w:widowControl/>
                    <w:jc w:val="center"/>
                    <w:textAlignment w:val="center"/>
                    <w:rPr>
                      <w:color w:val="auto"/>
                      <w:sz w:val="18"/>
                      <w:szCs w:val="18"/>
                      <w:highlight w:val="none"/>
                    </w:rPr>
                  </w:pPr>
                  <w:r>
                    <w:rPr>
                      <w:color w:val="auto"/>
                      <w:kern w:val="0"/>
                      <w:sz w:val="18"/>
                      <w:szCs w:val="18"/>
                      <w:highlight w:val="none"/>
                      <w:lang w:bidi="ar"/>
                    </w:rPr>
                    <w:t>15.0</w:t>
                  </w:r>
                </w:p>
              </w:tc>
              <w:tc>
                <w:tcPr>
                  <w:tcW w:w="195" w:type="pct"/>
                  <w:vAlign w:val="center"/>
                </w:tcPr>
                <w:p w14:paraId="50F7352B">
                  <w:pPr>
                    <w:widowControl/>
                    <w:jc w:val="center"/>
                    <w:textAlignment w:val="center"/>
                    <w:rPr>
                      <w:color w:val="auto"/>
                      <w:sz w:val="18"/>
                      <w:szCs w:val="18"/>
                      <w:highlight w:val="none"/>
                    </w:rPr>
                  </w:pPr>
                  <w:r>
                    <w:rPr>
                      <w:color w:val="auto"/>
                      <w:kern w:val="0"/>
                      <w:sz w:val="18"/>
                      <w:szCs w:val="18"/>
                      <w:highlight w:val="none"/>
                      <w:lang w:bidi="ar"/>
                    </w:rPr>
                    <w:t>15.0</w:t>
                  </w:r>
                </w:p>
              </w:tc>
              <w:tc>
                <w:tcPr>
                  <w:tcW w:w="187" w:type="pct"/>
                  <w:vAlign w:val="center"/>
                </w:tcPr>
                <w:p w14:paraId="7D1DBDD6">
                  <w:pPr>
                    <w:widowControl/>
                    <w:jc w:val="center"/>
                    <w:textAlignment w:val="center"/>
                    <w:rPr>
                      <w:color w:val="auto"/>
                      <w:sz w:val="18"/>
                      <w:szCs w:val="18"/>
                      <w:highlight w:val="none"/>
                    </w:rPr>
                  </w:pPr>
                  <w:r>
                    <w:rPr>
                      <w:color w:val="auto"/>
                      <w:kern w:val="0"/>
                      <w:sz w:val="18"/>
                      <w:szCs w:val="18"/>
                      <w:highlight w:val="none"/>
                      <w:lang w:bidi="ar"/>
                    </w:rPr>
                    <w:t>60.1</w:t>
                  </w:r>
                </w:p>
              </w:tc>
              <w:tc>
                <w:tcPr>
                  <w:tcW w:w="187" w:type="pct"/>
                  <w:vAlign w:val="center"/>
                </w:tcPr>
                <w:p w14:paraId="49212092">
                  <w:pPr>
                    <w:widowControl/>
                    <w:jc w:val="center"/>
                    <w:textAlignment w:val="center"/>
                    <w:rPr>
                      <w:color w:val="auto"/>
                      <w:sz w:val="18"/>
                      <w:szCs w:val="18"/>
                      <w:highlight w:val="none"/>
                    </w:rPr>
                  </w:pPr>
                  <w:r>
                    <w:rPr>
                      <w:color w:val="auto"/>
                      <w:kern w:val="0"/>
                      <w:sz w:val="18"/>
                      <w:szCs w:val="18"/>
                      <w:highlight w:val="none"/>
                      <w:lang w:bidi="ar"/>
                    </w:rPr>
                    <w:t>60.2</w:t>
                  </w:r>
                </w:p>
              </w:tc>
              <w:tc>
                <w:tcPr>
                  <w:tcW w:w="187" w:type="pct"/>
                  <w:vAlign w:val="center"/>
                </w:tcPr>
                <w:p w14:paraId="4F623844">
                  <w:pPr>
                    <w:widowControl/>
                    <w:jc w:val="center"/>
                    <w:textAlignment w:val="center"/>
                    <w:rPr>
                      <w:color w:val="auto"/>
                      <w:sz w:val="18"/>
                      <w:szCs w:val="18"/>
                      <w:highlight w:val="none"/>
                    </w:rPr>
                  </w:pPr>
                  <w:r>
                    <w:rPr>
                      <w:color w:val="auto"/>
                      <w:kern w:val="0"/>
                      <w:sz w:val="18"/>
                      <w:szCs w:val="18"/>
                      <w:highlight w:val="none"/>
                      <w:lang w:bidi="ar"/>
                    </w:rPr>
                    <w:t>60.3</w:t>
                  </w:r>
                </w:p>
              </w:tc>
              <w:tc>
                <w:tcPr>
                  <w:tcW w:w="187" w:type="pct"/>
                  <w:vAlign w:val="center"/>
                </w:tcPr>
                <w:p w14:paraId="249FFF8A">
                  <w:pPr>
                    <w:widowControl/>
                    <w:jc w:val="center"/>
                    <w:textAlignment w:val="center"/>
                    <w:rPr>
                      <w:color w:val="auto"/>
                      <w:sz w:val="18"/>
                      <w:szCs w:val="18"/>
                      <w:highlight w:val="none"/>
                    </w:rPr>
                  </w:pPr>
                  <w:r>
                    <w:rPr>
                      <w:color w:val="auto"/>
                      <w:kern w:val="0"/>
                      <w:sz w:val="18"/>
                      <w:szCs w:val="18"/>
                      <w:highlight w:val="none"/>
                      <w:lang w:bidi="ar"/>
                    </w:rPr>
                    <w:t>60.1</w:t>
                  </w:r>
                </w:p>
              </w:tc>
              <w:tc>
                <w:tcPr>
                  <w:tcW w:w="151" w:type="pct"/>
                  <w:vMerge w:val="restart"/>
                  <w:vAlign w:val="center"/>
                </w:tcPr>
                <w:p w14:paraId="074A883E">
                  <w:pPr>
                    <w:widowControl/>
                    <w:jc w:val="center"/>
                    <w:textAlignment w:val="center"/>
                    <w:rPr>
                      <w:color w:val="auto"/>
                      <w:sz w:val="18"/>
                      <w:szCs w:val="18"/>
                      <w:highlight w:val="none"/>
                    </w:rPr>
                  </w:pPr>
                  <w:r>
                    <w:rPr>
                      <w:color w:val="auto"/>
                      <w:kern w:val="0"/>
                      <w:sz w:val="18"/>
                      <w:szCs w:val="18"/>
                      <w:highlight w:val="none"/>
                      <w:lang w:bidi="ar"/>
                    </w:rPr>
                    <w:t>1</w:t>
                  </w:r>
                </w:p>
              </w:tc>
            </w:tr>
            <w:tr w14:paraId="3036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7" w:type="pct"/>
                  <w:vAlign w:val="center"/>
                </w:tcPr>
                <w:p w14:paraId="5A755E66">
                  <w:pPr>
                    <w:widowControl/>
                    <w:jc w:val="center"/>
                    <w:textAlignment w:val="center"/>
                    <w:rPr>
                      <w:rFonts w:eastAsia="Arial"/>
                      <w:color w:val="auto"/>
                      <w:sz w:val="18"/>
                      <w:szCs w:val="18"/>
                      <w:highlight w:val="none"/>
                    </w:rPr>
                  </w:pPr>
                  <w:r>
                    <w:rPr>
                      <w:color w:val="auto"/>
                      <w:kern w:val="0"/>
                      <w:sz w:val="18"/>
                      <w:szCs w:val="18"/>
                      <w:highlight w:val="none"/>
                      <w:lang w:bidi="ar"/>
                    </w:rPr>
                    <w:t>2</w:t>
                  </w:r>
                </w:p>
              </w:tc>
              <w:tc>
                <w:tcPr>
                  <w:tcW w:w="147" w:type="pct"/>
                  <w:vMerge w:val="continue"/>
                  <w:vAlign w:val="center"/>
                </w:tcPr>
                <w:p w14:paraId="62F2BB9C">
                  <w:pPr>
                    <w:jc w:val="center"/>
                    <w:rPr>
                      <w:rFonts w:ascii="宋体" w:hAnsi="宋体" w:cs="宋体"/>
                      <w:color w:val="auto"/>
                      <w:sz w:val="18"/>
                      <w:szCs w:val="18"/>
                      <w:highlight w:val="none"/>
                    </w:rPr>
                  </w:pPr>
                </w:p>
              </w:tc>
              <w:tc>
                <w:tcPr>
                  <w:tcW w:w="147" w:type="pct"/>
                  <w:vAlign w:val="center"/>
                </w:tcPr>
                <w:p w14:paraId="6CF099E8">
                  <w:pPr>
                    <w:widowControl/>
                    <w:jc w:val="center"/>
                    <w:textAlignment w:val="center"/>
                    <w:rPr>
                      <w:rFonts w:ascii="宋体" w:hAnsi="宋体" w:cs="宋体"/>
                      <w:color w:val="auto"/>
                      <w:sz w:val="18"/>
                      <w:szCs w:val="18"/>
                      <w:highlight w:val="none"/>
                    </w:rPr>
                  </w:pPr>
                  <w:r>
                    <w:rPr>
                      <w:rStyle w:val="66"/>
                      <w:rFonts w:hint="default"/>
                      <w:color w:val="auto"/>
                      <w:sz w:val="18"/>
                      <w:szCs w:val="18"/>
                      <w:highlight w:val="none"/>
                      <w:lang w:bidi="ar"/>
                    </w:rPr>
                    <w:t>提升泵</w:t>
                  </w:r>
                </w:p>
              </w:tc>
              <w:tc>
                <w:tcPr>
                  <w:tcW w:w="356" w:type="pct"/>
                  <w:vAlign w:val="center"/>
                </w:tcPr>
                <w:p w14:paraId="7E9CDE24">
                  <w:pPr>
                    <w:widowControl/>
                    <w:jc w:val="center"/>
                    <w:textAlignment w:val="center"/>
                    <w:rPr>
                      <w:rFonts w:eastAsia="Arial"/>
                      <w:color w:val="auto"/>
                      <w:sz w:val="18"/>
                      <w:szCs w:val="18"/>
                      <w:highlight w:val="none"/>
                    </w:rPr>
                  </w:pPr>
                  <w:r>
                    <w:rPr>
                      <w:color w:val="auto"/>
                      <w:kern w:val="0"/>
                      <w:sz w:val="18"/>
                      <w:szCs w:val="18"/>
                      <w:highlight w:val="none"/>
                      <w:lang w:bidi="ar"/>
                    </w:rPr>
                    <w:t>/</w:t>
                  </w:r>
                </w:p>
              </w:tc>
              <w:tc>
                <w:tcPr>
                  <w:tcW w:w="240" w:type="pct"/>
                  <w:vAlign w:val="center"/>
                </w:tcPr>
                <w:p w14:paraId="2BC942D5">
                  <w:pPr>
                    <w:widowControl/>
                    <w:jc w:val="center"/>
                    <w:textAlignment w:val="center"/>
                    <w:rPr>
                      <w:rFonts w:eastAsia="Arial"/>
                      <w:color w:val="auto"/>
                      <w:sz w:val="18"/>
                      <w:szCs w:val="18"/>
                      <w:highlight w:val="none"/>
                    </w:rPr>
                  </w:pPr>
                  <w:r>
                    <w:rPr>
                      <w:color w:val="auto"/>
                      <w:kern w:val="0"/>
                      <w:sz w:val="18"/>
                      <w:szCs w:val="18"/>
                      <w:highlight w:val="none"/>
                      <w:lang w:bidi="ar"/>
                    </w:rPr>
                    <w:t>80</w:t>
                  </w:r>
                </w:p>
              </w:tc>
              <w:tc>
                <w:tcPr>
                  <w:tcW w:w="112" w:type="pct"/>
                  <w:vMerge w:val="continue"/>
                  <w:vAlign w:val="center"/>
                </w:tcPr>
                <w:p w14:paraId="5B00E484">
                  <w:pPr>
                    <w:jc w:val="center"/>
                    <w:rPr>
                      <w:rFonts w:eastAsia="Arial"/>
                      <w:color w:val="auto"/>
                      <w:sz w:val="18"/>
                      <w:szCs w:val="18"/>
                      <w:highlight w:val="none"/>
                    </w:rPr>
                  </w:pPr>
                </w:p>
              </w:tc>
              <w:tc>
                <w:tcPr>
                  <w:tcW w:w="206" w:type="pct"/>
                  <w:vAlign w:val="center"/>
                </w:tcPr>
                <w:p w14:paraId="3D886706">
                  <w:pPr>
                    <w:widowControl/>
                    <w:jc w:val="center"/>
                    <w:textAlignment w:val="center"/>
                    <w:rPr>
                      <w:rFonts w:eastAsia="Arial"/>
                      <w:color w:val="auto"/>
                      <w:sz w:val="18"/>
                      <w:szCs w:val="18"/>
                      <w:highlight w:val="none"/>
                    </w:rPr>
                  </w:pPr>
                  <w:r>
                    <w:rPr>
                      <w:color w:val="auto"/>
                      <w:kern w:val="0"/>
                      <w:sz w:val="18"/>
                      <w:szCs w:val="18"/>
                      <w:highlight w:val="none"/>
                      <w:lang w:bidi="ar"/>
                    </w:rPr>
                    <w:t>4.1</w:t>
                  </w:r>
                </w:p>
              </w:tc>
              <w:tc>
                <w:tcPr>
                  <w:tcW w:w="215" w:type="pct"/>
                  <w:vAlign w:val="center"/>
                </w:tcPr>
                <w:p w14:paraId="7715B376">
                  <w:pPr>
                    <w:widowControl/>
                    <w:jc w:val="center"/>
                    <w:textAlignment w:val="center"/>
                    <w:rPr>
                      <w:rFonts w:eastAsia="Arial"/>
                      <w:color w:val="auto"/>
                      <w:sz w:val="18"/>
                      <w:szCs w:val="18"/>
                      <w:highlight w:val="none"/>
                    </w:rPr>
                  </w:pPr>
                  <w:r>
                    <w:rPr>
                      <w:color w:val="auto"/>
                      <w:kern w:val="0"/>
                      <w:sz w:val="18"/>
                      <w:szCs w:val="18"/>
                      <w:highlight w:val="none"/>
                      <w:lang w:bidi="ar"/>
                    </w:rPr>
                    <w:t>-2.4</w:t>
                  </w:r>
                </w:p>
              </w:tc>
              <w:tc>
                <w:tcPr>
                  <w:tcW w:w="167" w:type="pct"/>
                  <w:vAlign w:val="center"/>
                </w:tcPr>
                <w:p w14:paraId="6C28B0CD">
                  <w:pPr>
                    <w:widowControl/>
                    <w:jc w:val="center"/>
                    <w:textAlignment w:val="center"/>
                    <w:rPr>
                      <w:rFonts w:eastAsia="Arial"/>
                      <w:color w:val="auto"/>
                      <w:sz w:val="18"/>
                      <w:szCs w:val="18"/>
                      <w:highlight w:val="none"/>
                    </w:rPr>
                  </w:pPr>
                  <w:r>
                    <w:rPr>
                      <w:color w:val="auto"/>
                      <w:kern w:val="0"/>
                      <w:sz w:val="18"/>
                      <w:szCs w:val="18"/>
                      <w:highlight w:val="none"/>
                      <w:lang w:bidi="ar"/>
                    </w:rPr>
                    <w:t>1.2</w:t>
                  </w:r>
                </w:p>
              </w:tc>
              <w:tc>
                <w:tcPr>
                  <w:tcW w:w="183" w:type="pct"/>
                  <w:vAlign w:val="center"/>
                </w:tcPr>
                <w:p w14:paraId="0689CCFF">
                  <w:pPr>
                    <w:widowControl/>
                    <w:jc w:val="center"/>
                    <w:textAlignment w:val="center"/>
                    <w:rPr>
                      <w:rFonts w:eastAsia="Arial"/>
                      <w:color w:val="auto"/>
                      <w:sz w:val="18"/>
                      <w:szCs w:val="18"/>
                      <w:highlight w:val="none"/>
                    </w:rPr>
                  </w:pPr>
                  <w:r>
                    <w:rPr>
                      <w:color w:val="auto"/>
                      <w:kern w:val="0"/>
                      <w:sz w:val="18"/>
                      <w:szCs w:val="18"/>
                      <w:highlight w:val="none"/>
                      <w:lang w:bidi="ar"/>
                    </w:rPr>
                    <w:t>13.1</w:t>
                  </w:r>
                </w:p>
              </w:tc>
              <w:tc>
                <w:tcPr>
                  <w:tcW w:w="183" w:type="pct"/>
                  <w:vAlign w:val="center"/>
                </w:tcPr>
                <w:p w14:paraId="4FCE941C">
                  <w:pPr>
                    <w:widowControl/>
                    <w:jc w:val="center"/>
                    <w:textAlignment w:val="center"/>
                    <w:rPr>
                      <w:rFonts w:eastAsia="Arial"/>
                      <w:color w:val="auto"/>
                      <w:sz w:val="18"/>
                      <w:szCs w:val="18"/>
                      <w:highlight w:val="none"/>
                    </w:rPr>
                  </w:pPr>
                  <w:r>
                    <w:rPr>
                      <w:color w:val="auto"/>
                      <w:kern w:val="0"/>
                      <w:sz w:val="18"/>
                      <w:szCs w:val="18"/>
                      <w:highlight w:val="none"/>
                      <w:lang w:bidi="ar"/>
                    </w:rPr>
                    <w:t>3.7</w:t>
                  </w:r>
                </w:p>
              </w:tc>
              <w:tc>
                <w:tcPr>
                  <w:tcW w:w="152" w:type="pct"/>
                  <w:vAlign w:val="center"/>
                </w:tcPr>
                <w:p w14:paraId="1E53274A">
                  <w:pPr>
                    <w:widowControl/>
                    <w:jc w:val="center"/>
                    <w:textAlignment w:val="center"/>
                    <w:rPr>
                      <w:rFonts w:eastAsia="Arial"/>
                      <w:color w:val="auto"/>
                      <w:sz w:val="18"/>
                      <w:szCs w:val="18"/>
                      <w:highlight w:val="none"/>
                    </w:rPr>
                  </w:pPr>
                  <w:r>
                    <w:rPr>
                      <w:color w:val="auto"/>
                      <w:kern w:val="0"/>
                      <w:sz w:val="18"/>
                      <w:szCs w:val="18"/>
                      <w:highlight w:val="none"/>
                      <w:lang w:bidi="ar"/>
                    </w:rPr>
                    <w:t>2.6</w:t>
                  </w:r>
                </w:p>
              </w:tc>
              <w:tc>
                <w:tcPr>
                  <w:tcW w:w="198" w:type="pct"/>
                  <w:vAlign w:val="center"/>
                </w:tcPr>
                <w:p w14:paraId="16525039">
                  <w:pPr>
                    <w:widowControl/>
                    <w:jc w:val="center"/>
                    <w:textAlignment w:val="center"/>
                    <w:rPr>
                      <w:rFonts w:eastAsia="Arial"/>
                      <w:color w:val="auto"/>
                      <w:sz w:val="18"/>
                      <w:szCs w:val="18"/>
                      <w:highlight w:val="none"/>
                    </w:rPr>
                  </w:pPr>
                  <w:r>
                    <w:rPr>
                      <w:color w:val="auto"/>
                      <w:kern w:val="0"/>
                      <w:sz w:val="18"/>
                      <w:szCs w:val="18"/>
                      <w:highlight w:val="none"/>
                      <w:lang w:bidi="ar"/>
                    </w:rPr>
                    <w:t>11.2</w:t>
                  </w:r>
                </w:p>
              </w:tc>
              <w:tc>
                <w:tcPr>
                  <w:tcW w:w="183" w:type="pct"/>
                  <w:vAlign w:val="center"/>
                </w:tcPr>
                <w:p w14:paraId="333183E2">
                  <w:pPr>
                    <w:widowControl/>
                    <w:jc w:val="center"/>
                    <w:textAlignment w:val="center"/>
                    <w:rPr>
                      <w:rFonts w:eastAsia="Arial"/>
                      <w:color w:val="auto"/>
                      <w:sz w:val="18"/>
                      <w:szCs w:val="18"/>
                      <w:highlight w:val="none"/>
                    </w:rPr>
                  </w:pPr>
                  <w:r>
                    <w:rPr>
                      <w:color w:val="auto"/>
                      <w:kern w:val="0"/>
                      <w:sz w:val="18"/>
                      <w:szCs w:val="18"/>
                      <w:highlight w:val="none"/>
                      <w:lang w:bidi="ar"/>
                    </w:rPr>
                    <w:t>75.1</w:t>
                  </w:r>
                </w:p>
              </w:tc>
              <w:tc>
                <w:tcPr>
                  <w:tcW w:w="184" w:type="pct"/>
                  <w:vAlign w:val="center"/>
                </w:tcPr>
                <w:p w14:paraId="123DCA75">
                  <w:pPr>
                    <w:widowControl/>
                    <w:jc w:val="center"/>
                    <w:textAlignment w:val="center"/>
                    <w:rPr>
                      <w:rFonts w:eastAsia="Arial"/>
                      <w:color w:val="auto"/>
                      <w:sz w:val="18"/>
                      <w:szCs w:val="18"/>
                      <w:highlight w:val="none"/>
                    </w:rPr>
                  </w:pPr>
                  <w:r>
                    <w:rPr>
                      <w:color w:val="auto"/>
                      <w:kern w:val="0"/>
                      <w:sz w:val="18"/>
                      <w:szCs w:val="18"/>
                      <w:highlight w:val="none"/>
                      <w:lang w:bidi="ar"/>
                    </w:rPr>
                    <w:t>75.2</w:t>
                  </w:r>
                </w:p>
              </w:tc>
              <w:tc>
                <w:tcPr>
                  <w:tcW w:w="184" w:type="pct"/>
                  <w:vAlign w:val="center"/>
                </w:tcPr>
                <w:p w14:paraId="3EB0B05A">
                  <w:pPr>
                    <w:widowControl/>
                    <w:jc w:val="center"/>
                    <w:textAlignment w:val="center"/>
                    <w:rPr>
                      <w:rFonts w:eastAsia="Arial"/>
                      <w:color w:val="auto"/>
                      <w:sz w:val="18"/>
                      <w:szCs w:val="18"/>
                      <w:highlight w:val="none"/>
                    </w:rPr>
                  </w:pPr>
                  <w:r>
                    <w:rPr>
                      <w:color w:val="auto"/>
                      <w:kern w:val="0"/>
                      <w:sz w:val="18"/>
                      <w:szCs w:val="18"/>
                      <w:highlight w:val="none"/>
                      <w:lang w:bidi="ar"/>
                    </w:rPr>
                    <w:t>75.3</w:t>
                  </w:r>
                </w:p>
              </w:tc>
              <w:tc>
                <w:tcPr>
                  <w:tcW w:w="220" w:type="pct"/>
                  <w:vAlign w:val="center"/>
                </w:tcPr>
                <w:p w14:paraId="4FFEFB12">
                  <w:pPr>
                    <w:widowControl/>
                    <w:jc w:val="center"/>
                    <w:textAlignment w:val="center"/>
                    <w:rPr>
                      <w:rFonts w:eastAsia="Arial"/>
                      <w:color w:val="auto"/>
                      <w:sz w:val="18"/>
                      <w:szCs w:val="18"/>
                      <w:highlight w:val="none"/>
                    </w:rPr>
                  </w:pPr>
                  <w:r>
                    <w:rPr>
                      <w:color w:val="auto"/>
                      <w:kern w:val="0"/>
                      <w:sz w:val="18"/>
                      <w:szCs w:val="18"/>
                      <w:highlight w:val="none"/>
                      <w:lang w:bidi="ar"/>
                    </w:rPr>
                    <w:t>75.1</w:t>
                  </w:r>
                </w:p>
              </w:tc>
              <w:tc>
                <w:tcPr>
                  <w:tcW w:w="122" w:type="pct"/>
                  <w:vMerge w:val="continue"/>
                  <w:vAlign w:val="center"/>
                </w:tcPr>
                <w:p w14:paraId="27E3EAF8">
                  <w:pPr>
                    <w:jc w:val="center"/>
                    <w:rPr>
                      <w:rFonts w:eastAsia="Arial"/>
                      <w:color w:val="auto"/>
                      <w:sz w:val="18"/>
                      <w:szCs w:val="18"/>
                      <w:highlight w:val="none"/>
                    </w:rPr>
                  </w:pPr>
                </w:p>
              </w:tc>
              <w:tc>
                <w:tcPr>
                  <w:tcW w:w="183" w:type="pct"/>
                  <w:vAlign w:val="center"/>
                </w:tcPr>
                <w:p w14:paraId="0B106C85">
                  <w:pPr>
                    <w:widowControl/>
                    <w:jc w:val="center"/>
                    <w:textAlignment w:val="center"/>
                    <w:rPr>
                      <w:rFonts w:eastAsia="Arial"/>
                      <w:color w:val="auto"/>
                      <w:sz w:val="18"/>
                      <w:szCs w:val="18"/>
                      <w:highlight w:val="none"/>
                    </w:rPr>
                  </w:pPr>
                  <w:r>
                    <w:rPr>
                      <w:color w:val="auto"/>
                      <w:kern w:val="0"/>
                      <w:sz w:val="18"/>
                      <w:szCs w:val="18"/>
                      <w:highlight w:val="none"/>
                      <w:lang w:bidi="ar"/>
                    </w:rPr>
                    <w:t>15.0</w:t>
                  </w:r>
                </w:p>
              </w:tc>
              <w:tc>
                <w:tcPr>
                  <w:tcW w:w="183" w:type="pct"/>
                  <w:vAlign w:val="center"/>
                </w:tcPr>
                <w:p w14:paraId="745AF1F1">
                  <w:pPr>
                    <w:widowControl/>
                    <w:jc w:val="center"/>
                    <w:textAlignment w:val="center"/>
                    <w:rPr>
                      <w:rFonts w:eastAsia="Arial"/>
                      <w:color w:val="auto"/>
                      <w:sz w:val="18"/>
                      <w:szCs w:val="18"/>
                      <w:highlight w:val="none"/>
                    </w:rPr>
                  </w:pPr>
                  <w:r>
                    <w:rPr>
                      <w:color w:val="auto"/>
                      <w:kern w:val="0"/>
                      <w:sz w:val="18"/>
                      <w:szCs w:val="18"/>
                      <w:highlight w:val="none"/>
                      <w:lang w:bidi="ar"/>
                    </w:rPr>
                    <w:t>15.0</w:t>
                  </w:r>
                </w:p>
              </w:tc>
              <w:tc>
                <w:tcPr>
                  <w:tcW w:w="183" w:type="pct"/>
                  <w:vAlign w:val="center"/>
                </w:tcPr>
                <w:p w14:paraId="16CFD895">
                  <w:pPr>
                    <w:widowControl/>
                    <w:jc w:val="center"/>
                    <w:textAlignment w:val="center"/>
                    <w:rPr>
                      <w:rFonts w:eastAsia="Arial"/>
                      <w:color w:val="auto"/>
                      <w:sz w:val="18"/>
                      <w:szCs w:val="18"/>
                      <w:highlight w:val="none"/>
                    </w:rPr>
                  </w:pPr>
                  <w:r>
                    <w:rPr>
                      <w:color w:val="auto"/>
                      <w:kern w:val="0"/>
                      <w:sz w:val="18"/>
                      <w:szCs w:val="18"/>
                      <w:highlight w:val="none"/>
                      <w:lang w:bidi="ar"/>
                    </w:rPr>
                    <w:t>15.0</w:t>
                  </w:r>
                </w:p>
              </w:tc>
              <w:tc>
                <w:tcPr>
                  <w:tcW w:w="195" w:type="pct"/>
                  <w:vAlign w:val="center"/>
                </w:tcPr>
                <w:p w14:paraId="26664D43">
                  <w:pPr>
                    <w:widowControl/>
                    <w:jc w:val="center"/>
                    <w:textAlignment w:val="center"/>
                    <w:rPr>
                      <w:rFonts w:eastAsia="Arial"/>
                      <w:color w:val="auto"/>
                      <w:sz w:val="18"/>
                      <w:szCs w:val="18"/>
                      <w:highlight w:val="none"/>
                    </w:rPr>
                  </w:pPr>
                  <w:r>
                    <w:rPr>
                      <w:color w:val="auto"/>
                      <w:kern w:val="0"/>
                      <w:sz w:val="18"/>
                      <w:szCs w:val="18"/>
                      <w:highlight w:val="none"/>
                      <w:lang w:bidi="ar"/>
                    </w:rPr>
                    <w:t>15.0</w:t>
                  </w:r>
                </w:p>
              </w:tc>
              <w:tc>
                <w:tcPr>
                  <w:tcW w:w="187" w:type="pct"/>
                  <w:vAlign w:val="center"/>
                </w:tcPr>
                <w:p w14:paraId="44D20733">
                  <w:pPr>
                    <w:widowControl/>
                    <w:jc w:val="center"/>
                    <w:textAlignment w:val="center"/>
                    <w:rPr>
                      <w:color w:val="auto"/>
                      <w:sz w:val="18"/>
                      <w:szCs w:val="18"/>
                      <w:highlight w:val="none"/>
                    </w:rPr>
                  </w:pPr>
                  <w:r>
                    <w:rPr>
                      <w:color w:val="auto"/>
                      <w:kern w:val="0"/>
                      <w:sz w:val="18"/>
                      <w:szCs w:val="18"/>
                      <w:highlight w:val="none"/>
                      <w:lang w:bidi="ar"/>
                    </w:rPr>
                    <w:t>60.1</w:t>
                  </w:r>
                </w:p>
              </w:tc>
              <w:tc>
                <w:tcPr>
                  <w:tcW w:w="187" w:type="pct"/>
                  <w:vAlign w:val="center"/>
                </w:tcPr>
                <w:p w14:paraId="60313A17">
                  <w:pPr>
                    <w:widowControl/>
                    <w:jc w:val="center"/>
                    <w:textAlignment w:val="center"/>
                    <w:rPr>
                      <w:color w:val="auto"/>
                      <w:sz w:val="18"/>
                      <w:szCs w:val="18"/>
                      <w:highlight w:val="none"/>
                    </w:rPr>
                  </w:pPr>
                  <w:r>
                    <w:rPr>
                      <w:color w:val="auto"/>
                      <w:kern w:val="0"/>
                      <w:sz w:val="18"/>
                      <w:szCs w:val="18"/>
                      <w:highlight w:val="none"/>
                      <w:lang w:bidi="ar"/>
                    </w:rPr>
                    <w:t>60.2</w:t>
                  </w:r>
                </w:p>
              </w:tc>
              <w:tc>
                <w:tcPr>
                  <w:tcW w:w="187" w:type="pct"/>
                  <w:vAlign w:val="center"/>
                </w:tcPr>
                <w:p w14:paraId="32776550">
                  <w:pPr>
                    <w:widowControl/>
                    <w:jc w:val="center"/>
                    <w:textAlignment w:val="center"/>
                    <w:rPr>
                      <w:color w:val="auto"/>
                      <w:sz w:val="18"/>
                      <w:szCs w:val="18"/>
                      <w:highlight w:val="none"/>
                    </w:rPr>
                  </w:pPr>
                  <w:r>
                    <w:rPr>
                      <w:color w:val="auto"/>
                      <w:kern w:val="0"/>
                      <w:sz w:val="18"/>
                      <w:szCs w:val="18"/>
                      <w:highlight w:val="none"/>
                      <w:lang w:bidi="ar"/>
                    </w:rPr>
                    <w:t>60.3</w:t>
                  </w:r>
                </w:p>
              </w:tc>
              <w:tc>
                <w:tcPr>
                  <w:tcW w:w="187" w:type="pct"/>
                  <w:vAlign w:val="center"/>
                </w:tcPr>
                <w:p w14:paraId="75627ECF">
                  <w:pPr>
                    <w:widowControl/>
                    <w:jc w:val="center"/>
                    <w:textAlignment w:val="center"/>
                    <w:rPr>
                      <w:color w:val="auto"/>
                      <w:sz w:val="18"/>
                      <w:szCs w:val="18"/>
                      <w:highlight w:val="none"/>
                    </w:rPr>
                  </w:pPr>
                  <w:r>
                    <w:rPr>
                      <w:color w:val="auto"/>
                      <w:kern w:val="0"/>
                      <w:sz w:val="18"/>
                      <w:szCs w:val="18"/>
                      <w:highlight w:val="none"/>
                      <w:lang w:bidi="ar"/>
                    </w:rPr>
                    <w:t>60.1</w:t>
                  </w:r>
                </w:p>
              </w:tc>
              <w:tc>
                <w:tcPr>
                  <w:tcW w:w="151" w:type="pct"/>
                  <w:vMerge w:val="continue"/>
                  <w:vAlign w:val="center"/>
                </w:tcPr>
                <w:p w14:paraId="08006FAA">
                  <w:pPr>
                    <w:widowControl/>
                    <w:jc w:val="center"/>
                    <w:textAlignment w:val="center"/>
                    <w:rPr>
                      <w:rFonts w:eastAsia="Arial"/>
                      <w:color w:val="auto"/>
                      <w:sz w:val="18"/>
                      <w:szCs w:val="18"/>
                      <w:highlight w:val="none"/>
                    </w:rPr>
                  </w:pPr>
                </w:p>
              </w:tc>
            </w:tr>
            <w:tr w14:paraId="03F5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7" w:type="pct"/>
                  <w:vAlign w:val="center"/>
                </w:tcPr>
                <w:p w14:paraId="794DE86C">
                  <w:pPr>
                    <w:widowControl/>
                    <w:jc w:val="center"/>
                    <w:textAlignment w:val="center"/>
                    <w:rPr>
                      <w:bCs/>
                      <w:color w:val="auto"/>
                      <w:spacing w:val="-10"/>
                      <w:sz w:val="18"/>
                      <w:szCs w:val="18"/>
                      <w:highlight w:val="none"/>
                    </w:rPr>
                  </w:pPr>
                  <w:r>
                    <w:rPr>
                      <w:color w:val="auto"/>
                      <w:kern w:val="0"/>
                      <w:sz w:val="18"/>
                      <w:szCs w:val="18"/>
                      <w:highlight w:val="none"/>
                      <w:lang w:bidi="ar"/>
                    </w:rPr>
                    <w:t>3</w:t>
                  </w:r>
                </w:p>
              </w:tc>
              <w:tc>
                <w:tcPr>
                  <w:tcW w:w="147" w:type="pct"/>
                  <w:vMerge w:val="continue"/>
                  <w:vAlign w:val="center"/>
                </w:tcPr>
                <w:p w14:paraId="0F78EB18">
                  <w:pPr>
                    <w:jc w:val="center"/>
                    <w:rPr>
                      <w:rFonts w:ascii="宋体" w:hAnsi="宋体" w:cs="宋体"/>
                      <w:bCs/>
                      <w:color w:val="auto"/>
                      <w:spacing w:val="-10"/>
                      <w:sz w:val="18"/>
                      <w:szCs w:val="18"/>
                      <w:highlight w:val="none"/>
                    </w:rPr>
                  </w:pPr>
                </w:p>
              </w:tc>
              <w:tc>
                <w:tcPr>
                  <w:tcW w:w="147" w:type="pct"/>
                  <w:vAlign w:val="center"/>
                </w:tcPr>
                <w:p w14:paraId="3D5C94C7">
                  <w:pPr>
                    <w:widowControl/>
                    <w:jc w:val="center"/>
                    <w:textAlignment w:val="center"/>
                    <w:rPr>
                      <w:rFonts w:ascii="宋体" w:hAnsi="宋体" w:cs="宋体"/>
                      <w:bCs/>
                      <w:color w:val="auto"/>
                      <w:spacing w:val="-10"/>
                      <w:sz w:val="18"/>
                      <w:szCs w:val="18"/>
                      <w:highlight w:val="none"/>
                    </w:rPr>
                  </w:pPr>
                  <w:r>
                    <w:rPr>
                      <w:rFonts w:hint="eastAsia" w:ascii="宋体" w:hAnsi="宋体" w:cs="宋体"/>
                      <w:color w:val="auto"/>
                      <w:kern w:val="0"/>
                      <w:sz w:val="18"/>
                      <w:szCs w:val="18"/>
                      <w:highlight w:val="none"/>
                      <w:lang w:bidi="ar"/>
                    </w:rPr>
                    <w:t>皮带运输机</w:t>
                  </w:r>
                </w:p>
              </w:tc>
              <w:tc>
                <w:tcPr>
                  <w:tcW w:w="356" w:type="pct"/>
                  <w:vAlign w:val="center"/>
                </w:tcPr>
                <w:p w14:paraId="3A63AD89">
                  <w:pPr>
                    <w:widowControl/>
                    <w:jc w:val="center"/>
                    <w:textAlignment w:val="center"/>
                    <w:rPr>
                      <w:bCs/>
                      <w:color w:val="auto"/>
                      <w:spacing w:val="-10"/>
                      <w:sz w:val="18"/>
                      <w:szCs w:val="18"/>
                      <w:highlight w:val="none"/>
                    </w:rPr>
                  </w:pPr>
                  <w:r>
                    <w:rPr>
                      <w:color w:val="auto"/>
                      <w:kern w:val="0"/>
                      <w:sz w:val="18"/>
                      <w:szCs w:val="18"/>
                      <w:highlight w:val="none"/>
                      <w:lang w:bidi="ar"/>
                    </w:rPr>
                    <w:t>/</w:t>
                  </w:r>
                </w:p>
              </w:tc>
              <w:tc>
                <w:tcPr>
                  <w:tcW w:w="240" w:type="pct"/>
                  <w:vAlign w:val="center"/>
                </w:tcPr>
                <w:p w14:paraId="1B4C1EB2">
                  <w:pPr>
                    <w:widowControl/>
                    <w:jc w:val="center"/>
                    <w:textAlignment w:val="center"/>
                    <w:rPr>
                      <w:bCs/>
                      <w:color w:val="auto"/>
                      <w:spacing w:val="-10"/>
                      <w:sz w:val="18"/>
                      <w:szCs w:val="18"/>
                      <w:highlight w:val="none"/>
                    </w:rPr>
                  </w:pPr>
                  <w:r>
                    <w:rPr>
                      <w:color w:val="auto"/>
                      <w:kern w:val="0"/>
                      <w:sz w:val="18"/>
                      <w:szCs w:val="18"/>
                      <w:highlight w:val="none"/>
                      <w:lang w:bidi="ar"/>
                    </w:rPr>
                    <w:t>68</w:t>
                  </w:r>
                </w:p>
              </w:tc>
              <w:tc>
                <w:tcPr>
                  <w:tcW w:w="112" w:type="pct"/>
                  <w:vMerge w:val="continue"/>
                  <w:vAlign w:val="center"/>
                </w:tcPr>
                <w:p w14:paraId="0A258D66">
                  <w:pPr>
                    <w:jc w:val="center"/>
                    <w:rPr>
                      <w:bCs/>
                      <w:color w:val="auto"/>
                      <w:spacing w:val="-10"/>
                      <w:sz w:val="18"/>
                      <w:szCs w:val="18"/>
                      <w:highlight w:val="none"/>
                    </w:rPr>
                  </w:pPr>
                </w:p>
              </w:tc>
              <w:tc>
                <w:tcPr>
                  <w:tcW w:w="206" w:type="pct"/>
                  <w:vAlign w:val="center"/>
                </w:tcPr>
                <w:p w14:paraId="732050B1">
                  <w:pPr>
                    <w:widowControl/>
                    <w:jc w:val="center"/>
                    <w:textAlignment w:val="center"/>
                    <w:rPr>
                      <w:bCs/>
                      <w:color w:val="auto"/>
                      <w:spacing w:val="-10"/>
                      <w:sz w:val="18"/>
                      <w:szCs w:val="18"/>
                      <w:highlight w:val="none"/>
                    </w:rPr>
                  </w:pPr>
                  <w:r>
                    <w:rPr>
                      <w:color w:val="auto"/>
                      <w:kern w:val="0"/>
                      <w:sz w:val="18"/>
                      <w:szCs w:val="18"/>
                      <w:highlight w:val="none"/>
                      <w:lang w:bidi="ar"/>
                    </w:rPr>
                    <w:t xml:space="preserve">3.3 </w:t>
                  </w:r>
                </w:p>
              </w:tc>
              <w:tc>
                <w:tcPr>
                  <w:tcW w:w="215" w:type="pct"/>
                  <w:vAlign w:val="center"/>
                </w:tcPr>
                <w:p w14:paraId="06DA4CBD">
                  <w:pPr>
                    <w:widowControl/>
                    <w:jc w:val="center"/>
                    <w:textAlignment w:val="center"/>
                    <w:rPr>
                      <w:color w:val="auto"/>
                      <w:sz w:val="18"/>
                      <w:szCs w:val="18"/>
                      <w:highlight w:val="none"/>
                    </w:rPr>
                  </w:pPr>
                  <w:r>
                    <w:rPr>
                      <w:color w:val="auto"/>
                      <w:kern w:val="0"/>
                      <w:sz w:val="18"/>
                      <w:szCs w:val="18"/>
                      <w:highlight w:val="none"/>
                      <w:lang w:bidi="ar"/>
                    </w:rPr>
                    <w:t xml:space="preserve">-2.7 </w:t>
                  </w:r>
                </w:p>
              </w:tc>
              <w:tc>
                <w:tcPr>
                  <w:tcW w:w="167" w:type="pct"/>
                  <w:vAlign w:val="center"/>
                </w:tcPr>
                <w:p w14:paraId="4D880A8F">
                  <w:pPr>
                    <w:widowControl/>
                    <w:jc w:val="center"/>
                    <w:textAlignment w:val="center"/>
                    <w:rPr>
                      <w:color w:val="auto"/>
                      <w:sz w:val="18"/>
                      <w:szCs w:val="18"/>
                      <w:highlight w:val="none"/>
                    </w:rPr>
                  </w:pPr>
                  <w:r>
                    <w:rPr>
                      <w:color w:val="auto"/>
                      <w:kern w:val="0"/>
                      <w:sz w:val="18"/>
                      <w:szCs w:val="18"/>
                      <w:highlight w:val="none"/>
                      <w:lang w:bidi="ar"/>
                    </w:rPr>
                    <w:t xml:space="preserve">1.2 </w:t>
                  </w:r>
                </w:p>
              </w:tc>
              <w:tc>
                <w:tcPr>
                  <w:tcW w:w="183" w:type="pct"/>
                  <w:vAlign w:val="center"/>
                </w:tcPr>
                <w:p w14:paraId="69819745">
                  <w:pPr>
                    <w:widowControl/>
                    <w:jc w:val="center"/>
                    <w:textAlignment w:val="center"/>
                    <w:rPr>
                      <w:bCs/>
                      <w:color w:val="auto"/>
                      <w:spacing w:val="-10"/>
                      <w:sz w:val="18"/>
                      <w:szCs w:val="18"/>
                      <w:highlight w:val="none"/>
                    </w:rPr>
                  </w:pPr>
                  <w:r>
                    <w:rPr>
                      <w:color w:val="auto"/>
                      <w:kern w:val="0"/>
                      <w:sz w:val="18"/>
                      <w:szCs w:val="18"/>
                      <w:highlight w:val="none"/>
                      <w:lang w:bidi="ar"/>
                    </w:rPr>
                    <w:t xml:space="preserve">14.0 </w:t>
                  </w:r>
                </w:p>
              </w:tc>
              <w:tc>
                <w:tcPr>
                  <w:tcW w:w="183" w:type="pct"/>
                  <w:vAlign w:val="center"/>
                </w:tcPr>
                <w:p w14:paraId="15744A19">
                  <w:pPr>
                    <w:widowControl/>
                    <w:jc w:val="center"/>
                    <w:textAlignment w:val="center"/>
                    <w:rPr>
                      <w:color w:val="auto"/>
                      <w:sz w:val="18"/>
                      <w:szCs w:val="18"/>
                      <w:highlight w:val="none"/>
                    </w:rPr>
                  </w:pPr>
                  <w:r>
                    <w:rPr>
                      <w:color w:val="auto"/>
                      <w:kern w:val="0"/>
                      <w:sz w:val="18"/>
                      <w:szCs w:val="18"/>
                      <w:highlight w:val="none"/>
                      <w:lang w:bidi="ar"/>
                    </w:rPr>
                    <w:t xml:space="preserve">3.8 </w:t>
                  </w:r>
                </w:p>
              </w:tc>
              <w:tc>
                <w:tcPr>
                  <w:tcW w:w="152" w:type="pct"/>
                  <w:vAlign w:val="center"/>
                </w:tcPr>
                <w:p w14:paraId="66F82CE0">
                  <w:pPr>
                    <w:widowControl/>
                    <w:jc w:val="center"/>
                    <w:textAlignment w:val="center"/>
                    <w:rPr>
                      <w:color w:val="auto"/>
                      <w:sz w:val="18"/>
                      <w:szCs w:val="18"/>
                      <w:highlight w:val="none"/>
                    </w:rPr>
                  </w:pPr>
                  <w:r>
                    <w:rPr>
                      <w:color w:val="auto"/>
                      <w:kern w:val="0"/>
                      <w:sz w:val="18"/>
                      <w:szCs w:val="18"/>
                      <w:highlight w:val="none"/>
                      <w:lang w:bidi="ar"/>
                    </w:rPr>
                    <w:t xml:space="preserve">2.5 </w:t>
                  </w:r>
                </w:p>
              </w:tc>
              <w:tc>
                <w:tcPr>
                  <w:tcW w:w="198" w:type="pct"/>
                  <w:vAlign w:val="center"/>
                </w:tcPr>
                <w:p w14:paraId="19FF56B5">
                  <w:pPr>
                    <w:widowControl/>
                    <w:jc w:val="center"/>
                    <w:textAlignment w:val="center"/>
                    <w:rPr>
                      <w:color w:val="auto"/>
                      <w:sz w:val="18"/>
                      <w:szCs w:val="18"/>
                      <w:highlight w:val="none"/>
                    </w:rPr>
                  </w:pPr>
                  <w:r>
                    <w:rPr>
                      <w:color w:val="auto"/>
                      <w:kern w:val="0"/>
                      <w:sz w:val="18"/>
                      <w:szCs w:val="18"/>
                      <w:highlight w:val="none"/>
                      <w:lang w:bidi="ar"/>
                    </w:rPr>
                    <w:t xml:space="preserve">11.0 </w:t>
                  </w:r>
                </w:p>
              </w:tc>
              <w:tc>
                <w:tcPr>
                  <w:tcW w:w="183" w:type="pct"/>
                  <w:vAlign w:val="center"/>
                </w:tcPr>
                <w:p w14:paraId="679FE5E2">
                  <w:pPr>
                    <w:widowControl/>
                    <w:jc w:val="center"/>
                    <w:textAlignment w:val="center"/>
                    <w:rPr>
                      <w:bCs/>
                      <w:color w:val="auto"/>
                      <w:spacing w:val="-10"/>
                      <w:sz w:val="18"/>
                      <w:szCs w:val="18"/>
                      <w:highlight w:val="none"/>
                    </w:rPr>
                  </w:pPr>
                  <w:r>
                    <w:rPr>
                      <w:color w:val="auto"/>
                      <w:kern w:val="0"/>
                      <w:sz w:val="18"/>
                      <w:szCs w:val="18"/>
                      <w:highlight w:val="none"/>
                      <w:lang w:bidi="ar"/>
                    </w:rPr>
                    <w:t xml:space="preserve">63.1 </w:t>
                  </w:r>
                </w:p>
              </w:tc>
              <w:tc>
                <w:tcPr>
                  <w:tcW w:w="184" w:type="pct"/>
                  <w:vAlign w:val="center"/>
                </w:tcPr>
                <w:p w14:paraId="0243D9CE">
                  <w:pPr>
                    <w:widowControl/>
                    <w:jc w:val="center"/>
                    <w:textAlignment w:val="center"/>
                    <w:rPr>
                      <w:color w:val="auto"/>
                      <w:sz w:val="18"/>
                      <w:szCs w:val="18"/>
                      <w:highlight w:val="none"/>
                    </w:rPr>
                  </w:pPr>
                  <w:r>
                    <w:rPr>
                      <w:color w:val="auto"/>
                      <w:kern w:val="0"/>
                      <w:sz w:val="18"/>
                      <w:szCs w:val="18"/>
                      <w:highlight w:val="none"/>
                      <w:lang w:bidi="ar"/>
                    </w:rPr>
                    <w:t xml:space="preserve">63.2 </w:t>
                  </w:r>
                </w:p>
              </w:tc>
              <w:tc>
                <w:tcPr>
                  <w:tcW w:w="184" w:type="pct"/>
                  <w:vAlign w:val="center"/>
                </w:tcPr>
                <w:p w14:paraId="3270E714">
                  <w:pPr>
                    <w:widowControl/>
                    <w:jc w:val="center"/>
                    <w:textAlignment w:val="center"/>
                    <w:rPr>
                      <w:color w:val="auto"/>
                      <w:sz w:val="18"/>
                      <w:szCs w:val="18"/>
                      <w:highlight w:val="none"/>
                    </w:rPr>
                  </w:pPr>
                  <w:r>
                    <w:rPr>
                      <w:color w:val="auto"/>
                      <w:kern w:val="0"/>
                      <w:sz w:val="18"/>
                      <w:szCs w:val="18"/>
                      <w:highlight w:val="none"/>
                      <w:lang w:bidi="ar"/>
                    </w:rPr>
                    <w:t xml:space="preserve">63.3 </w:t>
                  </w:r>
                </w:p>
              </w:tc>
              <w:tc>
                <w:tcPr>
                  <w:tcW w:w="220" w:type="pct"/>
                  <w:vAlign w:val="center"/>
                </w:tcPr>
                <w:p w14:paraId="34D89728">
                  <w:pPr>
                    <w:widowControl/>
                    <w:jc w:val="center"/>
                    <w:textAlignment w:val="center"/>
                    <w:rPr>
                      <w:color w:val="auto"/>
                      <w:sz w:val="18"/>
                      <w:szCs w:val="18"/>
                      <w:highlight w:val="none"/>
                    </w:rPr>
                  </w:pPr>
                  <w:r>
                    <w:rPr>
                      <w:color w:val="auto"/>
                      <w:kern w:val="0"/>
                      <w:sz w:val="18"/>
                      <w:szCs w:val="18"/>
                      <w:highlight w:val="none"/>
                      <w:lang w:bidi="ar"/>
                    </w:rPr>
                    <w:t xml:space="preserve">63.1 </w:t>
                  </w:r>
                </w:p>
              </w:tc>
              <w:tc>
                <w:tcPr>
                  <w:tcW w:w="122" w:type="pct"/>
                  <w:vMerge w:val="continue"/>
                  <w:vAlign w:val="center"/>
                </w:tcPr>
                <w:p w14:paraId="7444202E">
                  <w:pPr>
                    <w:jc w:val="center"/>
                    <w:rPr>
                      <w:bCs/>
                      <w:color w:val="auto"/>
                      <w:spacing w:val="-10"/>
                      <w:sz w:val="18"/>
                      <w:szCs w:val="18"/>
                      <w:highlight w:val="none"/>
                    </w:rPr>
                  </w:pPr>
                </w:p>
              </w:tc>
              <w:tc>
                <w:tcPr>
                  <w:tcW w:w="183" w:type="pct"/>
                  <w:vAlign w:val="center"/>
                </w:tcPr>
                <w:p w14:paraId="3BE60B85">
                  <w:pPr>
                    <w:widowControl/>
                    <w:jc w:val="center"/>
                    <w:textAlignment w:val="center"/>
                    <w:rPr>
                      <w:bCs/>
                      <w:color w:val="auto"/>
                      <w:spacing w:val="-10"/>
                      <w:sz w:val="18"/>
                      <w:szCs w:val="18"/>
                      <w:highlight w:val="none"/>
                    </w:rPr>
                  </w:pPr>
                  <w:r>
                    <w:rPr>
                      <w:color w:val="auto"/>
                      <w:kern w:val="0"/>
                      <w:sz w:val="18"/>
                      <w:szCs w:val="18"/>
                      <w:highlight w:val="none"/>
                      <w:lang w:bidi="ar"/>
                    </w:rPr>
                    <w:t xml:space="preserve">15.0 </w:t>
                  </w:r>
                </w:p>
              </w:tc>
              <w:tc>
                <w:tcPr>
                  <w:tcW w:w="183" w:type="pct"/>
                  <w:vAlign w:val="center"/>
                </w:tcPr>
                <w:p w14:paraId="6601CFC7">
                  <w:pPr>
                    <w:widowControl/>
                    <w:jc w:val="center"/>
                    <w:textAlignment w:val="center"/>
                    <w:rPr>
                      <w:color w:val="auto"/>
                      <w:sz w:val="18"/>
                      <w:szCs w:val="18"/>
                      <w:highlight w:val="none"/>
                    </w:rPr>
                  </w:pPr>
                  <w:r>
                    <w:rPr>
                      <w:color w:val="auto"/>
                      <w:kern w:val="0"/>
                      <w:sz w:val="18"/>
                      <w:szCs w:val="18"/>
                      <w:highlight w:val="none"/>
                      <w:lang w:bidi="ar"/>
                    </w:rPr>
                    <w:t xml:space="preserve">15.0 </w:t>
                  </w:r>
                </w:p>
              </w:tc>
              <w:tc>
                <w:tcPr>
                  <w:tcW w:w="183" w:type="pct"/>
                  <w:vAlign w:val="center"/>
                </w:tcPr>
                <w:p w14:paraId="13DF8BA3">
                  <w:pPr>
                    <w:widowControl/>
                    <w:jc w:val="center"/>
                    <w:textAlignment w:val="center"/>
                    <w:rPr>
                      <w:color w:val="auto"/>
                      <w:sz w:val="18"/>
                      <w:szCs w:val="18"/>
                      <w:highlight w:val="none"/>
                    </w:rPr>
                  </w:pPr>
                  <w:r>
                    <w:rPr>
                      <w:color w:val="auto"/>
                      <w:kern w:val="0"/>
                      <w:sz w:val="18"/>
                      <w:szCs w:val="18"/>
                      <w:highlight w:val="none"/>
                      <w:lang w:bidi="ar"/>
                    </w:rPr>
                    <w:t xml:space="preserve">15.0 </w:t>
                  </w:r>
                </w:p>
              </w:tc>
              <w:tc>
                <w:tcPr>
                  <w:tcW w:w="195" w:type="pct"/>
                  <w:vAlign w:val="center"/>
                </w:tcPr>
                <w:p w14:paraId="4EF2FF0B">
                  <w:pPr>
                    <w:widowControl/>
                    <w:jc w:val="center"/>
                    <w:textAlignment w:val="center"/>
                    <w:rPr>
                      <w:color w:val="auto"/>
                      <w:sz w:val="18"/>
                      <w:szCs w:val="18"/>
                      <w:highlight w:val="none"/>
                    </w:rPr>
                  </w:pPr>
                  <w:r>
                    <w:rPr>
                      <w:color w:val="auto"/>
                      <w:kern w:val="0"/>
                      <w:sz w:val="18"/>
                      <w:szCs w:val="18"/>
                      <w:highlight w:val="none"/>
                      <w:lang w:bidi="ar"/>
                    </w:rPr>
                    <w:t xml:space="preserve">15.0 </w:t>
                  </w:r>
                </w:p>
              </w:tc>
              <w:tc>
                <w:tcPr>
                  <w:tcW w:w="187" w:type="pct"/>
                  <w:vAlign w:val="center"/>
                </w:tcPr>
                <w:p w14:paraId="5FF21552">
                  <w:pPr>
                    <w:widowControl/>
                    <w:jc w:val="center"/>
                    <w:textAlignment w:val="center"/>
                    <w:rPr>
                      <w:bCs/>
                      <w:color w:val="auto"/>
                      <w:spacing w:val="-10"/>
                      <w:sz w:val="18"/>
                      <w:szCs w:val="18"/>
                      <w:highlight w:val="none"/>
                    </w:rPr>
                  </w:pPr>
                  <w:r>
                    <w:rPr>
                      <w:color w:val="auto"/>
                      <w:kern w:val="0"/>
                      <w:sz w:val="18"/>
                      <w:szCs w:val="18"/>
                      <w:highlight w:val="none"/>
                      <w:lang w:bidi="ar"/>
                    </w:rPr>
                    <w:t xml:space="preserve">48.1 </w:t>
                  </w:r>
                </w:p>
              </w:tc>
              <w:tc>
                <w:tcPr>
                  <w:tcW w:w="187" w:type="pct"/>
                  <w:vAlign w:val="center"/>
                </w:tcPr>
                <w:p w14:paraId="5C931C84">
                  <w:pPr>
                    <w:widowControl/>
                    <w:jc w:val="center"/>
                    <w:textAlignment w:val="center"/>
                    <w:rPr>
                      <w:color w:val="auto"/>
                      <w:sz w:val="18"/>
                      <w:szCs w:val="18"/>
                      <w:highlight w:val="none"/>
                    </w:rPr>
                  </w:pPr>
                  <w:r>
                    <w:rPr>
                      <w:color w:val="auto"/>
                      <w:kern w:val="0"/>
                      <w:sz w:val="18"/>
                      <w:szCs w:val="18"/>
                      <w:highlight w:val="none"/>
                      <w:lang w:bidi="ar"/>
                    </w:rPr>
                    <w:t xml:space="preserve">48.2 </w:t>
                  </w:r>
                </w:p>
              </w:tc>
              <w:tc>
                <w:tcPr>
                  <w:tcW w:w="187" w:type="pct"/>
                  <w:vAlign w:val="center"/>
                </w:tcPr>
                <w:p w14:paraId="470DF586">
                  <w:pPr>
                    <w:widowControl/>
                    <w:jc w:val="center"/>
                    <w:textAlignment w:val="center"/>
                    <w:rPr>
                      <w:color w:val="auto"/>
                      <w:sz w:val="18"/>
                      <w:szCs w:val="18"/>
                      <w:highlight w:val="none"/>
                    </w:rPr>
                  </w:pPr>
                  <w:r>
                    <w:rPr>
                      <w:color w:val="auto"/>
                      <w:kern w:val="0"/>
                      <w:sz w:val="18"/>
                      <w:szCs w:val="18"/>
                      <w:highlight w:val="none"/>
                      <w:lang w:bidi="ar"/>
                    </w:rPr>
                    <w:t xml:space="preserve">48.3 </w:t>
                  </w:r>
                </w:p>
              </w:tc>
              <w:tc>
                <w:tcPr>
                  <w:tcW w:w="187" w:type="pct"/>
                  <w:vAlign w:val="center"/>
                </w:tcPr>
                <w:p w14:paraId="1401578D">
                  <w:pPr>
                    <w:widowControl/>
                    <w:jc w:val="center"/>
                    <w:textAlignment w:val="center"/>
                    <w:rPr>
                      <w:color w:val="auto"/>
                      <w:sz w:val="18"/>
                      <w:szCs w:val="18"/>
                      <w:highlight w:val="none"/>
                    </w:rPr>
                  </w:pPr>
                  <w:r>
                    <w:rPr>
                      <w:color w:val="auto"/>
                      <w:kern w:val="0"/>
                      <w:sz w:val="18"/>
                      <w:szCs w:val="18"/>
                      <w:highlight w:val="none"/>
                      <w:lang w:bidi="ar"/>
                    </w:rPr>
                    <w:t xml:space="preserve">48.1 </w:t>
                  </w:r>
                </w:p>
              </w:tc>
              <w:tc>
                <w:tcPr>
                  <w:tcW w:w="151" w:type="pct"/>
                  <w:vMerge w:val="continue"/>
                  <w:vAlign w:val="center"/>
                </w:tcPr>
                <w:p w14:paraId="414D05F7">
                  <w:pPr>
                    <w:widowControl/>
                    <w:jc w:val="center"/>
                    <w:textAlignment w:val="center"/>
                    <w:rPr>
                      <w:color w:val="auto"/>
                      <w:sz w:val="18"/>
                      <w:szCs w:val="18"/>
                      <w:highlight w:val="none"/>
                    </w:rPr>
                  </w:pPr>
                </w:p>
              </w:tc>
            </w:tr>
            <w:tr w14:paraId="0FE1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 w:type="pct"/>
                  <w:vAlign w:val="center"/>
                </w:tcPr>
                <w:p w14:paraId="617122D7">
                  <w:pPr>
                    <w:widowControl/>
                    <w:jc w:val="center"/>
                    <w:textAlignment w:val="center"/>
                    <w:rPr>
                      <w:rFonts w:eastAsia="Arial"/>
                      <w:color w:val="auto"/>
                      <w:sz w:val="18"/>
                      <w:szCs w:val="18"/>
                      <w:highlight w:val="none"/>
                    </w:rPr>
                  </w:pPr>
                  <w:r>
                    <w:rPr>
                      <w:color w:val="auto"/>
                      <w:kern w:val="0"/>
                      <w:sz w:val="18"/>
                      <w:szCs w:val="18"/>
                      <w:highlight w:val="none"/>
                      <w:lang w:bidi="ar"/>
                    </w:rPr>
                    <w:t>4</w:t>
                  </w:r>
                </w:p>
              </w:tc>
              <w:tc>
                <w:tcPr>
                  <w:tcW w:w="147" w:type="pct"/>
                  <w:vMerge w:val="continue"/>
                  <w:vAlign w:val="center"/>
                </w:tcPr>
                <w:p w14:paraId="75B4D025">
                  <w:pPr>
                    <w:jc w:val="center"/>
                    <w:rPr>
                      <w:rFonts w:ascii="宋体" w:hAnsi="宋体" w:cs="宋体"/>
                      <w:color w:val="auto"/>
                      <w:sz w:val="18"/>
                      <w:szCs w:val="18"/>
                      <w:highlight w:val="none"/>
                    </w:rPr>
                  </w:pPr>
                </w:p>
              </w:tc>
              <w:tc>
                <w:tcPr>
                  <w:tcW w:w="147" w:type="pct"/>
                  <w:vAlign w:val="center"/>
                </w:tcPr>
                <w:p w14:paraId="7BBA75DC">
                  <w:pPr>
                    <w:widowControl/>
                    <w:jc w:val="center"/>
                    <w:textAlignment w:val="center"/>
                    <w:rPr>
                      <w:rFonts w:ascii="宋体" w:hAnsi="宋体" w:cs="宋体"/>
                      <w:color w:val="auto"/>
                      <w:sz w:val="18"/>
                      <w:szCs w:val="18"/>
                      <w:highlight w:val="none"/>
                    </w:rPr>
                  </w:pPr>
                  <w:r>
                    <w:rPr>
                      <w:rStyle w:val="66"/>
                      <w:rFonts w:hint="default"/>
                      <w:color w:val="auto"/>
                      <w:sz w:val="18"/>
                      <w:szCs w:val="18"/>
                      <w:highlight w:val="none"/>
                      <w:lang w:bidi="ar"/>
                    </w:rPr>
                    <w:t>葛根粉碎机</w:t>
                  </w:r>
                </w:p>
              </w:tc>
              <w:tc>
                <w:tcPr>
                  <w:tcW w:w="356" w:type="pct"/>
                  <w:vAlign w:val="center"/>
                </w:tcPr>
                <w:p w14:paraId="58B16ABA">
                  <w:pPr>
                    <w:widowControl/>
                    <w:jc w:val="center"/>
                    <w:textAlignment w:val="center"/>
                    <w:rPr>
                      <w:rFonts w:eastAsia="Arial"/>
                      <w:color w:val="auto"/>
                      <w:sz w:val="18"/>
                      <w:szCs w:val="18"/>
                      <w:highlight w:val="none"/>
                    </w:rPr>
                  </w:pPr>
                  <w:r>
                    <w:rPr>
                      <w:color w:val="auto"/>
                      <w:kern w:val="0"/>
                      <w:sz w:val="18"/>
                      <w:szCs w:val="18"/>
                      <w:highlight w:val="none"/>
                      <w:lang w:bidi="ar"/>
                    </w:rPr>
                    <w:t>PS-520C</w:t>
                  </w:r>
                  <w:r>
                    <w:rPr>
                      <w:rStyle w:val="66"/>
                      <w:rFonts w:hint="default"/>
                      <w:color w:val="auto"/>
                      <w:sz w:val="18"/>
                      <w:szCs w:val="18"/>
                      <w:highlight w:val="none"/>
                      <w:lang w:bidi="ar"/>
                    </w:rPr>
                    <w:t>型改装</w:t>
                  </w:r>
                </w:p>
              </w:tc>
              <w:tc>
                <w:tcPr>
                  <w:tcW w:w="240" w:type="pct"/>
                  <w:vAlign w:val="center"/>
                </w:tcPr>
                <w:p w14:paraId="6FFCED1D">
                  <w:pPr>
                    <w:widowControl/>
                    <w:jc w:val="center"/>
                    <w:textAlignment w:val="center"/>
                    <w:rPr>
                      <w:rFonts w:eastAsia="Arial"/>
                      <w:color w:val="auto"/>
                      <w:sz w:val="18"/>
                      <w:szCs w:val="18"/>
                      <w:highlight w:val="none"/>
                    </w:rPr>
                  </w:pPr>
                  <w:r>
                    <w:rPr>
                      <w:color w:val="auto"/>
                      <w:kern w:val="0"/>
                      <w:sz w:val="18"/>
                      <w:szCs w:val="18"/>
                      <w:highlight w:val="none"/>
                      <w:lang w:bidi="ar"/>
                    </w:rPr>
                    <w:t>78</w:t>
                  </w:r>
                </w:p>
              </w:tc>
              <w:tc>
                <w:tcPr>
                  <w:tcW w:w="112" w:type="pct"/>
                  <w:vMerge w:val="continue"/>
                  <w:vAlign w:val="center"/>
                </w:tcPr>
                <w:p w14:paraId="0FAE2FAD">
                  <w:pPr>
                    <w:jc w:val="center"/>
                    <w:rPr>
                      <w:rFonts w:eastAsia="Arial"/>
                      <w:color w:val="auto"/>
                      <w:sz w:val="18"/>
                      <w:szCs w:val="18"/>
                      <w:highlight w:val="none"/>
                    </w:rPr>
                  </w:pPr>
                </w:p>
              </w:tc>
              <w:tc>
                <w:tcPr>
                  <w:tcW w:w="206" w:type="pct"/>
                  <w:vAlign w:val="center"/>
                </w:tcPr>
                <w:p w14:paraId="0830737B">
                  <w:pPr>
                    <w:widowControl/>
                    <w:jc w:val="center"/>
                    <w:textAlignment w:val="center"/>
                    <w:rPr>
                      <w:rFonts w:eastAsia="Arial"/>
                      <w:color w:val="auto"/>
                      <w:sz w:val="18"/>
                      <w:szCs w:val="18"/>
                      <w:highlight w:val="none"/>
                    </w:rPr>
                  </w:pPr>
                  <w:r>
                    <w:rPr>
                      <w:color w:val="auto"/>
                      <w:kern w:val="0"/>
                      <w:sz w:val="18"/>
                      <w:szCs w:val="18"/>
                      <w:highlight w:val="none"/>
                      <w:lang w:bidi="ar"/>
                    </w:rPr>
                    <w:t>2.2</w:t>
                  </w:r>
                </w:p>
              </w:tc>
              <w:tc>
                <w:tcPr>
                  <w:tcW w:w="215" w:type="pct"/>
                  <w:vAlign w:val="center"/>
                </w:tcPr>
                <w:p w14:paraId="365A31B4">
                  <w:pPr>
                    <w:widowControl/>
                    <w:jc w:val="center"/>
                    <w:textAlignment w:val="center"/>
                    <w:rPr>
                      <w:rFonts w:eastAsia="Arial"/>
                      <w:color w:val="auto"/>
                      <w:sz w:val="18"/>
                      <w:szCs w:val="18"/>
                      <w:highlight w:val="none"/>
                    </w:rPr>
                  </w:pPr>
                  <w:r>
                    <w:rPr>
                      <w:color w:val="auto"/>
                      <w:kern w:val="0"/>
                      <w:sz w:val="18"/>
                      <w:szCs w:val="18"/>
                      <w:highlight w:val="none"/>
                      <w:lang w:bidi="ar"/>
                    </w:rPr>
                    <w:t>-3.3</w:t>
                  </w:r>
                </w:p>
              </w:tc>
              <w:tc>
                <w:tcPr>
                  <w:tcW w:w="167" w:type="pct"/>
                  <w:vAlign w:val="center"/>
                </w:tcPr>
                <w:p w14:paraId="35C98457">
                  <w:pPr>
                    <w:widowControl/>
                    <w:jc w:val="center"/>
                    <w:textAlignment w:val="center"/>
                    <w:rPr>
                      <w:rFonts w:eastAsia="Arial"/>
                      <w:color w:val="auto"/>
                      <w:sz w:val="18"/>
                      <w:szCs w:val="18"/>
                      <w:highlight w:val="none"/>
                    </w:rPr>
                  </w:pPr>
                  <w:r>
                    <w:rPr>
                      <w:color w:val="auto"/>
                      <w:kern w:val="0"/>
                      <w:sz w:val="18"/>
                      <w:szCs w:val="18"/>
                      <w:highlight w:val="none"/>
                      <w:lang w:bidi="ar"/>
                    </w:rPr>
                    <w:t>1.2</w:t>
                  </w:r>
                </w:p>
              </w:tc>
              <w:tc>
                <w:tcPr>
                  <w:tcW w:w="183" w:type="pct"/>
                  <w:vAlign w:val="center"/>
                </w:tcPr>
                <w:p w14:paraId="2DA79EA5">
                  <w:pPr>
                    <w:widowControl/>
                    <w:jc w:val="center"/>
                    <w:textAlignment w:val="center"/>
                    <w:rPr>
                      <w:rFonts w:eastAsia="Arial"/>
                      <w:color w:val="auto"/>
                      <w:sz w:val="18"/>
                      <w:szCs w:val="18"/>
                      <w:highlight w:val="none"/>
                    </w:rPr>
                  </w:pPr>
                  <w:r>
                    <w:rPr>
                      <w:color w:val="auto"/>
                      <w:kern w:val="0"/>
                      <w:sz w:val="18"/>
                      <w:szCs w:val="18"/>
                      <w:highlight w:val="none"/>
                      <w:lang w:bidi="ar"/>
                    </w:rPr>
                    <w:t>15.2</w:t>
                  </w:r>
                </w:p>
              </w:tc>
              <w:tc>
                <w:tcPr>
                  <w:tcW w:w="183" w:type="pct"/>
                  <w:vAlign w:val="center"/>
                </w:tcPr>
                <w:p w14:paraId="5CF11B2C">
                  <w:pPr>
                    <w:widowControl/>
                    <w:jc w:val="center"/>
                    <w:textAlignment w:val="center"/>
                    <w:rPr>
                      <w:rFonts w:eastAsia="Arial"/>
                      <w:color w:val="auto"/>
                      <w:sz w:val="18"/>
                      <w:szCs w:val="18"/>
                      <w:highlight w:val="none"/>
                    </w:rPr>
                  </w:pPr>
                  <w:r>
                    <w:rPr>
                      <w:color w:val="auto"/>
                      <w:kern w:val="0"/>
                      <w:sz w:val="18"/>
                      <w:szCs w:val="18"/>
                      <w:highlight w:val="none"/>
                      <w:lang w:bidi="ar"/>
                    </w:rPr>
                    <w:t>3.7</w:t>
                  </w:r>
                </w:p>
              </w:tc>
              <w:tc>
                <w:tcPr>
                  <w:tcW w:w="152" w:type="pct"/>
                  <w:vAlign w:val="center"/>
                </w:tcPr>
                <w:p w14:paraId="253C594D">
                  <w:pPr>
                    <w:widowControl/>
                    <w:jc w:val="center"/>
                    <w:textAlignment w:val="center"/>
                    <w:rPr>
                      <w:rFonts w:eastAsia="Arial"/>
                      <w:color w:val="auto"/>
                      <w:sz w:val="18"/>
                      <w:szCs w:val="18"/>
                      <w:highlight w:val="none"/>
                    </w:rPr>
                  </w:pPr>
                  <w:r>
                    <w:rPr>
                      <w:color w:val="auto"/>
                      <w:kern w:val="0"/>
                      <w:sz w:val="18"/>
                      <w:szCs w:val="18"/>
                      <w:highlight w:val="none"/>
                      <w:lang w:bidi="ar"/>
                    </w:rPr>
                    <w:t>2.5</w:t>
                  </w:r>
                </w:p>
              </w:tc>
              <w:tc>
                <w:tcPr>
                  <w:tcW w:w="198" w:type="pct"/>
                  <w:vAlign w:val="center"/>
                </w:tcPr>
                <w:p w14:paraId="59FE72EF">
                  <w:pPr>
                    <w:widowControl/>
                    <w:jc w:val="center"/>
                    <w:textAlignment w:val="center"/>
                    <w:rPr>
                      <w:rFonts w:eastAsia="Arial"/>
                      <w:color w:val="auto"/>
                      <w:sz w:val="18"/>
                      <w:szCs w:val="18"/>
                      <w:highlight w:val="none"/>
                    </w:rPr>
                  </w:pPr>
                  <w:r>
                    <w:rPr>
                      <w:color w:val="auto"/>
                      <w:kern w:val="0"/>
                      <w:sz w:val="18"/>
                      <w:szCs w:val="18"/>
                      <w:highlight w:val="none"/>
                      <w:lang w:bidi="ar"/>
                    </w:rPr>
                    <w:t>11.1</w:t>
                  </w:r>
                </w:p>
              </w:tc>
              <w:tc>
                <w:tcPr>
                  <w:tcW w:w="183" w:type="pct"/>
                  <w:vAlign w:val="center"/>
                </w:tcPr>
                <w:p w14:paraId="575F6C73">
                  <w:pPr>
                    <w:widowControl/>
                    <w:jc w:val="center"/>
                    <w:textAlignment w:val="center"/>
                    <w:rPr>
                      <w:rFonts w:eastAsia="Arial"/>
                      <w:color w:val="auto"/>
                      <w:sz w:val="18"/>
                      <w:szCs w:val="18"/>
                      <w:highlight w:val="none"/>
                    </w:rPr>
                  </w:pPr>
                  <w:r>
                    <w:rPr>
                      <w:color w:val="auto"/>
                      <w:kern w:val="0"/>
                      <w:sz w:val="18"/>
                      <w:szCs w:val="18"/>
                      <w:highlight w:val="none"/>
                      <w:lang w:bidi="ar"/>
                    </w:rPr>
                    <w:t>73.1</w:t>
                  </w:r>
                </w:p>
              </w:tc>
              <w:tc>
                <w:tcPr>
                  <w:tcW w:w="184" w:type="pct"/>
                  <w:vAlign w:val="center"/>
                </w:tcPr>
                <w:p w14:paraId="1A242FED">
                  <w:pPr>
                    <w:widowControl/>
                    <w:jc w:val="center"/>
                    <w:textAlignment w:val="center"/>
                    <w:rPr>
                      <w:rFonts w:eastAsia="Arial"/>
                      <w:color w:val="auto"/>
                      <w:sz w:val="18"/>
                      <w:szCs w:val="18"/>
                      <w:highlight w:val="none"/>
                    </w:rPr>
                  </w:pPr>
                  <w:r>
                    <w:rPr>
                      <w:color w:val="auto"/>
                      <w:kern w:val="0"/>
                      <w:sz w:val="18"/>
                      <w:szCs w:val="18"/>
                      <w:highlight w:val="none"/>
                      <w:lang w:bidi="ar"/>
                    </w:rPr>
                    <w:t>73.2</w:t>
                  </w:r>
                </w:p>
              </w:tc>
              <w:tc>
                <w:tcPr>
                  <w:tcW w:w="184" w:type="pct"/>
                  <w:vAlign w:val="center"/>
                </w:tcPr>
                <w:p w14:paraId="595DAC89">
                  <w:pPr>
                    <w:widowControl/>
                    <w:jc w:val="center"/>
                    <w:textAlignment w:val="center"/>
                    <w:rPr>
                      <w:rFonts w:eastAsia="Arial"/>
                      <w:color w:val="auto"/>
                      <w:sz w:val="18"/>
                      <w:szCs w:val="18"/>
                      <w:highlight w:val="none"/>
                    </w:rPr>
                  </w:pPr>
                  <w:r>
                    <w:rPr>
                      <w:color w:val="auto"/>
                      <w:kern w:val="0"/>
                      <w:sz w:val="18"/>
                      <w:szCs w:val="18"/>
                      <w:highlight w:val="none"/>
                      <w:lang w:bidi="ar"/>
                    </w:rPr>
                    <w:t>73.3</w:t>
                  </w:r>
                </w:p>
              </w:tc>
              <w:tc>
                <w:tcPr>
                  <w:tcW w:w="220" w:type="pct"/>
                  <w:vAlign w:val="center"/>
                </w:tcPr>
                <w:p w14:paraId="297104AD">
                  <w:pPr>
                    <w:widowControl/>
                    <w:jc w:val="center"/>
                    <w:textAlignment w:val="center"/>
                    <w:rPr>
                      <w:rFonts w:eastAsia="Arial"/>
                      <w:color w:val="auto"/>
                      <w:sz w:val="18"/>
                      <w:szCs w:val="18"/>
                      <w:highlight w:val="none"/>
                    </w:rPr>
                  </w:pPr>
                  <w:r>
                    <w:rPr>
                      <w:color w:val="auto"/>
                      <w:kern w:val="0"/>
                      <w:sz w:val="18"/>
                      <w:szCs w:val="18"/>
                      <w:highlight w:val="none"/>
                      <w:lang w:bidi="ar"/>
                    </w:rPr>
                    <w:t>73.1</w:t>
                  </w:r>
                </w:p>
              </w:tc>
              <w:tc>
                <w:tcPr>
                  <w:tcW w:w="122" w:type="pct"/>
                  <w:vMerge w:val="continue"/>
                  <w:vAlign w:val="center"/>
                </w:tcPr>
                <w:p w14:paraId="5E084A95">
                  <w:pPr>
                    <w:jc w:val="center"/>
                    <w:rPr>
                      <w:rFonts w:eastAsia="Arial"/>
                      <w:color w:val="auto"/>
                      <w:sz w:val="18"/>
                      <w:szCs w:val="18"/>
                      <w:highlight w:val="none"/>
                    </w:rPr>
                  </w:pPr>
                </w:p>
              </w:tc>
              <w:tc>
                <w:tcPr>
                  <w:tcW w:w="183" w:type="pct"/>
                  <w:vAlign w:val="center"/>
                </w:tcPr>
                <w:p w14:paraId="585101B4">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5A0151FC">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77E76BF3">
                  <w:pPr>
                    <w:widowControl/>
                    <w:jc w:val="center"/>
                    <w:textAlignment w:val="center"/>
                    <w:rPr>
                      <w:color w:val="auto"/>
                      <w:sz w:val="18"/>
                      <w:szCs w:val="18"/>
                      <w:highlight w:val="none"/>
                    </w:rPr>
                  </w:pPr>
                  <w:r>
                    <w:rPr>
                      <w:color w:val="auto"/>
                      <w:kern w:val="0"/>
                      <w:sz w:val="18"/>
                      <w:szCs w:val="18"/>
                      <w:highlight w:val="none"/>
                      <w:lang w:bidi="ar"/>
                    </w:rPr>
                    <w:t>15.0</w:t>
                  </w:r>
                </w:p>
              </w:tc>
              <w:tc>
                <w:tcPr>
                  <w:tcW w:w="195" w:type="pct"/>
                  <w:vAlign w:val="center"/>
                </w:tcPr>
                <w:p w14:paraId="706001B7">
                  <w:pPr>
                    <w:widowControl/>
                    <w:jc w:val="center"/>
                    <w:textAlignment w:val="center"/>
                    <w:rPr>
                      <w:color w:val="auto"/>
                      <w:sz w:val="18"/>
                      <w:szCs w:val="18"/>
                      <w:highlight w:val="none"/>
                    </w:rPr>
                  </w:pPr>
                  <w:r>
                    <w:rPr>
                      <w:color w:val="auto"/>
                      <w:kern w:val="0"/>
                      <w:sz w:val="18"/>
                      <w:szCs w:val="18"/>
                      <w:highlight w:val="none"/>
                      <w:lang w:bidi="ar"/>
                    </w:rPr>
                    <w:t>15.0</w:t>
                  </w:r>
                </w:p>
              </w:tc>
              <w:tc>
                <w:tcPr>
                  <w:tcW w:w="187" w:type="pct"/>
                  <w:vAlign w:val="center"/>
                </w:tcPr>
                <w:p w14:paraId="11119074">
                  <w:pPr>
                    <w:widowControl/>
                    <w:jc w:val="center"/>
                    <w:textAlignment w:val="center"/>
                    <w:rPr>
                      <w:color w:val="auto"/>
                      <w:sz w:val="18"/>
                      <w:szCs w:val="18"/>
                      <w:highlight w:val="none"/>
                    </w:rPr>
                  </w:pPr>
                  <w:r>
                    <w:rPr>
                      <w:color w:val="auto"/>
                      <w:kern w:val="0"/>
                      <w:sz w:val="18"/>
                      <w:szCs w:val="18"/>
                      <w:highlight w:val="none"/>
                      <w:lang w:bidi="ar"/>
                    </w:rPr>
                    <w:t>58.1</w:t>
                  </w:r>
                </w:p>
              </w:tc>
              <w:tc>
                <w:tcPr>
                  <w:tcW w:w="187" w:type="pct"/>
                  <w:vAlign w:val="center"/>
                </w:tcPr>
                <w:p w14:paraId="7A881A5D">
                  <w:pPr>
                    <w:widowControl/>
                    <w:jc w:val="center"/>
                    <w:textAlignment w:val="center"/>
                    <w:rPr>
                      <w:color w:val="auto"/>
                      <w:sz w:val="18"/>
                      <w:szCs w:val="18"/>
                      <w:highlight w:val="none"/>
                    </w:rPr>
                  </w:pPr>
                  <w:r>
                    <w:rPr>
                      <w:color w:val="auto"/>
                      <w:kern w:val="0"/>
                      <w:sz w:val="18"/>
                      <w:szCs w:val="18"/>
                      <w:highlight w:val="none"/>
                      <w:lang w:bidi="ar"/>
                    </w:rPr>
                    <w:t>58.2</w:t>
                  </w:r>
                </w:p>
              </w:tc>
              <w:tc>
                <w:tcPr>
                  <w:tcW w:w="187" w:type="pct"/>
                  <w:vAlign w:val="center"/>
                </w:tcPr>
                <w:p w14:paraId="57194B56">
                  <w:pPr>
                    <w:widowControl/>
                    <w:jc w:val="center"/>
                    <w:textAlignment w:val="center"/>
                    <w:rPr>
                      <w:color w:val="auto"/>
                      <w:sz w:val="18"/>
                      <w:szCs w:val="18"/>
                      <w:highlight w:val="none"/>
                    </w:rPr>
                  </w:pPr>
                  <w:r>
                    <w:rPr>
                      <w:color w:val="auto"/>
                      <w:kern w:val="0"/>
                      <w:sz w:val="18"/>
                      <w:szCs w:val="18"/>
                      <w:highlight w:val="none"/>
                      <w:lang w:bidi="ar"/>
                    </w:rPr>
                    <w:t>58.3</w:t>
                  </w:r>
                </w:p>
              </w:tc>
              <w:tc>
                <w:tcPr>
                  <w:tcW w:w="187" w:type="pct"/>
                  <w:vAlign w:val="center"/>
                </w:tcPr>
                <w:p w14:paraId="2C53CC03">
                  <w:pPr>
                    <w:widowControl/>
                    <w:jc w:val="center"/>
                    <w:textAlignment w:val="center"/>
                    <w:rPr>
                      <w:color w:val="auto"/>
                      <w:sz w:val="18"/>
                      <w:szCs w:val="18"/>
                      <w:highlight w:val="none"/>
                    </w:rPr>
                  </w:pPr>
                  <w:r>
                    <w:rPr>
                      <w:color w:val="auto"/>
                      <w:kern w:val="0"/>
                      <w:sz w:val="18"/>
                      <w:szCs w:val="18"/>
                      <w:highlight w:val="none"/>
                      <w:lang w:bidi="ar"/>
                    </w:rPr>
                    <w:t>58.1</w:t>
                  </w:r>
                </w:p>
              </w:tc>
              <w:tc>
                <w:tcPr>
                  <w:tcW w:w="151" w:type="pct"/>
                  <w:vMerge w:val="continue"/>
                  <w:vAlign w:val="center"/>
                </w:tcPr>
                <w:p w14:paraId="2180B708">
                  <w:pPr>
                    <w:widowControl/>
                    <w:jc w:val="center"/>
                    <w:textAlignment w:val="center"/>
                    <w:rPr>
                      <w:color w:val="auto"/>
                      <w:sz w:val="18"/>
                      <w:szCs w:val="18"/>
                      <w:highlight w:val="none"/>
                    </w:rPr>
                  </w:pPr>
                </w:p>
              </w:tc>
            </w:tr>
            <w:tr w14:paraId="0DB3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147" w:type="pct"/>
                  <w:vAlign w:val="center"/>
                </w:tcPr>
                <w:p w14:paraId="5AF98922">
                  <w:pPr>
                    <w:widowControl/>
                    <w:jc w:val="center"/>
                    <w:textAlignment w:val="center"/>
                    <w:rPr>
                      <w:bCs/>
                      <w:color w:val="auto"/>
                      <w:spacing w:val="-10"/>
                      <w:sz w:val="18"/>
                      <w:szCs w:val="18"/>
                      <w:highlight w:val="none"/>
                    </w:rPr>
                  </w:pPr>
                  <w:r>
                    <w:rPr>
                      <w:color w:val="auto"/>
                      <w:kern w:val="0"/>
                      <w:sz w:val="18"/>
                      <w:szCs w:val="18"/>
                      <w:highlight w:val="none"/>
                      <w:lang w:bidi="ar"/>
                    </w:rPr>
                    <w:t>5</w:t>
                  </w:r>
                </w:p>
              </w:tc>
              <w:tc>
                <w:tcPr>
                  <w:tcW w:w="147" w:type="pct"/>
                  <w:vMerge w:val="continue"/>
                  <w:vAlign w:val="center"/>
                </w:tcPr>
                <w:p w14:paraId="3D4949AF">
                  <w:pPr>
                    <w:jc w:val="center"/>
                    <w:rPr>
                      <w:rFonts w:ascii="宋体" w:hAnsi="宋体" w:cs="宋体"/>
                      <w:bCs/>
                      <w:color w:val="auto"/>
                      <w:sz w:val="18"/>
                      <w:szCs w:val="18"/>
                      <w:highlight w:val="none"/>
                    </w:rPr>
                  </w:pPr>
                </w:p>
              </w:tc>
              <w:tc>
                <w:tcPr>
                  <w:tcW w:w="147" w:type="pct"/>
                  <w:vAlign w:val="center"/>
                </w:tcPr>
                <w:p w14:paraId="7192EAE1">
                  <w:pPr>
                    <w:widowControl/>
                    <w:jc w:val="center"/>
                    <w:textAlignment w:val="center"/>
                    <w:rPr>
                      <w:rFonts w:ascii="宋体" w:hAnsi="宋体" w:cs="宋体"/>
                      <w:bCs/>
                      <w:color w:val="auto"/>
                      <w:spacing w:val="-10"/>
                      <w:sz w:val="18"/>
                      <w:szCs w:val="18"/>
                      <w:highlight w:val="none"/>
                    </w:rPr>
                  </w:pPr>
                  <w:r>
                    <w:rPr>
                      <w:rStyle w:val="66"/>
                      <w:rFonts w:hint="default"/>
                      <w:color w:val="auto"/>
                      <w:sz w:val="18"/>
                      <w:szCs w:val="18"/>
                      <w:highlight w:val="none"/>
                      <w:lang w:bidi="ar"/>
                    </w:rPr>
                    <w:t>浆渣分离机</w:t>
                  </w:r>
                </w:p>
              </w:tc>
              <w:tc>
                <w:tcPr>
                  <w:tcW w:w="356" w:type="pct"/>
                  <w:vAlign w:val="center"/>
                </w:tcPr>
                <w:p w14:paraId="620C6DDD">
                  <w:pPr>
                    <w:widowControl/>
                    <w:jc w:val="center"/>
                    <w:textAlignment w:val="center"/>
                    <w:rPr>
                      <w:bCs/>
                      <w:color w:val="auto"/>
                      <w:spacing w:val="-10"/>
                      <w:sz w:val="18"/>
                      <w:szCs w:val="18"/>
                      <w:highlight w:val="none"/>
                    </w:rPr>
                  </w:pPr>
                  <w:r>
                    <w:rPr>
                      <w:color w:val="auto"/>
                      <w:kern w:val="0"/>
                      <w:sz w:val="18"/>
                      <w:szCs w:val="18"/>
                      <w:highlight w:val="none"/>
                      <w:lang w:bidi="ar"/>
                    </w:rPr>
                    <w:t>YS-450</w:t>
                  </w:r>
                  <w:r>
                    <w:rPr>
                      <w:rStyle w:val="66"/>
                      <w:rFonts w:hint="default"/>
                      <w:color w:val="auto"/>
                      <w:sz w:val="18"/>
                      <w:szCs w:val="18"/>
                      <w:highlight w:val="none"/>
                      <w:lang w:bidi="ar"/>
                    </w:rPr>
                    <w:t>型</w:t>
                  </w:r>
                </w:p>
              </w:tc>
              <w:tc>
                <w:tcPr>
                  <w:tcW w:w="240" w:type="pct"/>
                  <w:vAlign w:val="center"/>
                </w:tcPr>
                <w:p w14:paraId="64FF4BF2">
                  <w:pPr>
                    <w:widowControl/>
                    <w:jc w:val="center"/>
                    <w:textAlignment w:val="center"/>
                    <w:rPr>
                      <w:bCs/>
                      <w:color w:val="auto"/>
                      <w:spacing w:val="-10"/>
                      <w:sz w:val="18"/>
                      <w:szCs w:val="18"/>
                      <w:highlight w:val="none"/>
                    </w:rPr>
                  </w:pPr>
                  <w:r>
                    <w:rPr>
                      <w:color w:val="auto"/>
                      <w:kern w:val="0"/>
                      <w:sz w:val="18"/>
                      <w:szCs w:val="18"/>
                      <w:highlight w:val="none"/>
                      <w:lang w:bidi="ar"/>
                    </w:rPr>
                    <w:t>75</w:t>
                  </w:r>
                </w:p>
              </w:tc>
              <w:tc>
                <w:tcPr>
                  <w:tcW w:w="112" w:type="pct"/>
                  <w:vMerge w:val="continue"/>
                  <w:vAlign w:val="center"/>
                </w:tcPr>
                <w:p w14:paraId="457FEEF3">
                  <w:pPr>
                    <w:jc w:val="center"/>
                    <w:rPr>
                      <w:bCs/>
                      <w:color w:val="auto"/>
                      <w:spacing w:val="-10"/>
                      <w:sz w:val="18"/>
                      <w:szCs w:val="18"/>
                      <w:highlight w:val="none"/>
                    </w:rPr>
                  </w:pPr>
                </w:p>
              </w:tc>
              <w:tc>
                <w:tcPr>
                  <w:tcW w:w="206" w:type="pct"/>
                  <w:vAlign w:val="center"/>
                </w:tcPr>
                <w:p w14:paraId="69CB2F26">
                  <w:pPr>
                    <w:widowControl/>
                    <w:jc w:val="center"/>
                    <w:textAlignment w:val="center"/>
                    <w:rPr>
                      <w:bCs/>
                      <w:color w:val="auto"/>
                      <w:spacing w:val="-10"/>
                      <w:sz w:val="18"/>
                      <w:szCs w:val="18"/>
                      <w:highlight w:val="none"/>
                    </w:rPr>
                  </w:pPr>
                  <w:r>
                    <w:rPr>
                      <w:color w:val="auto"/>
                      <w:kern w:val="0"/>
                      <w:sz w:val="18"/>
                      <w:szCs w:val="18"/>
                      <w:highlight w:val="none"/>
                      <w:lang w:bidi="ar"/>
                    </w:rPr>
                    <w:t>1.7</w:t>
                  </w:r>
                </w:p>
              </w:tc>
              <w:tc>
                <w:tcPr>
                  <w:tcW w:w="215" w:type="pct"/>
                  <w:vAlign w:val="center"/>
                </w:tcPr>
                <w:p w14:paraId="10CA9ECE">
                  <w:pPr>
                    <w:widowControl/>
                    <w:jc w:val="center"/>
                    <w:textAlignment w:val="center"/>
                    <w:rPr>
                      <w:color w:val="auto"/>
                      <w:sz w:val="18"/>
                      <w:szCs w:val="18"/>
                      <w:highlight w:val="none"/>
                    </w:rPr>
                  </w:pPr>
                  <w:r>
                    <w:rPr>
                      <w:color w:val="auto"/>
                      <w:kern w:val="0"/>
                      <w:sz w:val="18"/>
                      <w:szCs w:val="18"/>
                      <w:highlight w:val="none"/>
                      <w:lang w:bidi="ar"/>
                    </w:rPr>
                    <w:t>-4.0</w:t>
                  </w:r>
                </w:p>
              </w:tc>
              <w:tc>
                <w:tcPr>
                  <w:tcW w:w="167" w:type="pct"/>
                  <w:vAlign w:val="center"/>
                </w:tcPr>
                <w:p w14:paraId="4630BD99">
                  <w:pPr>
                    <w:widowControl/>
                    <w:jc w:val="center"/>
                    <w:textAlignment w:val="center"/>
                    <w:rPr>
                      <w:color w:val="auto"/>
                      <w:sz w:val="18"/>
                      <w:szCs w:val="18"/>
                      <w:highlight w:val="none"/>
                    </w:rPr>
                  </w:pPr>
                  <w:r>
                    <w:rPr>
                      <w:color w:val="auto"/>
                      <w:kern w:val="0"/>
                      <w:sz w:val="18"/>
                      <w:szCs w:val="18"/>
                      <w:highlight w:val="none"/>
                      <w:lang w:bidi="ar"/>
                    </w:rPr>
                    <w:t>1.2</w:t>
                  </w:r>
                </w:p>
              </w:tc>
              <w:tc>
                <w:tcPr>
                  <w:tcW w:w="183" w:type="pct"/>
                  <w:vAlign w:val="center"/>
                </w:tcPr>
                <w:p w14:paraId="7A3117A5">
                  <w:pPr>
                    <w:widowControl/>
                    <w:jc w:val="center"/>
                    <w:textAlignment w:val="center"/>
                    <w:rPr>
                      <w:bCs/>
                      <w:color w:val="auto"/>
                      <w:spacing w:val="-10"/>
                      <w:sz w:val="18"/>
                      <w:szCs w:val="18"/>
                      <w:highlight w:val="none"/>
                    </w:rPr>
                  </w:pPr>
                  <w:r>
                    <w:rPr>
                      <w:color w:val="auto"/>
                      <w:kern w:val="0"/>
                      <w:sz w:val="18"/>
                      <w:szCs w:val="18"/>
                      <w:highlight w:val="none"/>
                      <w:lang w:bidi="ar"/>
                    </w:rPr>
                    <w:t>16.0</w:t>
                  </w:r>
                </w:p>
              </w:tc>
              <w:tc>
                <w:tcPr>
                  <w:tcW w:w="183" w:type="pct"/>
                  <w:vAlign w:val="center"/>
                </w:tcPr>
                <w:p w14:paraId="348001AB">
                  <w:pPr>
                    <w:widowControl/>
                    <w:jc w:val="center"/>
                    <w:textAlignment w:val="center"/>
                    <w:rPr>
                      <w:color w:val="auto"/>
                      <w:sz w:val="18"/>
                      <w:szCs w:val="18"/>
                      <w:highlight w:val="none"/>
                    </w:rPr>
                  </w:pPr>
                  <w:r>
                    <w:rPr>
                      <w:color w:val="auto"/>
                      <w:kern w:val="0"/>
                      <w:sz w:val="18"/>
                      <w:szCs w:val="18"/>
                      <w:highlight w:val="none"/>
                      <w:lang w:bidi="ar"/>
                    </w:rPr>
                    <w:t>3.3</w:t>
                  </w:r>
                </w:p>
              </w:tc>
              <w:tc>
                <w:tcPr>
                  <w:tcW w:w="152" w:type="pct"/>
                  <w:vAlign w:val="center"/>
                </w:tcPr>
                <w:p w14:paraId="5BFF3058">
                  <w:pPr>
                    <w:widowControl/>
                    <w:jc w:val="center"/>
                    <w:textAlignment w:val="center"/>
                    <w:rPr>
                      <w:color w:val="auto"/>
                      <w:sz w:val="18"/>
                      <w:szCs w:val="18"/>
                      <w:highlight w:val="none"/>
                    </w:rPr>
                  </w:pPr>
                  <w:r>
                    <w:rPr>
                      <w:color w:val="auto"/>
                      <w:kern w:val="0"/>
                      <w:sz w:val="18"/>
                      <w:szCs w:val="18"/>
                      <w:highlight w:val="none"/>
                      <w:lang w:bidi="ar"/>
                    </w:rPr>
                    <w:t>2.9</w:t>
                  </w:r>
                </w:p>
              </w:tc>
              <w:tc>
                <w:tcPr>
                  <w:tcW w:w="198" w:type="pct"/>
                  <w:vAlign w:val="center"/>
                </w:tcPr>
                <w:p w14:paraId="33E3484C">
                  <w:pPr>
                    <w:widowControl/>
                    <w:jc w:val="center"/>
                    <w:textAlignment w:val="center"/>
                    <w:rPr>
                      <w:color w:val="auto"/>
                      <w:sz w:val="18"/>
                      <w:szCs w:val="18"/>
                      <w:highlight w:val="none"/>
                    </w:rPr>
                  </w:pPr>
                  <w:r>
                    <w:rPr>
                      <w:color w:val="auto"/>
                      <w:kern w:val="0"/>
                      <w:sz w:val="18"/>
                      <w:szCs w:val="18"/>
                      <w:highlight w:val="none"/>
                      <w:lang w:bidi="ar"/>
                    </w:rPr>
                    <w:t>11.4</w:t>
                  </w:r>
                </w:p>
              </w:tc>
              <w:tc>
                <w:tcPr>
                  <w:tcW w:w="183" w:type="pct"/>
                  <w:vAlign w:val="center"/>
                </w:tcPr>
                <w:p w14:paraId="59FE3E06">
                  <w:pPr>
                    <w:widowControl/>
                    <w:jc w:val="center"/>
                    <w:textAlignment w:val="center"/>
                    <w:rPr>
                      <w:bCs/>
                      <w:color w:val="auto"/>
                      <w:spacing w:val="-10"/>
                      <w:sz w:val="18"/>
                      <w:szCs w:val="18"/>
                      <w:highlight w:val="none"/>
                    </w:rPr>
                  </w:pPr>
                  <w:r>
                    <w:rPr>
                      <w:color w:val="auto"/>
                      <w:kern w:val="0"/>
                      <w:sz w:val="18"/>
                      <w:szCs w:val="18"/>
                      <w:highlight w:val="none"/>
                      <w:lang w:bidi="ar"/>
                    </w:rPr>
                    <w:t>70.1</w:t>
                  </w:r>
                </w:p>
              </w:tc>
              <w:tc>
                <w:tcPr>
                  <w:tcW w:w="184" w:type="pct"/>
                  <w:vAlign w:val="center"/>
                </w:tcPr>
                <w:p w14:paraId="3AF536A9">
                  <w:pPr>
                    <w:widowControl/>
                    <w:jc w:val="center"/>
                    <w:textAlignment w:val="center"/>
                    <w:rPr>
                      <w:color w:val="auto"/>
                      <w:sz w:val="18"/>
                      <w:szCs w:val="18"/>
                      <w:highlight w:val="none"/>
                    </w:rPr>
                  </w:pPr>
                  <w:r>
                    <w:rPr>
                      <w:color w:val="auto"/>
                      <w:kern w:val="0"/>
                      <w:sz w:val="18"/>
                      <w:szCs w:val="18"/>
                      <w:highlight w:val="none"/>
                      <w:lang w:bidi="ar"/>
                    </w:rPr>
                    <w:t>70.2</w:t>
                  </w:r>
                </w:p>
              </w:tc>
              <w:tc>
                <w:tcPr>
                  <w:tcW w:w="184" w:type="pct"/>
                  <w:vAlign w:val="center"/>
                </w:tcPr>
                <w:p w14:paraId="4D38FF04">
                  <w:pPr>
                    <w:widowControl/>
                    <w:jc w:val="center"/>
                    <w:textAlignment w:val="center"/>
                    <w:rPr>
                      <w:color w:val="auto"/>
                      <w:sz w:val="18"/>
                      <w:szCs w:val="18"/>
                      <w:highlight w:val="none"/>
                    </w:rPr>
                  </w:pPr>
                  <w:r>
                    <w:rPr>
                      <w:color w:val="auto"/>
                      <w:kern w:val="0"/>
                      <w:sz w:val="18"/>
                      <w:szCs w:val="18"/>
                      <w:highlight w:val="none"/>
                      <w:lang w:bidi="ar"/>
                    </w:rPr>
                    <w:t>70.3</w:t>
                  </w:r>
                </w:p>
              </w:tc>
              <w:tc>
                <w:tcPr>
                  <w:tcW w:w="220" w:type="pct"/>
                  <w:vAlign w:val="center"/>
                </w:tcPr>
                <w:p w14:paraId="653389E8">
                  <w:pPr>
                    <w:widowControl/>
                    <w:jc w:val="center"/>
                    <w:textAlignment w:val="center"/>
                    <w:rPr>
                      <w:color w:val="auto"/>
                      <w:sz w:val="18"/>
                      <w:szCs w:val="18"/>
                      <w:highlight w:val="none"/>
                    </w:rPr>
                  </w:pPr>
                  <w:r>
                    <w:rPr>
                      <w:color w:val="auto"/>
                      <w:kern w:val="0"/>
                      <w:sz w:val="18"/>
                      <w:szCs w:val="18"/>
                      <w:highlight w:val="none"/>
                      <w:lang w:bidi="ar"/>
                    </w:rPr>
                    <w:t>70.1</w:t>
                  </w:r>
                </w:p>
              </w:tc>
              <w:tc>
                <w:tcPr>
                  <w:tcW w:w="122" w:type="pct"/>
                  <w:vMerge w:val="continue"/>
                  <w:vAlign w:val="center"/>
                </w:tcPr>
                <w:p w14:paraId="74D7B82F">
                  <w:pPr>
                    <w:jc w:val="center"/>
                    <w:rPr>
                      <w:bCs/>
                      <w:color w:val="auto"/>
                      <w:spacing w:val="-10"/>
                      <w:sz w:val="18"/>
                      <w:szCs w:val="18"/>
                      <w:highlight w:val="none"/>
                    </w:rPr>
                  </w:pPr>
                </w:p>
              </w:tc>
              <w:tc>
                <w:tcPr>
                  <w:tcW w:w="183" w:type="pct"/>
                  <w:vAlign w:val="center"/>
                </w:tcPr>
                <w:p w14:paraId="68F38060">
                  <w:pPr>
                    <w:widowControl/>
                    <w:jc w:val="center"/>
                    <w:textAlignment w:val="center"/>
                    <w:rPr>
                      <w:bCs/>
                      <w:color w:val="auto"/>
                      <w:spacing w:val="-10"/>
                      <w:sz w:val="18"/>
                      <w:szCs w:val="18"/>
                      <w:highlight w:val="none"/>
                    </w:rPr>
                  </w:pPr>
                  <w:r>
                    <w:rPr>
                      <w:color w:val="auto"/>
                      <w:kern w:val="0"/>
                      <w:sz w:val="18"/>
                      <w:szCs w:val="18"/>
                      <w:highlight w:val="none"/>
                      <w:lang w:bidi="ar"/>
                    </w:rPr>
                    <w:t>15.0</w:t>
                  </w:r>
                </w:p>
              </w:tc>
              <w:tc>
                <w:tcPr>
                  <w:tcW w:w="183" w:type="pct"/>
                  <w:vAlign w:val="center"/>
                </w:tcPr>
                <w:p w14:paraId="2D281E53">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4D19A2E1">
                  <w:pPr>
                    <w:widowControl/>
                    <w:jc w:val="center"/>
                    <w:textAlignment w:val="center"/>
                    <w:rPr>
                      <w:color w:val="auto"/>
                      <w:sz w:val="18"/>
                      <w:szCs w:val="18"/>
                      <w:highlight w:val="none"/>
                    </w:rPr>
                  </w:pPr>
                  <w:r>
                    <w:rPr>
                      <w:color w:val="auto"/>
                      <w:kern w:val="0"/>
                      <w:sz w:val="18"/>
                      <w:szCs w:val="18"/>
                      <w:highlight w:val="none"/>
                      <w:lang w:bidi="ar"/>
                    </w:rPr>
                    <w:t>15.0</w:t>
                  </w:r>
                </w:p>
              </w:tc>
              <w:tc>
                <w:tcPr>
                  <w:tcW w:w="195" w:type="pct"/>
                  <w:vAlign w:val="center"/>
                </w:tcPr>
                <w:p w14:paraId="09F980BC">
                  <w:pPr>
                    <w:widowControl/>
                    <w:jc w:val="center"/>
                    <w:textAlignment w:val="center"/>
                    <w:rPr>
                      <w:color w:val="auto"/>
                      <w:sz w:val="18"/>
                      <w:szCs w:val="18"/>
                      <w:highlight w:val="none"/>
                    </w:rPr>
                  </w:pPr>
                  <w:r>
                    <w:rPr>
                      <w:color w:val="auto"/>
                      <w:kern w:val="0"/>
                      <w:sz w:val="18"/>
                      <w:szCs w:val="18"/>
                      <w:highlight w:val="none"/>
                      <w:lang w:bidi="ar"/>
                    </w:rPr>
                    <w:t>15.0</w:t>
                  </w:r>
                </w:p>
              </w:tc>
              <w:tc>
                <w:tcPr>
                  <w:tcW w:w="187" w:type="pct"/>
                  <w:vAlign w:val="center"/>
                </w:tcPr>
                <w:p w14:paraId="22860586">
                  <w:pPr>
                    <w:widowControl/>
                    <w:jc w:val="center"/>
                    <w:textAlignment w:val="center"/>
                    <w:rPr>
                      <w:bCs/>
                      <w:color w:val="auto"/>
                      <w:spacing w:val="-10"/>
                      <w:sz w:val="18"/>
                      <w:szCs w:val="18"/>
                      <w:highlight w:val="none"/>
                    </w:rPr>
                  </w:pPr>
                  <w:r>
                    <w:rPr>
                      <w:color w:val="auto"/>
                      <w:kern w:val="0"/>
                      <w:sz w:val="18"/>
                      <w:szCs w:val="18"/>
                      <w:highlight w:val="none"/>
                      <w:lang w:bidi="ar"/>
                    </w:rPr>
                    <w:t>55.1</w:t>
                  </w:r>
                </w:p>
              </w:tc>
              <w:tc>
                <w:tcPr>
                  <w:tcW w:w="187" w:type="pct"/>
                  <w:vAlign w:val="center"/>
                </w:tcPr>
                <w:p w14:paraId="2EC3BF26">
                  <w:pPr>
                    <w:widowControl/>
                    <w:jc w:val="center"/>
                    <w:textAlignment w:val="center"/>
                    <w:rPr>
                      <w:color w:val="auto"/>
                      <w:sz w:val="18"/>
                      <w:szCs w:val="18"/>
                      <w:highlight w:val="none"/>
                    </w:rPr>
                  </w:pPr>
                  <w:r>
                    <w:rPr>
                      <w:color w:val="auto"/>
                      <w:kern w:val="0"/>
                      <w:sz w:val="18"/>
                      <w:szCs w:val="18"/>
                      <w:highlight w:val="none"/>
                      <w:lang w:bidi="ar"/>
                    </w:rPr>
                    <w:t>55.2</w:t>
                  </w:r>
                </w:p>
              </w:tc>
              <w:tc>
                <w:tcPr>
                  <w:tcW w:w="187" w:type="pct"/>
                  <w:vAlign w:val="center"/>
                </w:tcPr>
                <w:p w14:paraId="79B785B1">
                  <w:pPr>
                    <w:widowControl/>
                    <w:jc w:val="center"/>
                    <w:textAlignment w:val="center"/>
                    <w:rPr>
                      <w:color w:val="auto"/>
                      <w:sz w:val="18"/>
                      <w:szCs w:val="18"/>
                      <w:highlight w:val="none"/>
                    </w:rPr>
                  </w:pPr>
                  <w:r>
                    <w:rPr>
                      <w:color w:val="auto"/>
                      <w:kern w:val="0"/>
                      <w:sz w:val="18"/>
                      <w:szCs w:val="18"/>
                      <w:highlight w:val="none"/>
                      <w:lang w:bidi="ar"/>
                    </w:rPr>
                    <w:t>55.3</w:t>
                  </w:r>
                </w:p>
              </w:tc>
              <w:tc>
                <w:tcPr>
                  <w:tcW w:w="187" w:type="pct"/>
                  <w:vAlign w:val="center"/>
                </w:tcPr>
                <w:p w14:paraId="56AF8CAB">
                  <w:pPr>
                    <w:widowControl/>
                    <w:jc w:val="center"/>
                    <w:textAlignment w:val="center"/>
                    <w:rPr>
                      <w:color w:val="auto"/>
                      <w:sz w:val="18"/>
                      <w:szCs w:val="18"/>
                      <w:highlight w:val="none"/>
                    </w:rPr>
                  </w:pPr>
                  <w:r>
                    <w:rPr>
                      <w:color w:val="auto"/>
                      <w:kern w:val="0"/>
                      <w:sz w:val="18"/>
                      <w:szCs w:val="18"/>
                      <w:highlight w:val="none"/>
                      <w:lang w:bidi="ar"/>
                    </w:rPr>
                    <w:t>55.1</w:t>
                  </w:r>
                </w:p>
              </w:tc>
              <w:tc>
                <w:tcPr>
                  <w:tcW w:w="151" w:type="pct"/>
                  <w:vMerge w:val="continue"/>
                  <w:vAlign w:val="center"/>
                </w:tcPr>
                <w:p w14:paraId="42D1C52B">
                  <w:pPr>
                    <w:widowControl/>
                    <w:jc w:val="center"/>
                    <w:textAlignment w:val="center"/>
                    <w:rPr>
                      <w:color w:val="auto"/>
                      <w:sz w:val="18"/>
                      <w:szCs w:val="18"/>
                      <w:highlight w:val="none"/>
                    </w:rPr>
                  </w:pPr>
                </w:p>
              </w:tc>
            </w:tr>
            <w:tr w14:paraId="0799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7" w:type="pct"/>
                  <w:vAlign w:val="center"/>
                </w:tcPr>
                <w:p w14:paraId="760E85E7">
                  <w:pPr>
                    <w:widowControl/>
                    <w:jc w:val="center"/>
                    <w:textAlignment w:val="center"/>
                    <w:rPr>
                      <w:bCs/>
                      <w:color w:val="auto"/>
                      <w:spacing w:val="-10"/>
                      <w:sz w:val="18"/>
                      <w:szCs w:val="18"/>
                      <w:highlight w:val="none"/>
                    </w:rPr>
                  </w:pPr>
                  <w:r>
                    <w:rPr>
                      <w:color w:val="auto"/>
                      <w:kern w:val="0"/>
                      <w:sz w:val="18"/>
                      <w:szCs w:val="18"/>
                      <w:highlight w:val="none"/>
                      <w:lang w:bidi="ar"/>
                    </w:rPr>
                    <w:t>6</w:t>
                  </w:r>
                </w:p>
              </w:tc>
              <w:tc>
                <w:tcPr>
                  <w:tcW w:w="147" w:type="pct"/>
                  <w:vMerge w:val="continue"/>
                  <w:vAlign w:val="center"/>
                </w:tcPr>
                <w:p w14:paraId="08EF693C">
                  <w:pPr>
                    <w:jc w:val="center"/>
                    <w:rPr>
                      <w:rFonts w:ascii="宋体" w:hAnsi="宋体" w:cs="宋体"/>
                      <w:bCs/>
                      <w:color w:val="auto"/>
                      <w:sz w:val="18"/>
                      <w:szCs w:val="18"/>
                      <w:highlight w:val="none"/>
                    </w:rPr>
                  </w:pPr>
                </w:p>
              </w:tc>
              <w:tc>
                <w:tcPr>
                  <w:tcW w:w="147" w:type="pct"/>
                  <w:vAlign w:val="center"/>
                </w:tcPr>
                <w:p w14:paraId="37A7DA1B">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二罗机</w:t>
                  </w:r>
                </w:p>
              </w:tc>
              <w:tc>
                <w:tcPr>
                  <w:tcW w:w="356" w:type="pct"/>
                  <w:vAlign w:val="center"/>
                </w:tcPr>
                <w:p w14:paraId="3273F6C6">
                  <w:pPr>
                    <w:widowControl/>
                    <w:jc w:val="center"/>
                    <w:textAlignment w:val="center"/>
                    <w:rPr>
                      <w:bCs/>
                      <w:color w:val="auto"/>
                      <w:spacing w:val="-10"/>
                      <w:sz w:val="18"/>
                      <w:szCs w:val="18"/>
                      <w:highlight w:val="none"/>
                    </w:rPr>
                  </w:pPr>
                  <w:r>
                    <w:rPr>
                      <w:color w:val="auto"/>
                      <w:kern w:val="0"/>
                      <w:sz w:val="18"/>
                      <w:szCs w:val="18"/>
                      <w:highlight w:val="none"/>
                      <w:lang w:bidi="ar"/>
                    </w:rPr>
                    <w:t>YS-400</w:t>
                  </w:r>
                  <w:r>
                    <w:rPr>
                      <w:rStyle w:val="66"/>
                      <w:rFonts w:hint="default"/>
                      <w:color w:val="auto"/>
                      <w:sz w:val="18"/>
                      <w:szCs w:val="18"/>
                      <w:highlight w:val="none"/>
                      <w:lang w:bidi="ar"/>
                    </w:rPr>
                    <w:t>型</w:t>
                  </w:r>
                </w:p>
              </w:tc>
              <w:tc>
                <w:tcPr>
                  <w:tcW w:w="240" w:type="pct"/>
                  <w:vAlign w:val="center"/>
                </w:tcPr>
                <w:p w14:paraId="5DA01894">
                  <w:pPr>
                    <w:widowControl/>
                    <w:jc w:val="center"/>
                    <w:textAlignment w:val="center"/>
                    <w:rPr>
                      <w:bCs/>
                      <w:color w:val="auto"/>
                      <w:spacing w:val="-10"/>
                      <w:sz w:val="18"/>
                      <w:szCs w:val="18"/>
                      <w:highlight w:val="none"/>
                    </w:rPr>
                  </w:pPr>
                  <w:r>
                    <w:rPr>
                      <w:color w:val="auto"/>
                      <w:kern w:val="0"/>
                      <w:sz w:val="18"/>
                      <w:szCs w:val="18"/>
                      <w:highlight w:val="none"/>
                      <w:lang w:bidi="ar"/>
                    </w:rPr>
                    <w:t>72</w:t>
                  </w:r>
                </w:p>
              </w:tc>
              <w:tc>
                <w:tcPr>
                  <w:tcW w:w="112" w:type="pct"/>
                  <w:vMerge w:val="continue"/>
                  <w:vAlign w:val="center"/>
                </w:tcPr>
                <w:p w14:paraId="709794FC">
                  <w:pPr>
                    <w:jc w:val="center"/>
                    <w:rPr>
                      <w:bCs/>
                      <w:color w:val="auto"/>
                      <w:spacing w:val="-10"/>
                      <w:sz w:val="18"/>
                      <w:szCs w:val="18"/>
                      <w:highlight w:val="none"/>
                    </w:rPr>
                  </w:pPr>
                </w:p>
              </w:tc>
              <w:tc>
                <w:tcPr>
                  <w:tcW w:w="206" w:type="pct"/>
                  <w:vAlign w:val="center"/>
                </w:tcPr>
                <w:p w14:paraId="06A94D50">
                  <w:pPr>
                    <w:widowControl/>
                    <w:jc w:val="center"/>
                    <w:textAlignment w:val="center"/>
                    <w:rPr>
                      <w:bCs/>
                      <w:color w:val="auto"/>
                      <w:spacing w:val="-10"/>
                      <w:sz w:val="18"/>
                      <w:szCs w:val="18"/>
                      <w:highlight w:val="none"/>
                    </w:rPr>
                  </w:pPr>
                  <w:r>
                    <w:rPr>
                      <w:color w:val="auto"/>
                      <w:kern w:val="0"/>
                      <w:sz w:val="18"/>
                      <w:szCs w:val="18"/>
                      <w:highlight w:val="none"/>
                      <w:lang w:bidi="ar"/>
                    </w:rPr>
                    <w:t>1.0</w:t>
                  </w:r>
                </w:p>
              </w:tc>
              <w:tc>
                <w:tcPr>
                  <w:tcW w:w="215" w:type="pct"/>
                  <w:vAlign w:val="center"/>
                </w:tcPr>
                <w:p w14:paraId="60543E01">
                  <w:pPr>
                    <w:widowControl/>
                    <w:jc w:val="center"/>
                    <w:textAlignment w:val="center"/>
                    <w:rPr>
                      <w:color w:val="auto"/>
                      <w:sz w:val="18"/>
                      <w:szCs w:val="18"/>
                      <w:highlight w:val="none"/>
                    </w:rPr>
                  </w:pPr>
                  <w:r>
                    <w:rPr>
                      <w:color w:val="auto"/>
                      <w:kern w:val="0"/>
                      <w:sz w:val="18"/>
                      <w:szCs w:val="18"/>
                      <w:highlight w:val="none"/>
                      <w:lang w:bidi="ar"/>
                    </w:rPr>
                    <w:t>-5.0</w:t>
                  </w:r>
                </w:p>
              </w:tc>
              <w:tc>
                <w:tcPr>
                  <w:tcW w:w="167" w:type="pct"/>
                  <w:vAlign w:val="center"/>
                </w:tcPr>
                <w:p w14:paraId="6247918A">
                  <w:pPr>
                    <w:widowControl/>
                    <w:jc w:val="center"/>
                    <w:textAlignment w:val="center"/>
                    <w:rPr>
                      <w:color w:val="auto"/>
                      <w:sz w:val="18"/>
                      <w:szCs w:val="18"/>
                      <w:highlight w:val="none"/>
                    </w:rPr>
                  </w:pPr>
                  <w:r>
                    <w:rPr>
                      <w:color w:val="auto"/>
                      <w:kern w:val="0"/>
                      <w:sz w:val="18"/>
                      <w:szCs w:val="18"/>
                      <w:highlight w:val="none"/>
                      <w:lang w:bidi="ar"/>
                    </w:rPr>
                    <w:t>1.2</w:t>
                  </w:r>
                </w:p>
              </w:tc>
              <w:tc>
                <w:tcPr>
                  <w:tcW w:w="183" w:type="pct"/>
                  <w:vAlign w:val="center"/>
                </w:tcPr>
                <w:p w14:paraId="7A43CAFD">
                  <w:pPr>
                    <w:widowControl/>
                    <w:jc w:val="center"/>
                    <w:textAlignment w:val="center"/>
                    <w:rPr>
                      <w:bCs/>
                      <w:color w:val="auto"/>
                      <w:spacing w:val="-10"/>
                      <w:sz w:val="18"/>
                      <w:szCs w:val="18"/>
                      <w:highlight w:val="none"/>
                    </w:rPr>
                  </w:pPr>
                  <w:r>
                    <w:rPr>
                      <w:color w:val="auto"/>
                      <w:kern w:val="0"/>
                      <w:sz w:val="18"/>
                      <w:szCs w:val="18"/>
                      <w:highlight w:val="none"/>
                      <w:lang w:bidi="ar"/>
                    </w:rPr>
                    <w:t>17.1</w:t>
                  </w:r>
                </w:p>
              </w:tc>
              <w:tc>
                <w:tcPr>
                  <w:tcW w:w="183" w:type="pct"/>
                  <w:vAlign w:val="center"/>
                </w:tcPr>
                <w:p w14:paraId="0A3E1C09">
                  <w:pPr>
                    <w:widowControl/>
                    <w:jc w:val="center"/>
                    <w:textAlignment w:val="center"/>
                    <w:rPr>
                      <w:color w:val="auto"/>
                      <w:sz w:val="18"/>
                      <w:szCs w:val="18"/>
                      <w:highlight w:val="none"/>
                    </w:rPr>
                  </w:pPr>
                  <w:r>
                    <w:rPr>
                      <w:color w:val="auto"/>
                      <w:kern w:val="0"/>
                      <w:sz w:val="18"/>
                      <w:szCs w:val="18"/>
                      <w:highlight w:val="none"/>
                      <w:lang w:bidi="ar"/>
                    </w:rPr>
                    <w:t>2.8</w:t>
                  </w:r>
                </w:p>
              </w:tc>
              <w:tc>
                <w:tcPr>
                  <w:tcW w:w="152" w:type="pct"/>
                  <w:vAlign w:val="center"/>
                </w:tcPr>
                <w:p w14:paraId="2E7666D4">
                  <w:pPr>
                    <w:widowControl/>
                    <w:jc w:val="center"/>
                    <w:textAlignment w:val="center"/>
                    <w:rPr>
                      <w:color w:val="auto"/>
                      <w:sz w:val="18"/>
                      <w:szCs w:val="18"/>
                      <w:highlight w:val="none"/>
                    </w:rPr>
                  </w:pPr>
                  <w:r>
                    <w:rPr>
                      <w:color w:val="auto"/>
                      <w:kern w:val="0"/>
                      <w:sz w:val="18"/>
                      <w:szCs w:val="18"/>
                      <w:highlight w:val="none"/>
                      <w:lang w:bidi="ar"/>
                    </w:rPr>
                    <w:t>3.4</w:t>
                  </w:r>
                </w:p>
              </w:tc>
              <w:tc>
                <w:tcPr>
                  <w:tcW w:w="198" w:type="pct"/>
                  <w:vAlign w:val="center"/>
                </w:tcPr>
                <w:p w14:paraId="63E1E562">
                  <w:pPr>
                    <w:widowControl/>
                    <w:jc w:val="center"/>
                    <w:textAlignment w:val="center"/>
                    <w:rPr>
                      <w:color w:val="auto"/>
                      <w:sz w:val="18"/>
                      <w:szCs w:val="18"/>
                      <w:highlight w:val="none"/>
                    </w:rPr>
                  </w:pPr>
                  <w:r>
                    <w:rPr>
                      <w:color w:val="auto"/>
                      <w:kern w:val="0"/>
                      <w:sz w:val="18"/>
                      <w:szCs w:val="18"/>
                      <w:highlight w:val="none"/>
                      <w:lang w:bidi="ar"/>
                    </w:rPr>
                    <w:t>12.0</w:t>
                  </w:r>
                </w:p>
              </w:tc>
              <w:tc>
                <w:tcPr>
                  <w:tcW w:w="183" w:type="pct"/>
                  <w:vAlign w:val="center"/>
                </w:tcPr>
                <w:p w14:paraId="712CBF05">
                  <w:pPr>
                    <w:widowControl/>
                    <w:jc w:val="center"/>
                    <w:textAlignment w:val="center"/>
                    <w:rPr>
                      <w:bCs/>
                      <w:color w:val="auto"/>
                      <w:spacing w:val="-10"/>
                      <w:sz w:val="18"/>
                      <w:szCs w:val="18"/>
                      <w:highlight w:val="none"/>
                    </w:rPr>
                  </w:pPr>
                  <w:r>
                    <w:rPr>
                      <w:color w:val="auto"/>
                      <w:kern w:val="0"/>
                      <w:sz w:val="18"/>
                      <w:szCs w:val="18"/>
                      <w:highlight w:val="none"/>
                      <w:lang w:bidi="ar"/>
                    </w:rPr>
                    <w:t>67.1</w:t>
                  </w:r>
                </w:p>
              </w:tc>
              <w:tc>
                <w:tcPr>
                  <w:tcW w:w="184" w:type="pct"/>
                  <w:vAlign w:val="center"/>
                </w:tcPr>
                <w:p w14:paraId="41B1B933">
                  <w:pPr>
                    <w:widowControl/>
                    <w:jc w:val="center"/>
                    <w:textAlignment w:val="center"/>
                    <w:rPr>
                      <w:color w:val="auto"/>
                      <w:sz w:val="18"/>
                      <w:szCs w:val="18"/>
                      <w:highlight w:val="none"/>
                    </w:rPr>
                  </w:pPr>
                  <w:r>
                    <w:rPr>
                      <w:color w:val="auto"/>
                      <w:kern w:val="0"/>
                      <w:sz w:val="18"/>
                      <w:szCs w:val="18"/>
                      <w:highlight w:val="none"/>
                      <w:lang w:bidi="ar"/>
                    </w:rPr>
                    <w:t>67.3</w:t>
                  </w:r>
                </w:p>
              </w:tc>
              <w:tc>
                <w:tcPr>
                  <w:tcW w:w="184" w:type="pct"/>
                  <w:vAlign w:val="center"/>
                </w:tcPr>
                <w:p w14:paraId="2DFEBBE5">
                  <w:pPr>
                    <w:widowControl/>
                    <w:jc w:val="center"/>
                    <w:textAlignment w:val="center"/>
                    <w:rPr>
                      <w:color w:val="auto"/>
                      <w:sz w:val="18"/>
                      <w:szCs w:val="18"/>
                      <w:highlight w:val="none"/>
                    </w:rPr>
                  </w:pPr>
                  <w:r>
                    <w:rPr>
                      <w:color w:val="auto"/>
                      <w:kern w:val="0"/>
                      <w:sz w:val="18"/>
                      <w:szCs w:val="18"/>
                      <w:highlight w:val="none"/>
                      <w:lang w:bidi="ar"/>
                    </w:rPr>
                    <w:t>67.2</w:t>
                  </w:r>
                </w:p>
              </w:tc>
              <w:tc>
                <w:tcPr>
                  <w:tcW w:w="220" w:type="pct"/>
                  <w:vAlign w:val="center"/>
                </w:tcPr>
                <w:p w14:paraId="359DF518">
                  <w:pPr>
                    <w:widowControl/>
                    <w:jc w:val="center"/>
                    <w:textAlignment w:val="center"/>
                    <w:rPr>
                      <w:color w:val="auto"/>
                      <w:sz w:val="18"/>
                      <w:szCs w:val="18"/>
                      <w:highlight w:val="none"/>
                    </w:rPr>
                  </w:pPr>
                  <w:r>
                    <w:rPr>
                      <w:color w:val="auto"/>
                      <w:kern w:val="0"/>
                      <w:sz w:val="18"/>
                      <w:szCs w:val="18"/>
                      <w:highlight w:val="none"/>
                      <w:lang w:bidi="ar"/>
                    </w:rPr>
                    <w:t>67.1</w:t>
                  </w:r>
                </w:p>
              </w:tc>
              <w:tc>
                <w:tcPr>
                  <w:tcW w:w="122" w:type="pct"/>
                  <w:vMerge w:val="continue"/>
                  <w:vAlign w:val="center"/>
                </w:tcPr>
                <w:p w14:paraId="74AFCB8C">
                  <w:pPr>
                    <w:jc w:val="center"/>
                    <w:rPr>
                      <w:bCs/>
                      <w:color w:val="auto"/>
                      <w:spacing w:val="-10"/>
                      <w:sz w:val="18"/>
                      <w:szCs w:val="18"/>
                      <w:highlight w:val="none"/>
                    </w:rPr>
                  </w:pPr>
                </w:p>
              </w:tc>
              <w:tc>
                <w:tcPr>
                  <w:tcW w:w="183" w:type="pct"/>
                  <w:vAlign w:val="center"/>
                </w:tcPr>
                <w:p w14:paraId="4900F1E9">
                  <w:pPr>
                    <w:widowControl/>
                    <w:jc w:val="center"/>
                    <w:textAlignment w:val="center"/>
                    <w:rPr>
                      <w:bCs/>
                      <w:color w:val="auto"/>
                      <w:spacing w:val="-10"/>
                      <w:sz w:val="18"/>
                      <w:szCs w:val="18"/>
                      <w:highlight w:val="none"/>
                    </w:rPr>
                  </w:pPr>
                  <w:r>
                    <w:rPr>
                      <w:color w:val="auto"/>
                      <w:kern w:val="0"/>
                      <w:sz w:val="18"/>
                      <w:szCs w:val="18"/>
                      <w:highlight w:val="none"/>
                      <w:lang w:bidi="ar"/>
                    </w:rPr>
                    <w:t>15.0</w:t>
                  </w:r>
                </w:p>
              </w:tc>
              <w:tc>
                <w:tcPr>
                  <w:tcW w:w="183" w:type="pct"/>
                  <w:vAlign w:val="center"/>
                </w:tcPr>
                <w:p w14:paraId="5F676873">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4BFAF9DE">
                  <w:pPr>
                    <w:widowControl/>
                    <w:jc w:val="center"/>
                    <w:textAlignment w:val="center"/>
                    <w:rPr>
                      <w:color w:val="auto"/>
                      <w:sz w:val="18"/>
                      <w:szCs w:val="18"/>
                      <w:highlight w:val="none"/>
                    </w:rPr>
                  </w:pPr>
                  <w:r>
                    <w:rPr>
                      <w:color w:val="auto"/>
                      <w:kern w:val="0"/>
                      <w:sz w:val="18"/>
                      <w:szCs w:val="18"/>
                      <w:highlight w:val="none"/>
                      <w:lang w:bidi="ar"/>
                    </w:rPr>
                    <w:t>15.0</w:t>
                  </w:r>
                </w:p>
              </w:tc>
              <w:tc>
                <w:tcPr>
                  <w:tcW w:w="195" w:type="pct"/>
                  <w:vAlign w:val="center"/>
                </w:tcPr>
                <w:p w14:paraId="2B210C11">
                  <w:pPr>
                    <w:widowControl/>
                    <w:jc w:val="center"/>
                    <w:textAlignment w:val="center"/>
                    <w:rPr>
                      <w:color w:val="auto"/>
                      <w:sz w:val="18"/>
                      <w:szCs w:val="18"/>
                      <w:highlight w:val="none"/>
                    </w:rPr>
                  </w:pPr>
                  <w:r>
                    <w:rPr>
                      <w:color w:val="auto"/>
                      <w:kern w:val="0"/>
                      <w:sz w:val="18"/>
                      <w:szCs w:val="18"/>
                      <w:highlight w:val="none"/>
                      <w:lang w:bidi="ar"/>
                    </w:rPr>
                    <w:t>15.0</w:t>
                  </w:r>
                </w:p>
              </w:tc>
              <w:tc>
                <w:tcPr>
                  <w:tcW w:w="187" w:type="pct"/>
                  <w:vAlign w:val="center"/>
                </w:tcPr>
                <w:p w14:paraId="3AD17296">
                  <w:pPr>
                    <w:widowControl/>
                    <w:jc w:val="center"/>
                    <w:textAlignment w:val="center"/>
                    <w:rPr>
                      <w:bCs/>
                      <w:color w:val="auto"/>
                      <w:spacing w:val="-10"/>
                      <w:sz w:val="18"/>
                      <w:szCs w:val="18"/>
                      <w:highlight w:val="none"/>
                    </w:rPr>
                  </w:pPr>
                  <w:r>
                    <w:rPr>
                      <w:color w:val="auto"/>
                      <w:kern w:val="0"/>
                      <w:sz w:val="18"/>
                      <w:szCs w:val="18"/>
                      <w:highlight w:val="none"/>
                      <w:lang w:bidi="ar"/>
                    </w:rPr>
                    <w:t>52.1</w:t>
                  </w:r>
                </w:p>
              </w:tc>
              <w:tc>
                <w:tcPr>
                  <w:tcW w:w="187" w:type="pct"/>
                  <w:vAlign w:val="center"/>
                </w:tcPr>
                <w:p w14:paraId="7C803DC9">
                  <w:pPr>
                    <w:widowControl/>
                    <w:jc w:val="center"/>
                    <w:textAlignment w:val="center"/>
                    <w:rPr>
                      <w:color w:val="auto"/>
                      <w:sz w:val="18"/>
                      <w:szCs w:val="18"/>
                      <w:highlight w:val="none"/>
                    </w:rPr>
                  </w:pPr>
                  <w:r>
                    <w:rPr>
                      <w:color w:val="auto"/>
                      <w:kern w:val="0"/>
                      <w:sz w:val="18"/>
                      <w:szCs w:val="18"/>
                      <w:highlight w:val="none"/>
                      <w:lang w:bidi="ar"/>
                    </w:rPr>
                    <w:t>52.3</w:t>
                  </w:r>
                </w:p>
              </w:tc>
              <w:tc>
                <w:tcPr>
                  <w:tcW w:w="187" w:type="pct"/>
                  <w:vAlign w:val="center"/>
                </w:tcPr>
                <w:p w14:paraId="13DD6DB9">
                  <w:pPr>
                    <w:widowControl/>
                    <w:jc w:val="center"/>
                    <w:textAlignment w:val="center"/>
                    <w:rPr>
                      <w:color w:val="auto"/>
                      <w:sz w:val="18"/>
                      <w:szCs w:val="18"/>
                      <w:highlight w:val="none"/>
                    </w:rPr>
                  </w:pPr>
                  <w:r>
                    <w:rPr>
                      <w:color w:val="auto"/>
                      <w:kern w:val="0"/>
                      <w:sz w:val="18"/>
                      <w:szCs w:val="18"/>
                      <w:highlight w:val="none"/>
                      <w:lang w:bidi="ar"/>
                    </w:rPr>
                    <w:t>52.2</w:t>
                  </w:r>
                </w:p>
              </w:tc>
              <w:tc>
                <w:tcPr>
                  <w:tcW w:w="187" w:type="pct"/>
                  <w:vAlign w:val="center"/>
                </w:tcPr>
                <w:p w14:paraId="3C0597F5">
                  <w:pPr>
                    <w:widowControl/>
                    <w:jc w:val="center"/>
                    <w:textAlignment w:val="center"/>
                    <w:rPr>
                      <w:color w:val="auto"/>
                      <w:sz w:val="18"/>
                      <w:szCs w:val="18"/>
                      <w:highlight w:val="none"/>
                    </w:rPr>
                  </w:pPr>
                  <w:r>
                    <w:rPr>
                      <w:color w:val="auto"/>
                      <w:kern w:val="0"/>
                      <w:sz w:val="18"/>
                      <w:szCs w:val="18"/>
                      <w:highlight w:val="none"/>
                      <w:lang w:bidi="ar"/>
                    </w:rPr>
                    <w:t>52.1</w:t>
                  </w:r>
                </w:p>
              </w:tc>
              <w:tc>
                <w:tcPr>
                  <w:tcW w:w="151" w:type="pct"/>
                  <w:vMerge w:val="continue"/>
                  <w:vAlign w:val="center"/>
                </w:tcPr>
                <w:p w14:paraId="5BF026C6">
                  <w:pPr>
                    <w:widowControl/>
                    <w:jc w:val="center"/>
                    <w:textAlignment w:val="center"/>
                    <w:rPr>
                      <w:color w:val="auto"/>
                      <w:sz w:val="18"/>
                      <w:szCs w:val="18"/>
                      <w:highlight w:val="none"/>
                    </w:rPr>
                  </w:pPr>
                </w:p>
              </w:tc>
            </w:tr>
            <w:tr w14:paraId="611D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47" w:type="pct"/>
                  <w:vAlign w:val="center"/>
                </w:tcPr>
                <w:p w14:paraId="58CFC7BD">
                  <w:pPr>
                    <w:widowControl/>
                    <w:jc w:val="center"/>
                    <w:textAlignment w:val="center"/>
                    <w:rPr>
                      <w:bCs/>
                      <w:color w:val="auto"/>
                      <w:spacing w:val="-10"/>
                      <w:sz w:val="18"/>
                      <w:szCs w:val="18"/>
                      <w:highlight w:val="none"/>
                    </w:rPr>
                  </w:pPr>
                  <w:r>
                    <w:rPr>
                      <w:color w:val="auto"/>
                      <w:kern w:val="0"/>
                      <w:sz w:val="18"/>
                      <w:szCs w:val="18"/>
                      <w:highlight w:val="none"/>
                      <w:lang w:bidi="ar"/>
                    </w:rPr>
                    <w:t>7</w:t>
                  </w:r>
                </w:p>
              </w:tc>
              <w:tc>
                <w:tcPr>
                  <w:tcW w:w="147" w:type="pct"/>
                  <w:vMerge w:val="continue"/>
                  <w:vAlign w:val="center"/>
                </w:tcPr>
                <w:p w14:paraId="3C4965E7">
                  <w:pPr>
                    <w:jc w:val="center"/>
                    <w:rPr>
                      <w:rFonts w:ascii="宋体" w:hAnsi="宋体" w:cs="宋体"/>
                      <w:bCs/>
                      <w:color w:val="auto"/>
                      <w:spacing w:val="-10"/>
                      <w:sz w:val="18"/>
                      <w:szCs w:val="18"/>
                      <w:highlight w:val="none"/>
                    </w:rPr>
                  </w:pPr>
                </w:p>
              </w:tc>
              <w:tc>
                <w:tcPr>
                  <w:tcW w:w="147" w:type="pct"/>
                  <w:vAlign w:val="center"/>
                </w:tcPr>
                <w:p w14:paraId="7ACE8EF3">
                  <w:pPr>
                    <w:widowControl/>
                    <w:jc w:val="center"/>
                    <w:textAlignment w:val="center"/>
                    <w:rPr>
                      <w:rFonts w:ascii="宋体" w:hAnsi="宋体" w:cs="宋体"/>
                      <w:color w:val="auto"/>
                      <w:sz w:val="18"/>
                      <w:szCs w:val="18"/>
                      <w:highlight w:val="none"/>
                    </w:rPr>
                  </w:pPr>
                  <w:r>
                    <w:rPr>
                      <w:rStyle w:val="66"/>
                      <w:rFonts w:hint="default"/>
                      <w:color w:val="auto"/>
                      <w:sz w:val="18"/>
                      <w:szCs w:val="18"/>
                      <w:highlight w:val="none"/>
                      <w:lang w:bidi="ar"/>
                    </w:rPr>
                    <w:t>除砂器</w:t>
                  </w:r>
                </w:p>
              </w:tc>
              <w:tc>
                <w:tcPr>
                  <w:tcW w:w="356" w:type="pct"/>
                  <w:vAlign w:val="center"/>
                </w:tcPr>
                <w:p w14:paraId="37FE59A7">
                  <w:pPr>
                    <w:widowControl/>
                    <w:jc w:val="center"/>
                    <w:textAlignment w:val="center"/>
                    <w:rPr>
                      <w:bCs/>
                      <w:color w:val="auto"/>
                      <w:spacing w:val="-10"/>
                      <w:sz w:val="18"/>
                      <w:szCs w:val="18"/>
                      <w:highlight w:val="none"/>
                    </w:rPr>
                  </w:pPr>
                  <w:r>
                    <w:rPr>
                      <w:rStyle w:val="66"/>
                      <w:rFonts w:hint="default"/>
                      <w:color w:val="auto"/>
                      <w:sz w:val="18"/>
                      <w:szCs w:val="18"/>
                      <w:highlight w:val="none"/>
                      <w:lang w:bidi="ar"/>
                    </w:rPr>
                    <w:t>旋转离心</w:t>
                  </w:r>
                </w:p>
              </w:tc>
              <w:tc>
                <w:tcPr>
                  <w:tcW w:w="240" w:type="pct"/>
                  <w:vAlign w:val="center"/>
                </w:tcPr>
                <w:p w14:paraId="565C48A0">
                  <w:pPr>
                    <w:widowControl/>
                    <w:jc w:val="center"/>
                    <w:textAlignment w:val="center"/>
                    <w:rPr>
                      <w:bCs/>
                      <w:color w:val="auto"/>
                      <w:spacing w:val="-10"/>
                      <w:sz w:val="18"/>
                      <w:szCs w:val="18"/>
                      <w:highlight w:val="none"/>
                    </w:rPr>
                  </w:pPr>
                  <w:r>
                    <w:rPr>
                      <w:color w:val="auto"/>
                      <w:kern w:val="0"/>
                      <w:sz w:val="18"/>
                      <w:szCs w:val="18"/>
                      <w:highlight w:val="none"/>
                      <w:lang w:bidi="ar"/>
                    </w:rPr>
                    <w:t>75</w:t>
                  </w:r>
                </w:p>
              </w:tc>
              <w:tc>
                <w:tcPr>
                  <w:tcW w:w="112" w:type="pct"/>
                  <w:vMerge w:val="continue"/>
                  <w:vAlign w:val="center"/>
                </w:tcPr>
                <w:p w14:paraId="52170141">
                  <w:pPr>
                    <w:jc w:val="center"/>
                    <w:rPr>
                      <w:bCs/>
                      <w:color w:val="auto"/>
                      <w:spacing w:val="-10"/>
                      <w:sz w:val="18"/>
                      <w:szCs w:val="18"/>
                      <w:highlight w:val="none"/>
                    </w:rPr>
                  </w:pPr>
                </w:p>
              </w:tc>
              <w:tc>
                <w:tcPr>
                  <w:tcW w:w="206" w:type="pct"/>
                  <w:vAlign w:val="center"/>
                </w:tcPr>
                <w:p w14:paraId="528CA569">
                  <w:pPr>
                    <w:widowControl/>
                    <w:jc w:val="center"/>
                    <w:textAlignment w:val="center"/>
                    <w:rPr>
                      <w:bCs/>
                      <w:color w:val="auto"/>
                      <w:spacing w:val="-10"/>
                      <w:sz w:val="18"/>
                      <w:szCs w:val="18"/>
                      <w:highlight w:val="none"/>
                    </w:rPr>
                  </w:pPr>
                  <w:r>
                    <w:rPr>
                      <w:color w:val="auto"/>
                      <w:kern w:val="0"/>
                      <w:sz w:val="18"/>
                      <w:szCs w:val="18"/>
                      <w:highlight w:val="none"/>
                      <w:lang w:bidi="ar"/>
                    </w:rPr>
                    <w:t>0.5</w:t>
                  </w:r>
                </w:p>
              </w:tc>
              <w:tc>
                <w:tcPr>
                  <w:tcW w:w="215" w:type="pct"/>
                  <w:vAlign w:val="center"/>
                </w:tcPr>
                <w:p w14:paraId="3286EA80">
                  <w:pPr>
                    <w:widowControl/>
                    <w:jc w:val="center"/>
                    <w:textAlignment w:val="center"/>
                    <w:rPr>
                      <w:color w:val="auto"/>
                      <w:sz w:val="18"/>
                      <w:szCs w:val="18"/>
                      <w:highlight w:val="none"/>
                    </w:rPr>
                  </w:pPr>
                  <w:r>
                    <w:rPr>
                      <w:color w:val="auto"/>
                      <w:kern w:val="0"/>
                      <w:sz w:val="18"/>
                      <w:szCs w:val="18"/>
                      <w:highlight w:val="none"/>
                      <w:lang w:bidi="ar"/>
                    </w:rPr>
                    <w:t>-6.2</w:t>
                  </w:r>
                </w:p>
              </w:tc>
              <w:tc>
                <w:tcPr>
                  <w:tcW w:w="167" w:type="pct"/>
                  <w:vAlign w:val="center"/>
                </w:tcPr>
                <w:p w14:paraId="742BA375">
                  <w:pPr>
                    <w:widowControl/>
                    <w:jc w:val="center"/>
                    <w:textAlignment w:val="center"/>
                    <w:rPr>
                      <w:color w:val="auto"/>
                      <w:sz w:val="18"/>
                      <w:szCs w:val="18"/>
                      <w:highlight w:val="none"/>
                    </w:rPr>
                  </w:pPr>
                  <w:r>
                    <w:rPr>
                      <w:color w:val="auto"/>
                      <w:kern w:val="0"/>
                      <w:sz w:val="18"/>
                      <w:szCs w:val="18"/>
                      <w:highlight w:val="none"/>
                      <w:lang w:bidi="ar"/>
                    </w:rPr>
                    <w:t>1.2</w:t>
                  </w:r>
                </w:p>
              </w:tc>
              <w:tc>
                <w:tcPr>
                  <w:tcW w:w="183" w:type="pct"/>
                  <w:vAlign w:val="center"/>
                </w:tcPr>
                <w:p w14:paraId="4D0A8D58">
                  <w:pPr>
                    <w:widowControl/>
                    <w:jc w:val="center"/>
                    <w:textAlignment w:val="center"/>
                    <w:rPr>
                      <w:bCs/>
                      <w:color w:val="auto"/>
                      <w:spacing w:val="-10"/>
                      <w:sz w:val="18"/>
                      <w:szCs w:val="18"/>
                      <w:highlight w:val="none"/>
                    </w:rPr>
                  </w:pPr>
                  <w:r>
                    <w:rPr>
                      <w:color w:val="auto"/>
                      <w:kern w:val="0"/>
                      <w:sz w:val="18"/>
                      <w:szCs w:val="18"/>
                      <w:highlight w:val="none"/>
                      <w:lang w:bidi="ar"/>
                    </w:rPr>
                    <w:t>18.0</w:t>
                  </w:r>
                </w:p>
              </w:tc>
              <w:tc>
                <w:tcPr>
                  <w:tcW w:w="183" w:type="pct"/>
                  <w:vAlign w:val="center"/>
                </w:tcPr>
                <w:p w14:paraId="1A9A33ED">
                  <w:pPr>
                    <w:widowControl/>
                    <w:jc w:val="center"/>
                    <w:textAlignment w:val="center"/>
                    <w:rPr>
                      <w:color w:val="auto"/>
                      <w:sz w:val="18"/>
                      <w:szCs w:val="18"/>
                      <w:highlight w:val="none"/>
                    </w:rPr>
                  </w:pPr>
                  <w:r>
                    <w:rPr>
                      <w:color w:val="auto"/>
                      <w:kern w:val="0"/>
                      <w:sz w:val="18"/>
                      <w:szCs w:val="18"/>
                      <w:highlight w:val="none"/>
                      <w:lang w:bidi="ar"/>
                    </w:rPr>
                    <w:t>1.9</w:t>
                  </w:r>
                </w:p>
              </w:tc>
              <w:tc>
                <w:tcPr>
                  <w:tcW w:w="152" w:type="pct"/>
                  <w:vAlign w:val="center"/>
                </w:tcPr>
                <w:p w14:paraId="06FDC1F8">
                  <w:pPr>
                    <w:widowControl/>
                    <w:jc w:val="center"/>
                    <w:textAlignment w:val="center"/>
                    <w:rPr>
                      <w:color w:val="auto"/>
                      <w:sz w:val="18"/>
                      <w:szCs w:val="18"/>
                      <w:highlight w:val="none"/>
                    </w:rPr>
                  </w:pPr>
                  <w:r>
                    <w:rPr>
                      <w:color w:val="auto"/>
                      <w:kern w:val="0"/>
                      <w:sz w:val="18"/>
                      <w:szCs w:val="18"/>
                      <w:highlight w:val="none"/>
                      <w:lang w:bidi="ar"/>
                    </w:rPr>
                    <w:t>4.3</w:t>
                  </w:r>
                </w:p>
              </w:tc>
              <w:tc>
                <w:tcPr>
                  <w:tcW w:w="198" w:type="pct"/>
                  <w:vAlign w:val="center"/>
                </w:tcPr>
                <w:p w14:paraId="1B9783BA">
                  <w:pPr>
                    <w:widowControl/>
                    <w:jc w:val="center"/>
                    <w:textAlignment w:val="center"/>
                    <w:rPr>
                      <w:color w:val="auto"/>
                      <w:sz w:val="18"/>
                      <w:szCs w:val="18"/>
                      <w:highlight w:val="none"/>
                    </w:rPr>
                  </w:pPr>
                  <w:r>
                    <w:rPr>
                      <w:color w:val="auto"/>
                      <w:kern w:val="0"/>
                      <w:sz w:val="18"/>
                      <w:szCs w:val="18"/>
                      <w:highlight w:val="none"/>
                      <w:lang w:bidi="ar"/>
                    </w:rPr>
                    <w:t>12.8</w:t>
                  </w:r>
                </w:p>
              </w:tc>
              <w:tc>
                <w:tcPr>
                  <w:tcW w:w="183" w:type="pct"/>
                  <w:vAlign w:val="center"/>
                </w:tcPr>
                <w:p w14:paraId="04408234">
                  <w:pPr>
                    <w:widowControl/>
                    <w:jc w:val="center"/>
                    <w:textAlignment w:val="center"/>
                    <w:rPr>
                      <w:bCs/>
                      <w:color w:val="auto"/>
                      <w:spacing w:val="-10"/>
                      <w:sz w:val="18"/>
                      <w:szCs w:val="18"/>
                      <w:highlight w:val="none"/>
                    </w:rPr>
                  </w:pPr>
                  <w:r>
                    <w:rPr>
                      <w:color w:val="auto"/>
                      <w:kern w:val="0"/>
                      <w:sz w:val="18"/>
                      <w:szCs w:val="18"/>
                      <w:highlight w:val="none"/>
                      <w:lang w:bidi="ar"/>
                    </w:rPr>
                    <w:t>70.1</w:t>
                  </w:r>
                </w:p>
              </w:tc>
              <w:tc>
                <w:tcPr>
                  <w:tcW w:w="184" w:type="pct"/>
                  <w:vAlign w:val="center"/>
                </w:tcPr>
                <w:p w14:paraId="74357BB8">
                  <w:pPr>
                    <w:widowControl/>
                    <w:jc w:val="center"/>
                    <w:textAlignment w:val="center"/>
                    <w:rPr>
                      <w:color w:val="auto"/>
                      <w:sz w:val="18"/>
                      <w:szCs w:val="18"/>
                      <w:highlight w:val="none"/>
                    </w:rPr>
                  </w:pPr>
                  <w:r>
                    <w:rPr>
                      <w:color w:val="auto"/>
                      <w:kern w:val="0"/>
                      <w:sz w:val="18"/>
                      <w:szCs w:val="18"/>
                      <w:highlight w:val="none"/>
                      <w:lang w:bidi="ar"/>
                    </w:rPr>
                    <w:t>70.4</w:t>
                  </w:r>
                </w:p>
              </w:tc>
              <w:tc>
                <w:tcPr>
                  <w:tcW w:w="184" w:type="pct"/>
                  <w:vAlign w:val="center"/>
                </w:tcPr>
                <w:p w14:paraId="7BE5DB5B">
                  <w:pPr>
                    <w:widowControl/>
                    <w:jc w:val="center"/>
                    <w:textAlignment w:val="center"/>
                    <w:rPr>
                      <w:color w:val="auto"/>
                      <w:sz w:val="18"/>
                      <w:szCs w:val="18"/>
                      <w:highlight w:val="none"/>
                    </w:rPr>
                  </w:pPr>
                  <w:r>
                    <w:rPr>
                      <w:color w:val="auto"/>
                      <w:kern w:val="0"/>
                      <w:sz w:val="18"/>
                      <w:szCs w:val="18"/>
                      <w:highlight w:val="none"/>
                      <w:lang w:bidi="ar"/>
                    </w:rPr>
                    <w:t>70.2</w:t>
                  </w:r>
                </w:p>
              </w:tc>
              <w:tc>
                <w:tcPr>
                  <w:tcW w:w="220" w:type="pct"/>
                  <w:vAlign w:val="center"/>
                </w:tcPr>
                <w:p w14:paraId="12450A65">
                  <w:pPr>
                    <w:widowControl/>
                    <w:jc w:val="center"/>
                    <w:textAlignment w:val="center"/>
                    <w:rPr>
                      <w:color w:val="auto"/>
                      <w:sz w:val="18"/>
                      <w:szCs w:val="18"/>
                      <w:highlight w:val="none"/>
                    </w:rPr>
                  </w:pPr>
                  <w:r>
                    <w:rPr>
                      <w:color w:val="auto"/>
                      <w:kern w:val="0"/>
                      <w:sz w:val="18"/>
                      <w:szCs w:val="18"/>
                      <w:highlight w:val="none"/>
                      <w:lang w:bidi="ar"/>
                    </w:rPr>
                    <w:t>70.1</w:t>
                  </w:r>
                </w:p>
              </w:tc>
              <w:tc>
                <w:tcPr>
                  <w:tcW w:w="122" w:type="pct"/>
                  <w:vMerge w:val="continue"/>
                  <w:vAlign w:val="center"/>
                </w:tcPr>
                <w:p w14:paraId="21A7299C">
                  <w:pPr>
                    <w:jc w:val="center"/>
                    <w:rPr>
                      <w:bCs/>
                      <w:color w:val="auto"/>
                      <w:spacing w:val="-10"/>
                      <w:sz w:val="18"/>
                      <w:szCs w:val="18"/>
                      <w:highlight w:val="none"/>
                    </w:rPr>
                  </w:pPr>
                </w:p>
              </w:tc>
              <w:tc>
                <w:tcPr>
                  <w:tcW w:w="183" w:type="pct"/>
                  <w:vAlign w:val="center"/>
                </w:tcPr>
                <w:p w14:paraId="6A475852">
                  <w:pPr>
                    <w:widowControl/>
                    <w:jc w:val="center"/>
                    <w:textAlignment w:val="center"/>
                    <w:rPr>
                      <w:bCs/>
                      <w:color w:val="auto"/>
                      <w:spacing w:val="-10"/>
                      <w:sz w:val="18"/>
                      <w:szCs w:val="18"/>
                      <w:highlight w:val="none"/>
                    </w:rPr>
                  </w:pPr>
                  <w:r>
                    <w:rPr>
                      <w:color w:val="auto"/>
                      <w:kern w:val="0"/>
                      <w:sz w:val="18"/>
                      <w:szCs w:val="18"/>
                      <w:highlight w:val="none"/>
                      <w:lang w:bidi="ar"/>
                    </w:rPr>
                    <w:t>15.0</w:t>
                  </w:r>
                </w:p>
              </w:tc>
              <w:tc>
                <w:tcPr>
                  <w:tcW w:w="183" w:type="pct"/>
                  <w:vAlign w:val="center"/>
                </w:tcPr>
                <w:p w14:paraId="183734B1">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4FACD11A">
                  <w:pPr>
                    <w:widowControl/>
                    <w:jc w:val="center"/>
                    <w:textAlignment w:val="center"/>
                    <w:rPr>
                      <w:color w:val="auto"/>
                      <w:sz w:val="18"/>
                      <w:szCs w:val="18"/>
                      <w:highlight w:val="none"/>
                    </w:rPr>
                  </w:pPr>
                  <w:r>
                    <w:rPr>
                      <w:color w:val="auto"/>
                      <w:kern w:val="0"/>
                      <w:sz w:val="18"/>
                      <w:szCs w:val="18"/>
                      <w:highlight w:val="none"/>
                      <w:lang w:bidi="ar"/>
                    </w:rPr>
                    <w:t>15.0</w:t>
                  </w:r>
                </w:p>
              </w:tc>
              <w:tc>
                <w:tcPr>
                  <w:tcW w:w="195" w:type="pct"/>
                  <w:vAlign w:val="center"/>
                </w:tcPr>
                <w:p w14:paraId="431DD558">
                  <w:pPr>
                    <w:widowControl/>
                    <w:jc w:val="center"/>
                    <w:textAlignment w:val="center"/>
                    <w:rPr>
                      <w:color w:val="auto"/>
                      <w:sz w:val="18"/>
                      <w:szCs w:val="18"/>
                      <w:highlight w:val="none"/>
                    </w:rPr>
                  </w:pPr>
                  <w:r>
                    <w:rPr>
                      <w:color w:val="auto"/>
                      <w:kern w:val="0"/>
                      <w:sz w:val="18"/>
                      <w:szCs w:val="18"/>
                      <w:highlight w:val="none"/>
                      <w:lang w:bidi="ar"/>
                    </w:rPr>
                    <w:t>15.0</w:t>
                  </w:r>
                </w:p>
              </w:tc>
              <w:tc>
                <w:tcPr>
                  <w:tcW w:w="187" w:type="pct"/>
                  <w:vAlign w:val="center"/>
                </w:tcPr>
                <w:p w14:paraId="07110F1D">
                  <w:pPr>
                    <w:widowControl/>
                    <w:jc w:val="center"/>
                    <w:textAlignment w:val="center"/>
                    <w:rPr>
                      <w:bCs/>
                      <w:color w:val="auto"/>
                      <w:spacing w:val="-10"/>
                      <w:sz w:val="18"/>
                      <w:szCs w:val="18"/>
                      <w:highlight w:val="none"/>
                    </w:rPr>
                  </w:pPr>
                  <w:r>
                    <w:rPr>
                      <w:color w:val="auto"/>
                      <w:kern w:val="0"/>
                      <w:sz w:val="18"/>
                      <w:szCs w:val="18"/>
                      <w:highlight w:val="none"/>
                      <w:lang w:bidi="ar"/>
                    </w:rPr>
                    <w:t>55.1</w:t>
                  </w:r>
                </w:p>
              </w:tc>
              <w:tc>
                <w:tcPr>
                  <w:tcW w:w="187" w:type="pct"/>
                  <w:vAlign w:val="center"/>
                </w:tcPr>
                <w:p w14:paraId="7E1C16EC">
                  <w:pPr>
                    <w:widowControl/>
                    <w:jc w:val="center"/>
                    <w:textAlignment w:val="center"/>
                    <w:rPr>
                      <w:color w:val="auto"/>
                      <w:sz w:val="18"/>
                      <w:szCs w:val="18"/>
                      <w:highlight w:val="none"/>
                    </w:rPr>
                  </w:pPr>
                  <w:r>
                    <w:rPr>
                      <w:color w:val="auto"/>
                      <w:kern w:val="0"/>
                      <w:sz w:val="18"/>
                      <w:szCs w:val="18"/>
                      <w:highlight w:val="none"/>
                      <w:lang w:bidi="ar"/>
                    </w:rPr>
                    <w:t>55.4</w:t>
                  </w:r>
                </w:p>
              </w:tc>
              <w:tc>
                <w:tcPr>
                  <w:tcW w:w="187" w:type="pct"/>
                  <w:vAlign w:val="center"/>
                </w:tcPr>
                <w:p w14:paraId="1D87910D">
                  <w:pPr>
                    <w:widowControl/>
                    <w:jc w:val="center"/>
                    <w:textAlignment w:val="center"/>
                    <w:rPr>
                      <w:color w:val="auto"/>
                      <w:sz w:val="18"/>
                      <w:szCs w:val="18"/>
                      <w:highlight w:val="none"/>
                    </w:rPr>
                  </w:pPr>
                  <w:r>
                    <w:rPr>
                      <w:color w:val="auto"/>
                      <w:kern w:val="0"/>
                      <w:sz w:val="18"/>
                      <w:szCs w:val="18"/>
                      <w:highlight w:val="none"/>
                      <w:lang w:bidi="ar"/>
                    </w:rPr>
                    <w:t>55.2</w:t>
                  </w:r>
                </w:p>
              </w:tc>
              <w:tc>
                <w:tcPr>
                  <w:tcW w:w="187" w:type="pct"/>
                  <w:vAlign w:val="center"/>
                </w:tcPr>
                <w:p w14:paraId="5DD0D997">
                  <w:pPr>
                    <w:widowControl/>
                    <w:jc w:val="center"/>
                    <w:textAlignment w:val="center"/>
                    <w:rPr>
                      <w:color w:val="auto"/>
                      <w:sz w:val="18"/>
                      <w:szCs w:val="18"/>
                      <w:highlight w:val="none"/>
                    </w:rPr>
                  </w:pPr>
                  <w:r>
                    <w:rPr>
                      <w:color w:val="auto"/>
                      <w:kern w:val="0"/>
                      <w:sz w:val="18"/>
                      <w:szCs w:val="18"/>
                      <w:highlight w:val="none"/>
                      <w:lang w:bidi="ar"/>
                    </w:rPr>
                    <w:t>55.1</w:t>
                  </w:r>
                </w:p>
              </w:tc>
              <w:tc>
                <w:tcPr>
                  <w:tcW w:w="151" w:type="pct"/>
                  <w:vMerge w:val="continue"/>
                  <w:vAlign w:val="center"/>
                </w:tcPr>
                <w:p w14:paraId="4E217648">
                  <w:pPr>
                    <w:widowControl/>
                    <w:jc w:val="center"/>
                    <w:textAlignment w:val="center"/>
                    <w:rPr>
                      <w:color w:val="auto"/>
                      <w:sz w:val="18"/>
                      <w:szCs w:val="18"/>
                      <w:highlight w:val="none"/>
                    </w:rPr>
                  </w:pPr>
                </w:p>
              </w:tc>
            </w:tr>
            <w:tr w14:paraId="6029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7" w:type="pct"/>
                  <w:vAlign w:val="center"/>
                </w:tcPr>
                <w:p w14:paraId="62E1B30B">
                  <w:pPr>
                    <w:widowControl/>
                    <w:jc w:val="center"/>
                    <w:textAlignment w:val="center"/>
                    <w:rPr>
                      <w:bCs/>
                      <w:color w:val="auto"/>
                      <w:spacing w:val="-10"/>
                      <w:sz w:val="18"/>
                      <w:szCs w:val="18"/>
                      <w:highlight w:val="none"/>
                    </w:rPr>
                  </w:pPr>
                  <w:r>
                    <w:rPr>
                      <w:color w:val="auto"/>
                      <w:kern w:val="0"/>
                      <w:sz w:val="18"/>
                      <w:szCs w:val="18"/>
                      <w:highlight w:val="none"/>
                      <w:lang w:bidi="ar"/>
                    </w:rPr>
                    <w:t>8</w:t>
                  </w:r>
                </w:p>
              </w:tc>
              <w:tc>
                <w:tcPr>
                  <w:tcW w:w="147" w:type="pct"/>
                  <w:vMerge w:val="continue"/>
                  <w:vAlign w:val="center"/>
                </w:tcPr>
                <w:p w14:paraId="0B39E3C4">
                  <w:pPr>
                    <w:jc w:val="center"/>
                    <w:rPr>
                      <w:rFonts w:ascii="宋体" w:hAnsi="宋体" w:cs="宋体"/>
                      <w:bCs/>
                      <w:color w:val="auto"/>
                      <w:sz w:val="18"/>
                      <w:szCs w:val="18"/>
                      <w:highlight w:val="none"/>
                    </w:rPr>
                  </w:pPr>
                </w:p>
              </w:tc>
              <w:tc>
                <w:tcPr>
                  <w:tcW w:w="147" w:type="pct"/>
                  <w:vAlign w:val="center"/>
                </w:tcPr>
                <w:p w14:paraId="22D64C6B">
                  <w:pPr>
                    <w:widowControl/>
                    <w:jc w:val="center"/>
                    <w:textAlignment w:val="center"/>
                    <w:rPr>
                      <w:rFonts w:ascii="宋体" w:hAnsi="宋体" w:cs="宋体"/>
                      <w:color w:val="auto"/>
                      <w:sz w:val="18"/>
                      <w:szCs w:val="18"/>
                      <w:highlight w:val="none"/>
                    </w:rPr>
                  </w:pPr>
                  <w:r>
                    <w:rPr>
                      <w:rStyle w:val="66"/>
                      <w:rFonts w:hint="default"/>
                      <w:color w:val="auto"/>
                      <w:sz w:val="18"/>
                      <w:szCs w:val="18"/>
                      <w:highlight w:val="none"/>
                      <w:lang w:bidi="ar"/>
                    </w:rPr>
                    <w:t>除砂器泵</w:t>
                  </w:r>
                </w:p>
              </w:tc>
              <w:tc>
                <w:tcPr>
                  <w:tcW w:w="356" w:type="pct"/>
                  <w:vAlign w:val="center"/>
                </w:tcPr>
                <w:p w14:paraId="35CB7F99">
                  <w:pPr>
                    <w:widowControl/>
                    <w:jc w:val="center"/>
                    <w:textAlignment w:val="center"/>
                    <w:rPr>
                      <w:bCs/>
                      <w:color w:val="auto"/>
                      <w:spacing w:val="-10"/>
                      <w:sz w:val="18"/>
                      <w:szCs w:val="18"/>
                      <w:highlight w:val="none"/>
                    </w:rPr>
                  </w:pPr>
                  <w:r>
                    <w:rPr>
                      <w:color w:val="auto"/>
                      <w:kern w:val="0"/>
                      <w:sz w:val="18"/>
                      <w:szCs w:val="18"/>
                      <w:highlight w:val="none"/>
                      <w:lang w:bidi="ar"/>
                    </w:rPr>
                    <w:t>/</w:t>
                  </w:r>
                </w:p>
              </w:tc>
              <w:tc>
                <w:tcPr>
                  <w:tcW w:w="240" w:type="pct"/>
                  <w:vAlign w:val="center"/>
                </w:tcPr>
                <w:p w14:paraId="51D0F833">
                  <w:pPr>
                    <w:widowControl/>
                    <w:jc w:val="center"/>
                    <w:textAlignment w:val="center"/>
                    <w:rPr>
                      <w:bCs/>
                      <w:color w:val="auto"/>
                      <w:spacing w:val="-10"/>
                      <w:sz w:val="18"/>
                      <w:szCs w:val="18"/>
                      <w:highlight w:val="none"/>
                    </w:rPr>
                  </w:pPr>
                  <w:r>
                    <w:rPr>
                      <w:color w:val="auto"/>
                      <w:kern w:val="0"/>
                      <w:sz w:val="18"/>
                      <w:szCs w:val="18"/>
                      <w:highlight w:val="none"/>
                      <w:lang w:bidi="ar"/>
                    </w:rPr>
                    <w:t>80</w:t>
                  </w:r>
                </w:p>
              </w:tc>
              <w:tc>
                <w:tcPr>
                  <w:tcW w:w="112" w:type="pct"/>
                  <w:vMerge w:val="continue"/>
                  <w:vAlign w:val="center"/>
                </w:tcPr>
                <w:p w14:paraId="4C7E773E">
                  <w:pPr>
                    <w:jc w:val="center"/>
                    <w:rPr>
                      <w:bCs/>
                      <w:color w:val="auto"/>
                      <w:spacing w:val="-10"/>
                      <w:sz w:val="18"/>
                      <w:szCs w:val="18"/>
                      <w:highlight w:val="none"/>
                    </w:rPr>
                  </w:pPr>
                </w:p>
              </w:tc>
              <w:tc>
                <w:tcPr>
                  <w:tcW w:w="206" w:type="pct"/>
                  <w:vAlign w:val="center"/>
                </w:tcPr>
                <w:p w14:paraId="2F2945C8">
                  <w:pPr>
                    <w:widowControl/>
                    <w:jc w:val="center"/>
                    <w:textAlignment w:val="center"/>
                    <w:rPr>
                      <w:bCs/>
                      <w:color w:val="auto"/>
                      <w:spacing w:val="-10"/>
                      <w:sz w:val="18"/>
                      <w:szCs w:val="18"/>
                      <w:highlight w:val="none"/>
                    </w:rPr>
                  </w:pPr>
                  <w:r>
                    <w:rPr>
                      <w:color w:val="auto"/>
                      <w:kern w:val="0"/>
                      <w:sz w:val="18"/>
                      <w:szCs w:val="18"/>
                      <w:highlight w:val="none"/>
                      <w:lang w:bidi="ar"/>
                    </w:rPr>
                    <w:t>0.6</w:t>
                  </w:r>
                </w:p>
              </w:tc>
              <w:tc>
                <w:tcPr>
                  <w:tcW w:w="215" w:type="pct"/>
                  <w:vAlign w:val="center"/>
                </w:tcPr>
                <w:p w14:paraId="571CDCF5">
                  <w:pPr>
                    <w:widowControl/>
                    <w:jc w:val="center"/>
                    <w:textAlignment w:val="center"/>
                    <w:rPr>
                      <w:color w:val="auto"/>
                      <w:sz w:val="18"/>
                      <w:szCs w:val="18"/>
                      <w:highlight w:val="none"/>
                    </w:rPr>
                  </w:pPr>
                  <w:r>
                    <w:rPr>
                      <w:color w:val="auto"/>
                      <w:kern w:val="0"/>
                      <w:sz w:val="18"/>
                      <w:szCs w:val="18"/>
                      <w:highlight w:val="none"/>
                      <w:lang w:bidi="ar"/>
                    </w:rPr>
                    <w:t>-5.7</w:t>
                  </w:r>
                </w:p>
              </w:tc>
              <w:tc>
                <w:tcPr>
                  <w:tcW w:w="167" w:type="pct"/>
                  <w:vAlign w:val="center"/>
                </w:tcPr>
                <w:p w14:paraId="179487AC">
                  <w:pPr>
                    <w:widowControl/>
                    <w:jc w:val="center"/>
                    <w:textAlignment w:val="center"/>
                    <w:rPr>
                      <w:color w:val="auto"/>
                      <w:sz w:val="18"/>
                      <w:szCs w:val="18"/>
                      <w:highlight w:val="none"/>
                    </w:rPr>
                  </w:pPr>
                  <w:r>
                    <w:rPr>
                      <w:color w:val="auto"/>
                      <w:kern w:val="0"/>
                      <w:sz w:val="18"/>
                      <w:szCs w:val="18"/>
                      <w:highlight w:val="none"/>
                      <w:lang w:bidi="ar"/>
                    </w:rPr>
                    <w:t>1.2</w:t>
                  </w:r>
                </w:p>
              </w:tc>
              <w:tc>
                <w:tcPr>
                  <w:tcW w:w="183" w:type="pct"/>
                  <w:vAlign w:val="center"/>
                </w:tcPr>
                <w:p w14:paraId="6DF170E2">
                  <w:pPr>
                    <w:widowControl/>
                    <w:jc w:val="center"/>
                    <w:textAlignment w:val="center"/>
                    <w:rPr>
                      <w:bCs/>
                      <w:color w:val="auto"/>
                      <w:spacing w:val="-10"/>
                      <w:sz w:val="18"/>
                      <w:szCs w:val="18"/>
                      <w:highlight w:val="none"/>
                    </w:rPr>
                  </w:pPr>
                  <w:r>
                    <w:rPr>
                      <w:color w:val="auto"/>
                      <w:kern w:val="0"/>
                      <w:sz w:val="18"/>
                      <w:szCs w:val="18"/>
                      <w:highlight w:val="none"/>
                      <w:lang w:bidi="ar"/>
                    </w:rPr>
                    <w:t>17.7</w:t>
                  </w:r>
                </w:p>
              </w:tc>
              <w:tc>
                <w:tcPr>
                  <w:tcW w:w="183" w:type="pct"/>
                  <w:vAlign w:val="center"/>
                </w:tcPr>
                <w:p w14:paraId="2DD5F3EB">
                  <w:pPr>
                    <w:widowControl/>
                    <w:jc w:val="center"/>
                    <w:textAlignment w:val="center"/>
                    <w:rPr>
                      <w:color w:val="auto"/>
                      <w:sz w:val="18"/>
                      <w:szCs w:val="18"/>
                      <w:highlight w:val="none"/>
                    </w:rPr>
                  </w:pPr>
                  <w:r>
                    <w:rPr>
                      <w:color w:val="auto"/>
                      <w:kern w:val="0"/>
                      <w:sz w:val="18"/>
                      <w:szCs w:val="18"/>
                      <w:highlight w:val="none"/>
                      <w:lang w:bidi="ar"/>
                    </w:rPr>
                    <w:t>2.3</w:t>
                  </w:r>
                </w:p>
              </w:tc>
              <w:tc>
                <w:tcPr>
                  <w:tcW w:w="152" w:type="pct"/>
                  <w:vAlign w:val="center"/>
                </w:tcPr>
                <w:p w14:paraId="6FBB9291">
                  <w:pPr>
                    <w:widowControl/>
                    <w:jc w:val="center"/>
                    <w:textAlignment w:val="center"/>
                    <w:rPr>
                      <w:color w:val="auto"/>
                      <w:sz w:val="18"/>
                      <w:szCs w:val="18"/>
                      <w:highlight w:val="none"/>
                    </w:rPr>
                  </w:pPr>
                  <w:r>
                    <w:rPr>
                      <w:color w:val="auto"/>
                      <w:kern w:val="0"/>
                      <w:sz w:val="18"/>
                      <w:szCs w:val="18"/>
                      <w:highlight w:val="none"/>
                      <w:lang w:bidi="ar"/>
                    </w:rPr>
                    <w:t>3.9</w:t>
                  </w:r>
                </w:p>
              </w:tc>
              <w:tc>
                <w:tcPr>
                  <w:tcW w:w="198" w:type="pct"/>
                  <w:vAlign w:val="center"/>
                </w:tcPr>
                <w:p w14:paraId="430AC861">
                  <w:pPr>
                    <w:widowControl/>
                    <w:jc w:val="center"/>
                    <w:textAlignment w:val="center"/>
                    <w:rPr>
                      <w:color w:val="auto"/>
                      <w:sz w:val="18"/>
                      <w:szCs w:val="18"/>
                      <w:highlight w:val="none"/>
                    </w:rPr>
                  </w:pPr>
                  <w:r>
                    <w:rPr>
                      <w:color w:val="auto"/>
                      <w:kern w:val="0"/>
                      <w:sz w:val="18"/>
                      <w:szCs w:val="18"/>
                      <w:highlight w:val="none"/>
                      <w:lang w:bidi="ar"/>
                    </w:rPr>
                    <w:t>12.4</w:t>
                  </w:r>
                </w:p>
              </w:tc>
              <w:tc>
                <w:tcPr>
                  <w:tcW w:w="183" w:type="pct"/>
                  <w:vAlign w:val="center"/>
                </w:tcPr>
                <w:p w14:paraId="30157622">
                  <w:pPr>
                    <w:widowControl/>
                    <w:jc w:val="center"/>
                    <w:textAlignment w:val="center"/>
                    <w:rPr>
                      <w:bCs/>
                      <w:color w:val="auto"/>
                      <w:spacing w:val="-10"/>
                      <w:sz w:val="18"/>
                      <w:szCs w:val="18"/>
                      <w:highlight w:val="none"/>
                    </w:rPr>
                  </w:pPr>
                  <w:r>
                    <w:rPr>
                      <w:color w:val="auto"/>
                      <w:kern w:val="0"/>
                      <w:sz w:val="18"/>
                      <w:szCs w:val="18"/>
                      <w:highlight w:val="none"/>
                      <w:lang w:bidi="ar"/>
                    </w:rPr>
                    <w:t>75.1</w:t>
                  </w:r>
                </w:p>
              </w:tc>
              <w:tc>
                <w:tcPr>
                  <w:tcW w:w="184" w:type="pct"/>
                  <w:vAlign w:val="center"/>
                </w:tcPr>
                <w:p w14:paraId="50694650">
                  <w:pPr>
                    <w:widowControl/>
                    <w:jc w:val="center"/>
                    <w:textAlignment w:val="center"/>
                    <w:rPr>
                      <w:color w:val="auto"/>
                      <w:sz w:val="18"/>
                      <w:szCs w:val="18"/>
                      <w:highlight w:val="none"/>
                    </w:rPr>
                  </w:pPr>
                  <w:r>
                    <w:rPr>
                      <w:color w:val="auto"/>
                      <w:kern w:val="0"/>
                      <w:sz w:val="18"/>
                      <w:szCs w:val="18"/>
                      <w:highlight w:val="none"/>
                      <w:lang w:bidi="ar"/>
                    </w:rPr>
                    <w:t>75.3</w:t>
                  </w:r>
                </w:p>
              </w:tc>
              <w:tc>
                <w:tcPr>
                  <w:tcW w:w="184" w:type="pct"/>
                  <w:vAlign w:val="center"/>
                </w:tcPr>
                <w:p w14:paraId="25A2BB3E">
                  <w:pPr>
                    <w:widowControl/>
                    <w:jc w:val="center"/>
                    <w:textAlignment w:val="center"/>
                    <w:rPr>
                      <w:color w:val="auto"/>
                      <w:sz w:val="18"/>
                      <w:szCs w:val="18"/>
                      <w:highlight w:val="none"/>
                    </w:rPr>
                  </w:pPr>
                  <w:r>
                    <w:rPr>
                      <w:color w:val="auto"/>
                      <w:kern w:val="0"/>
                      <w:sz w:val="18"/>
                      <w:szCs w:val="18"/>
                      <w:highlight w:val="none"/>
                      <w:lang w:bidi="ar"/>
                    </w:rPr>
                    <w:t>75.2</w:t>
                  </w:r>
                </w:p>
              </w:tc>
              <w:tc>
                <w:tcPr>
                  <w:tcW w:w="220" w:type="pct"/>
                  <w:vAlign w:val="center"/>
                </w:tcPr>
                <w:p w14:paraId="44945AB0">
                  <w:pPr>
                    <w:widowControl/>
                    <w:jc w:val="center"/>
                    <w:textAlignment w:val="center"/>
                    <w:rPr>
                      <w:color w:val="auto"/>
                      <w:sz w:val="18"/>
                      <w:szCs w:val="18"/>
                      <w:highlight w:val="none"/>
                    </w:rPr>
                  </w:pPr>
                  <w:r>
                    <w:rPr>
                      <w:color w:val="auto"/>
                      <w:kern w:val="0"/>
                      <w:sz w:val="18"/>
                      <w:szCs w:val="18"/>
                      <w:highlight w:val="none"/>
                      <w:lang w:bidi="ar"/>
                    </w:rPr>
                    <w:t>75.1</w:t>
                  </w:r>
                </w:p>
              </w:tc>
              <w:tc>
                <w:tcPr>
                  <w:tcW w:w="122" w:type="pct"/>
                  <w:vMerge w:val="continue"/>
                  <w:vAlign w:val="center"/>
                </w:tcPr>
                <w:p w14:paraId="1225934C">
                  <w:pPr>
                    <w:jc w:val="center"/>
                    <w:rPr>
                      <w:bCs/>
                      <w:color w:val="auto"/>
                      <w:spacing w:val="-10"/>
                      <w:sz w:val="18"/>
                      <w:szCs w:val="18"/>
                      <w:highlight w:val="none"/>
                    </w:rPr>
                  </w:pPr>
                </w:p>
              </w:tc>
              <w:tc>
                <w:tcPr>
                  <w:tcW w:w="183" w:type="pct"/>
                  <w:vAlign w:val="center"/>
                </w:tcPr>
                <w:p w14:paraId="52EC6FC9">
                  <w:pPr>
                    <w:widowControl/>
                    <w:jc w:val="center"/>
                    <w:textAlignment w:val="center"/>
                    <w:rPr>
                      <w:bCs/>
                      <w:color w:val="auto"/>
                      <w:spacing w:val="-10"/>
                      <w:sz w:val="18"/>
                      <w:szCs w:val="18"/>
                      <w:highlight w:val="none"/>
                    </w:rPr>
                  </w:pPr>
                  <w:r>
                    <w:rPr>
                      <w:color w:val="auto"/>
                      <w:kern w:val="0"/>
                      <w:sz w:val="18"/>
                      <w:szCs w:val="18"/>
                      <w:highlight w:val="none"/>
                      <w:lang w:bidi="ar"/>
                    </w:rPr>
                    <w:t>15.0</w:t>
                  </w:r>
                </w:p>
              </w:tc>
              <w:tc>
                <w:tcPr>
                  <w:tcW w:w="183" w:type="pct"/>
                  <w:vAlign w:val="center"/>
                </w:tcPr>
                <w:p w14:paraId="45182E80">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79873DC3">
                  <w:pPr>
                    <w:widowControl/>
                    <w:jc w:val="center"/>
                    <w:textAlignment w:val="center"/>
                    <w:rPr>
                      <w:color w:val="auto"/>
                      <w:sz w:val="18"/>
                      <w:szCs w:val="18"/>
                      <w:highlight w:val="none"/>
                    </w:rPr>
                  </w:pPr>
                  <w:r>
                    <w:rPr>
                      <w:color w:val="auto"/>
                      <w:kern w:val="0"/>
                      <w:sz w:val="18"/>
                      <w:szCs w:val="18"/>
                      <w:highlight w:val="none"/>
                      <w:lang w:bidi="ar"/>
                    </w:rPr>
                    <w:t>15.0</w:t>
                  </w:r>
                </w:p>
              </w:tc>
              <w:tc>
                <w:tcPr>
                  <w:tcW w:w="195" w:type="pct"/>
                  <w:vAlign w:val="center"/>
                </w:tcPr>
                <w:p w14:paraId="5541E3B4">
                  <w:pPr>
                    <w:widowControl/>
                    <w:jc w:val="center"/>
                    <w:textAlignment w:val="center"/>
                    <w:rPr>
                      <w:color w:val="auto"/>
                      <w:sz w:val="18"/>
                      <w:szCs w:val="18"/>
                      <w:highlight w:val="none"/>
                    </w:rPr>
                  </w:pPr>
                  <w:r>
                    <w:rPr>
                      <w:color w:val="auto"/>
                      <w:kern w:val="0"/>
                      <w:sz w:val="18"/>
                      <w:szCs w:val="18"/>
                      <w:highlight w:val="none"/>
                      <w:lang w:bidi="ar"/>
                    </w:rPr>
                    <w:t>15.0</w:t>
                  </w:r>
                </w:p>
              </w:tc>
              <w:tc>
                <w:tcPr>
                  <w:tcW w:w="187" w:type="pct"/>
                  <w:vAlign w:val="center"/>
                </w:tcPr>
                <w:p w14:paraId="78D98AA9">
                  <w:pPr>
                    <w:widowControl/>
                    <w:jc w:val="center"/>
                    <w:textAlignment w:val="center"/>
                    <w:rPr>
                      <w:bCs/>
                      <w:color w:val="auto"/>
                      <w:spacing w:val="-10"/>
                      <w:sz w:val="18"/>
                      <w:szCs w:val="18"/>
                      <w:highlight w:val="none"/>
                    </w:rPr>
                  </w:pPr>
                  <w:r>
                    <w:rPr>
                      <w:color w:val="auto"/>
                      <w:kern w:val="0"/>
                      <w:sz w:val="18"/>
                      <w:szCs w:val="18"/>
                      <w:highlight w:val="none"/>
                      <w:lang w:bidi="ar"/>
                    </w:rPr>
                    <w:t>60.1</w:t>
                  </w:r>
                </w:p>
              </w:tc>
              <w:tc>
                <w:tcPr>
                  <w:tcW w:w="187" w:type="pct"/>
                  <w:vAlign w:val="center"/>
                </w:tcPr>
                <w:p w14:paraId="7653701A">
                  <w:pPr>
                    <w:widowControl/>
                    <w:jc w:val="center"/>
                    <w:textAlignment w:val="center"/>
                    <w:rPr>
                      <w:color w:val="auto"/>
                      <w:sz w:val="18"/>
                      <w:szCs w:val="18"/>
                      <w:highlight w:val="none"/>
                    </w:rPr>
                  </w:pPr>
                  <w:r>
                    <w:rPr>
                      <w:color w:val="auto"/>
                      <w:kern w:val="0"/>
                      <w:sz w:val="18"/>
                      <w:szCs w:val="18"/>
                      <w:highlight w:val="none"/>
                      <w:lang w:bidi="ar"/>
                    </w:rPr>
                    <w:t>60.3</w:t>
                  </w:r>
                </w:p>
              </w:tc>
              <w:tc>
                <w:tcPr>
                  <w:tcW w:w="187" w:type="pct"/>
                  <w:vAlign w:val="center"/>
                </w:tcPr>
                <w:p w14:paraId="6291BB55">
                  <w:pPr>
                    <w:widowControl/>
                    <w:jc w:val="center"/>
                    <w:textAlignment w:val="center"/>
                    <w:rPr>
                      <w:color w:val="auto"/>
                      <w:sz w:val="18"/>
                      <w:szCs w:val="18"/>
                      <w:highlight w:val="none"/>
                    </w:rPr>
                  </w:pPr>
                  <w:r>
                    <w:rPr>
                      <w:color w:val="auto"/>
                      <w:kern w:val="0"/>
                      <w:sz w:val="18"/>
                      <w:szCs w:val="18"/>
                      <w:highlight w:val="none"/>
                      <w:lang w:bidi="ar"/>
                    </w:rPr>
                    <w:t>60.2</w:t>
                  </w:r>
                </w:p>
              </w:tc>
              <w:tc>
                <w:tcPr>
                  <w:tcW w:w="187" w:type="pct"/>
                  <w:vAlign w:val="center"/>
                </w:tcPr>
                <w:p w14:paraId="471559C4">
                  <w:pPr>
                    <w:widowControl/>
                    <w:jc w:val="center"/>
                    <w:textAlignment w:val="center"/>
                    <w:rPr>
                      <w:color w:val="auto"/>
                      <w:sz w:val="18"/>
                      <w:szCs w:val="18"/>
                      <w:highlight w:val="none"/>
                    </w:rPr>
                  </w:pPr>
                  <w:r>
                    <w:rPr>
                      <w:color w:val="auto"/>
                      <w:kern w:val="0"/>
                      <w:sz w:val="18"/>
                      <w:szCs w:val="18"/>
                      <w:highlight w:val="none"/>
                      <w:lang w:bidi="ar"/>
                    </w:rPr>
                    <w:t>60.1</w:t>
                  </w:r>
                </w:p>
              </w:tc>
              <w:tc>
                <w:tcPr>
                  <w:tcW w:w="151" w:type="pct"/>
                  <w:vMerge w:val="continue"/>
                  <w:vAlign w:val="center"/>
                </w:tcPr>
                <w:p w14:paraId="13F7BF5B">
                  <w:pPr>
                    <w:widowControl/>
                    <w:jc w:val="center"/>
                    <w:textAlignment w:val="center"/>
                    <w:rPr>
                      <w:color w:val="auto"/>
                      <w:sz w:val="18"/>
                      <w:szCs w:val="18"/>
                      <w:highlight w:val="none"/>
                    </w:rPr>
                  </w:pPr>
                </w:p>
              </w:tc>
            </w:tr>
            <w:tr w14:paraId="3E19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7" w:type="pct"/>
                  <w:vAlign w:val="center"/>
                </w:tcPr>
                <w:p w14:paraId="7BC080E1">
                  <w:pPr>
                    <w:widowControl/>
                    <w:jc w:val="center"/>
                    <w:textAlignment w:val="center"/>
                    <w:rPr>
                      <w:bCs/>
                      <w:color w:val="auto"/>
                      <w:spacing w:val="-10"/>
                      <w:sz w:val="18"/>
                      <w:szCs w:val="18"/>
                      <w:highlight w:val="none"/>
                    </w:rPr>
                  </w:pPr>
                  <w:r>
                    <w:rPr>
                      <w:color w:val="auto"/>
                      <w:kern w:val="0"/>
                      <w:sz w:val="18"/>
                      <w:szCs w:val="18"/>
                      <w:highlight w:val="none"/>
                      <w:lang w:bidi="ar"/>
                    </w:rPr>
                    <w:t>9</w:t>
                  </w:r>
                </w:p>
              </w:tc>
              <w:tc>
                <w:tcPr>
                  <w:tcW w:w="147" w:type="pct"/>
                  <w:vMerge w:val="continue"/>
                  <w:vAlign w:val="center"/>
                </w:tcPr>
                <w:p w14:paraId="270C5652">
                  <w:pPr>
                    <w:jc w:val="center"/>
                    <w:rPr>
                      <w:rFonts w:ascii="宋体" w:hAnsi="宋体" w:cs="宋体"/>
                      <w:bCs/>
                      <w:color w:val="auto"/>
                      <w:sz w:val="18"/>
                      <w:szCs w:val="18"/>
                      <w:highlight w:val="none"/>
                    </w:rPr>
                  </w:pPr>
                </w:p>
              </w:tc>
              <w:tc>
                <w:tcPr>
                  <w:tcW w:w="147" w:type="pct"/>
                  <w:vAlign w:val="center"/>
                </w:tcPr>
                <w:p w14:paraId="421029BA">
                  <w:pPr>
                    <w:widowControl/>
                    <w:jc w:val="center"/>
                    <w:textAlignment w:val="center"/>
                    <w:rPr>
                      <w:rFonts w:ascii="宋体" w:hAnsi="宋体" w:cs="宋体"/>
                      <w:color w:val="auto"/>
                      <w:sz w:val="18"/>
                      <w:szCs w:val="18"/>
                      <w:highlight w:val="none"/>
                    </w:rPr>
                  </w:pPr>
                  <w:r>
                    <w:rPr>
                      <w:rStyle w:val="66"/>
                      <w:rFonts w:hint="default"/>
                      <w:color w:val="auto"/>
                      <w:sz w:val="18"/>
                      <w:szCs w:val="18"/>
                      <w:highlight w:val="none"/>
                      <w:lang w:bidi="ar"/>
                    </w:rPr>
                    <w:t>烘干机</w:t>
                  </w:r>
                </w:p>
              </w:tc>
              <w:tc>
                <w:tcPr>
                  <w:tcW w:w="356" w:type="pct"/>
                  <w:vAlign w:val="center"/>
                </w:tcPr>
                <w:p w14:paraId="42979B47">
                  <w:pPr>
                    <w:widowControl/>
                    <w:jc w:val="center"/>
                    <w:textAlignment w:val="center"/>
                    <w:rPr>
                      <w:bCs/>
                      <w:color w:val="auto"/>
                      <w:spacing w:val="-10"/>
                      <w:sz w:val="18"/>
                      <w:szCs w:val="18"/>
                      <w:highlight w:val="none"/>
                    </w:rPr>
                  </w:pPr>
                  <w:r>
                    <w:rPr>
                      <w:color w:val="auto"/>
                      <w:kern w:val="0"/>
                      <w:sz w:val="18"/>
                      <w:szCs w:val="18"/>
                      <w:highlight w:val="none"/>
                      <w:lang w:bidi="ar"/>
                    </w:rPr>
                    <w:t>/</w:t>
                  </w:r>
                </w:p>
              </w:tc>
              <w:tc>
                <w:tcPr>
                  <w:tcW w:w="240" w:type="pct"/>
                  <w:vAlign w:val="center"/>
                </w:tcPr>
                <w:p w14:paraId="60306A0E">
                  <w:pPr>
                    <w:widowControl/>
                    <w:jc w:val="center"/>
                    <w:textAlignment w:val="center"/>
                    <w:rPr>
                      <w:bCs/>
                      <w:color w:val="auto"/>
                      <w:spacing w:val="-10"/>
                      <w:sz w:val="18"/>
                      <w:szCs w:val="18"/>
                      <w:highlight w:val="none"/>
                    </w:rPr>
                  </w:pPr>
                  <w:r>
                    <w:rPr>
                      <w:color w:val="auto"/>
                      <w:kern w:val="0"/>
                      <w:sz w:val="18"/>
                      <w:szCs w:val="18"/>
                      <w:highlight w:val="none"/>
                      <w:lang w:bidi="ar"/>
                    </w:rPr>
                    <w:t>80</w:t>
                  </w:r>
                </w:p>
              </w:tc>
              <w:tc>
                <w:tcPr>
                  <w:tcW w:w="112" w:type="pct"/>
                  <w:vMerge w:val="continue"/>
                  <w:vAlign w:val="center"/>
                </w:tcPr>
                <w:p w14:paraId="63A575E4">
                  <w:pPr>
                    <w:jc w:val="center"/>
                    <w:rPr>
                      <w:bCs/>
                      <w:color w:val="auto"/>
                      <w:spacing w:val="-10"/>
                      <w:sz w:val="18"/>
                      <w:szCs w:val="18"/>
                      <w:highlight w:val="none"/>
                    </w:rPr>
                  </w:pPr>
                </w:p>
              </w:tc>
              <w:tc>
                <w:tcPr>
                  <w:tcW w:w="206" w:type="pct"/>
                  <w:vAlign w:val="center"/>
                </w:tcPr>
                <w:p w14:paraId="5E3742B5">
                  <w:pPr>
                    <w:widowControl/>
                    <w:jc w:val="center"/>
                    <w:textAlignment w:val="center"/>
                    <w:rPr>
                      <w:bCs/>
                      <w:color w:val="auto"/>
                      <w:spacing w:val="-10"/>
                      <w:sz w:val="18"/>
                      <w:szCs w:val="18"/>
                      <w:highlight w:val="none"/>
                    </w:rPr>
                  </w:pPr>
                  <w:r>
                    <w:rPr>
                      <w:color w:val="auto"/>
                      <w:kern w:val="0"/>
                      <w:sz w:val="18"/>
                      <w:szCs w:val="18"/>
                      <w:highlight w:val="none"/>
                      <w:lang w:bidi="ar"/>
                    </w:rPr>
                    <w:t>-7.5</w:t>
                  </w:r>
                </w:p>
              </w:tc>
              <w:tc>
                <w:tcPr>
                  <w:tcW w:w="215" w:type="pct"/>
                  <w:vAlign w:val="center"/>
                </w:tcPr>
                <w:p w14:paraId="3E4AEF7F">
                  <w:pPr>
                    <w:widowControl/>
                    <w:jc w:val="center"/>
                    <w:textAlignment w:val="center"/>
                    <w:rPr>
                      <w:color w:val="auto"/>
                      <w:sz w:val="18"/>
                      <w:szCs w:val="18"/>
                      <w:highlight w:val="none"/>
                    </w:rPr>
                  </w:pPr>
                  <w:r>
                    <w:rPr>
                      <w:color w:val="auto"/>
                      <w:kern w:val="0"/>
                      <w:sz w:val="18"/>
                      <w:szCs w:val="18"/>
                      <w:highlight w:val="none"/>
                      <w:lang w:bidi="ar"/>
                    </w:rPr>
                    <w:t>-0.7</w:t>
                  </w:r>
                </w:p>
              </w:tc>
              <w:tc>
                <w:tcPr>
                  <w:tcW w:w="167" w:type="pct"/>
                  <w:vAlign w:val="center"/>
                </w:tcPr>
                <w:p w14:paraId="52FC666A">
                  <w:pPr>
                    <w:widowControl/>
                    <w:jc w:val="center"/>
                    <w:textAlignment w:val="center"/>
                    <w:rPr>
                      <w:color w:val="auto"/>
                      <w:sz w:val="18"/>
                      <w:szCs w:val="18"/>
                      <w:highlight w:val="none"/>
                    </w:rPr>
                  </w:pPr>
                  <w:r>
                    <w:rPr>
                      <w:color w:val="auto"/>
                      <w:kern w:val="0"/>
                      <w:sz w:val="18"/>
                      <w:szCs w:val="18"/>
                      <w:highlight w:val="none"/>
                      <w:lang w:bidi="ar"/>
                    </w:rPr>
                    <w:t>1.2</w:t>
                  </w:r>
                </w:p>
              </w:tc>
              <w:tc>
                <w:tcPr>
                  <w:tcW w:w="183" w:type="pct"/>
                  <w:vAlign w:val="center"/>
                </w:tcPr>
                <w:p w14:paraId="7CB7E259">
                  <w:pPr>
                    <w:widowControl/>
                    <w:jc w:val="center"/>
                    <w:textAlignment w:val="center"/>
                    <w:rPr>
                      <w:bCs/>
                      <w:color w:val="auto"/>
                      <w:spacing w:val="-10"/>
                      <w:sz w:val="18"/>
                      <w:szCs w:val="18"/>
                      <w:highlight w:val="none"/>
                    </w:rPr>
                  </w:pPr>
                  <w:r>
                    <w:rPr>
                      <w:color w:val="auto"/>
                      <w:kern w:val="0"/>
                      <w:sz w:val="18"/>
                      <w:szCs w:val="18"/>
                      <w:highlight w:val="none"/>
                      <w:lang w:bidi="ar"/>
                    </w:rPr>
                    <w:t>22.7</w:t>
                  </w:r>
                </w:p>
              </w:tc>
              <w:tc>
                <w:tcPr>
                  <w:tcW w:w="183" w:type="pct"/>
                  <w:vAlign w:val="center"/>
                </w:tcPr>
                <w:p w14:paraId="5237BE47">
                  <w:pPr>
                    <w:widowControl/>
                    <w:jc w:val="center"/>
                    <w:textAlignment w:val="center"/>
                    <w:rPr>
                      <w:color w:val="auto"/>
                      <w:sz w:val="18"/>
                      <w:szCs w:val="18"/>
                      <w:highlight w:val="none"/>
                    </w:rPr>
                  </w:pPr>
                  <w:r>
                    <w:rPr>
                      <w:color w:val="auto"/>
                      <w:kern w:val="0"/>
                      <w:sz w:val="18"/>
                      <w:szCs w:val="18"/>
                      <w:highlight w:val="none"/>
                      <w:lang w:bidi="ar"/>
                    </w:rPr>
                    <w:t>5.9</w:t>
                  </w:r>
                </w:p>
              </w:tc>
              <w:tc>
                <w:tcPr>
                  <w:tcW w:w="152" w:type="pct"/>
                  <w:vAlign w:val="center"/>
                </w:tcPr>
                <w:p w14:paraId="0D6A4D2D">
                  <w:pPr>
                    <w:widowControl/>
                    <w:jc w:val="center"/>
                    <w:textAlignment w:val="center"/>
                    <w:rPr>
                      <w:color w:val="auto"/>
                      <w:sz w:val="18"/>
                      <w:szCs w:val="18"/>
                      <w:highlight w:val="none"/>
                    </w:rPr>
                  </w:pPr>
                  <w:r>
                    <w:rPr>
                      <w:color w:val="auto"/>
                      <w:kern w:val="0"/>
                      <w:sz w:val="18"/>
                      <w:szCs w:val="18"/>
                      <w:highlight w:val="none"/>
                      <w:lang w:bidi="ar"/>
                    </w:rPr>
                    <w:t>4.3</w:t>
                  </w:r>
                </w:p>
              </w:tc>
              <w:tc>
                <w:tcPr>
                  <w:tcW w:w="198" w:type="pct"/>
                  <w:vAlign w:val="center"/>
                </w:tcPr>
                <w:p w14:paraId="4B9D0F4C">
                  <w:pPr>
                    <w:widowControl/>
                    <w:jc w:val="center"/>
                    <w:textAlignment w:val="center"/>
                    <w:rPr>
                      <w:color w:val="auto"/>
                      <w:sz w:val="18"/>
                      <w:szCs w:val="18"/>
                      <w:highlight w:val="none"/>
                    </w:rPr>
                  </w:pPr>
                  <w:r>
                    <w:rPr>
                      <w:color w:val="auto"/>
                      <w:kern w:val="0"/>
                      <w:sz w:val="18"/>
                      <w:szCs w:val="18"/>
                      <w:highlight w:val="none"/>
                      <w:lang w:bidi="ar"/>
                    </w:rPr>
                    <w:t>4.2</w:t>
                  </w:r>
                </w:p>
              </w:tc>
              <w:tc>
                <w:tcPr>
                  <w:tcW w:w="183" w:type="pct"/>
                  <w:vAlign w:val="center"/>
                </w:tcPr>
                <w:p w14:paraId="57421CD9">
                  <w:pPr>
                    <w:widowControl/>
                    <w:jc w:val="center"/>
                    <w:textAlignment w:val="center"/>
                    <w:rPr>
                      <w:bCs/>
                      <w:color w:val="auto"/>
                      <w:spacing w:val="-10"/>
                      <w:sz w:val="18"/>
                      <w:szCs w:val="18"/>
                      <w:highlight w:val="none"/>
                    </w:rPr>
                  </w:pPr>
                  <w:r>
                    <w:rPr>
                      <w:color w:val="auto"/>
                      <w:kern w:val="0"/>
                      <w:sz w:val="18"/>
                      <w:szCs w:val="18"/>
                      <w:highlight w:val="none"/>
                      <w:lang w:bidi="ar"/>
                    </w:rPr>
                    <w:t>75.1</w:t>
                  </w:r>
                </w:p>
              </w:tc>
              <w:tc>
                <w:tcPr>
                  <w:tcW w:w="184" w:type="pct"/>
                  <w:vAlign w:val="center"/>
                </w:tcPr>
                <w:p w14:paraId="5CE9B893">
                  <w:pPr>
                    <w:widowControl/>
                    <w:jc w:val="center"/>
                    <w:textAlignment w:val="center"/>
                    <w:rPr>
                      <w:color w:val="auto"/>
                      <w:sz w:val="18"/>
                      <w:szCs w:val="18"/>
                      <w:highlight w:val="none"/>
                    </w:rPr>
                  </w:pPr>
                  <w:r>
                    <w:rPr>
                      <w:color w:val="auto"/>
                      <w:kern w:val="0"/>
                      <w:sz w:val="18"/>
                      <w:szCs w:val="18"/>
                      <w:highlight w:val="none"/>
                      <w:lang w:bidi="ar"/>
                    </w:rPr>
                    <w:t>75.2</w:t>
                  </w:r>
                </w:p>
              </w:tc>
              <w:tc>
                <w:tcPr>
                  <w:tcW w:w="184" w:type="pct"/>
                  <w:vAlign w:val="center"/>
                </w:tcPr>
                <w:p w14:paraId="0E4FE999">
                  <w:pPr>
                    <w:widowControl/>
                    <w:jc w:val="center"/>
                    <w:textAlignment w:val="center"/>
                    <w:rPr>
                      <w:color w:val="auto"/>
                      <w:sz w:val="18"/>
                      <w:szCs w:val="18"/>
                      <w:highlight w:val="none"/>
                    </w:rPr>
                  </w:pPr>
                  <w:r>
                    <w:rPr>
                      <w:color w:val="auto"/>
                      <w:kern w:val="0"/>
                      <w:sz w:val="18"/>
                      <w:szCs w:val="18"/>
                      <w:highlight w:val="none"/>
                      <w:lang w:bidi="ar"/>
                    </w:rPr>
                    <w:t>75.2</w:t>
                  </w:r>
                </w:p>
              </w:tc>
              <w:tc>
                <w:tcPr>
                  <w:tcW w:w="220" w:type="pct"/>
                  <w:vAlign w:val="center"/>
                </w:tcPr>
                <w:p w14:paraId="488ADB6E">
                  <w:pPr>
                    <w:widowControl/>
                    <w:jc w:val="center"/>
                    <w:textAlignment w:val="center"/>
                    <w:rPr>
                      <w:color w:val="auto"/>
                      <w:sz w:val="18"/>
                      <w:szCs w:val="18"/>
                      <w:highlight w:val="none"/>
                    </w:rPr>
                  </w:pPr>
                  <w:r>
                    <w:rPr>
                      <w:color w:val="auto"/>
                      <w:kern w:val="0"/>
                      <w:sz w:val="18"/>
                      <w:szCs w:val="18"/>
                      <w:highlight w:val="none"/>
                      <w:lang w:bidi="ar"/>
                    </w:rPr>
                    <w:t>75.2</w:t>
                  </w:r>
                </w:p>
              </w:tc>
              <w:tc>
                <w:tcPr>
                  <w:tcW w:w="122" w:type="pct"/>
                  <w:vMerge w:val="continue"/>
                  <w:vAlign w:val="center"/>
                </w:tcPr>
                <w:p w14:paraId="3AF5EA74">
                  <w:pPr>
                    <w:jc w:val="center"/>
                    <w:rPr>
                      <w:bCs/>
                      <w:color w:val="auto"/>
                      <w:spacing w:val="-10"/>
                      <w:sz w:val="18"/>
                      <w:szCs w:val="18"/>
                      <w:highlight w:val="none"/>
                    </w:rPr>
                  </w:pPr>
                </w:p>
              </w:tc>
              <w:tc>
                <w:tcPr>
                  <w:tcW w:w="183" w:type="pct"/>
                  <w:vAlign w:val="center"/>
                </w:tcPr>
                <w:p w14:paraId="6EDC162F">
                  <w:pPr>
                    <w:widowControl/>
                    <w:jc w:val="center"/>
                    <w:textAlignment w:val="center"/>
                    <w:rPr>
                      <w:bCs/>
                      <w:color w:val="auto"/>
                      <w:spacing w:val="-10"/>
                      <w:sz w:val="18"/>
                      <w:szCs w:val="18"/>
                      <w:highlight w:val="none"/>
                    </w:rPr>
                  </w:pPr>
                  <w:r>
                    <w:rPr>
                      <w:color w:val="auto"/>
                      <w:kern w:val="0"/>
                      <w:sz w:val="18"/>
                      <w:szCs w:val="18"/>
                      <w:highlight w:val="none"/>
                      <w:lang w:bidi="ar"/>
                    </w:rPr>
                    <w:t>15.0</w:t>
                  </w:r>
                </w:p>
              </w:tc>
              <w:tc>
                <w:tcPr>
                  <w:tcW w:w="183" w:type="pct"/>
                  <w:vAlign w:val="center"/>
                </w:tcPr>
                <w:p w14:paraId="12157465">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7B124DA6">
                  <w:pPr>
                    <w:widowControl/>
                    <w:jc w:val="center"/>
                    <w:textAlignment w:val="center"/>
                    <w:rPr>
                      <w:color w:val="auto"/>
                      <w:sz w:val="18"/>
                      <w:szCs w:val="18"/>
                      <w:highlight w:val="none"/>
                    </w:rPr>
                  </w:pPr>
                  <w:r>
                    <w:rPr>
                      <w:color w:val="auto"/>
                      <w:kern w:val="0"/>
                      <w:sz w:val="18"/>
                      <w:szCs w:val="18"/>
                      <w:highlight w:val="none"/>
                      <w:lang w:bidi="ar"/>
                    </w:rPr>
                    <w:t>15.0</w:t>
                  </w:r>
                </w:p>
              </w:tc>
              <w:tc>
                <w:tcPr>
                  <w:tcW w:w="195" w:type="pct"/>
                  <w:vAlign w:val="center"/>
                </w:tcPr>
                <w:p w14:paraId="06A9B6D8">
                  <w:pPr>
                    <w:widowControl/>
                    <w:jc w:val="center"/>
                    <w:textAlignment w:val="center"/>
                    <w:rPr>
                      <w:color w:val="auto"/>
                      <w:sz w:val="18"/>
                      <w:szCs w:val="18"/>
                      <w:highlight w:val="none"/>
                    </w:rPr>
                  </w:pPr>
                  <w:r>
                    <w:rPr>
                      <w:color w:val="auto"/>
                      <w:kern w:val="0"/>
                      <w:sz w:val="18"/>
                      <w:szCs w:val="18"/>
                      <w:highlight w:val="none"/>
                      <w:lang w:bidi="ar"/>
                    </w:rPr>
                    <w:t>15.0</w:t>
                  </w:r>
                </w:p>
              </w:tc>
              <w:tc>
                <w:tcPr>
                  <w:tcW w:w="187" w:type="pct"/>
                  <w:vAlign w:val="center"/>
                </w:tcPr>
                <w:p w14:paraId="7AF0A4DF">
                  <w:pPr>
                    <w:widowControl/>
                    <w:jc w:val="center"/>
                    <w:textAlignment w:val="center"/>
                    <w:rPr>
                      <w:bCs/>
                      <w:color w:val="auto"/>
                      <w:spacing w:val="-10"/>
                      <w:sz w:val="18"/>
                      <w:szCs w:val="18"/>
                      <w:highlight w:val="none"/>
                    </w:rPr>
                  </w:pPr>
                  <w:r>
                    <w:rPr>
                      <w:color w:val="auto"/>
                      <w:kern w:val="0"/>
                      <w:sz w:val="18"/>
                      <w:szCs w:val="18"/>
                      <w:highlight w:val="none"/>
                      <w:lang w:bidi="ar"/>
                    </w:rPr>
                    <w:t>60.1</w:t>
                  </w:r>
                </w:p>
              </w:tc>
              <w:tc>
                <w:tcPr>
                  <w:tcW w:w="187" w:type="pct"/>
                  <w:vAlign w:val="center"/>
                </w:tcPr>
                <w:p w14:paraId="17F7F2EC">
                  <w:pPr>
                    <w:widowControl/>
                    <w:jc w:val="center"/>
                    <w:textAlignment w:val="center"/>
                    <w:rPr>
                      <w:color w:val="auto"/>
                      <w:sz w:val="18"/>
                      <w:szCs w:val="18"/>
                      <w:highlight w:val="none"/>
                    </w:rPr>
                  </w:pPr>
                  <w:r>
                    <w:rPr>
                      <w:color w:val="auto"/>
                      <w:kern w:val="0"/>
                      <w:sz w:val="18"/>
                      <w:szCs w:val="18"/>
                      <w:highlight w:val="none"/>
                      <w:lang w:bidi="ar"/>
                    </w:rPr>
                    <w:t>60.2</w:t>
                  </w:r>
                </w:p>
              </w:tc>
              <w:tc>
                <w:tcPr>
                  <w:tcW w:w="187" w:type="pct"/>
                  <w:vAlign w:val="center"/>
                </w:tcPr>
                <w:p w14:paraId="20C24E61">
                  <w:pPr>
                    <w:widowControl/>
                    <w:jc w:val="center"/>
                    <w:textAlignment w:val="center"/>
                    <w:rPr>
                      <w:color w:val="auto"/>
                      <w:sz w:val="18"/>
                      <w:szCs w:val="18"/>
                      <w:highlight w:val="none"/>
                    </w:rPr>
                  </w:pPr>
                  <w:r>
                    <w:rPr>
                      <w:color w:val="auto"/>
                      <w:kern w:val="0"/>
                      <w:sz w:val="18"/>
                      <w:szCs w:val="18"/>
                      <w:highlight w:val="none"/>
                      <w:lang w:bidi="ar"/>
                    </w:rPr>
                    <w:t>60.2</w:t>
                  </w:r>
                </w:p>
              </w:tc>
              <w:tc>
                <w:tcPr>
                  <w:tcW w:w="187" w:type="pct"/>
                  <w:vAlign w:val="center"/>
                </w:tcPr>
                <w:p w14:paraId="22711159">
                  <w:pPr>
                    <w:widowControl/>
                    <w:jc w:val="center"/>
                    <w:textAlignment w:val="center"/>
                    <w:rPr>
                      <w:color w:val="auto"/>
                      <w:sz w:val="18"/>
                      <w:szCs w:val="18"/>
                      <w:highlight w:val="none"/>
                    </w:rPr>
                  </w:pPr>
                  <w:r>
                    <w:rPr>
                      <w:color w:val="auto"/>
                      <w:kern w:val="0"/>
                      <w:sz w:val="18"/>
                      <w:szCs w:val="18"/>
                      <w:highlight w:val="none"/>
                      <w:lang w:bidi="ar"/>
                    </w:rPr>
                    <w:t>60.2</w:t>
                  </w:r>
                </w:p>
              </w:tc>
              <w:tc>
                <w:tcPr>
                  <w:tcW w:w="151" w:type="pct"/>
                  <w:vMerge w:val="continue"/>
                  <w:vAlign w:val="center"/>
                </w:tcPr>
                <w:p w14:paraId="497938F9">
                  <w:pPr>
                    <w:widowControl/>
                    <w:jc w:val="center"/>
                    <w:textAlignment w:val="center"/>
                    <w:rPr>
                      <w:color w:val="auto"/>
                      <w:sz w:val="18"/>
                      <w:szCs w:val="18"/>
                      <w:highlight w:val="none"/>
                    </w:rPr>
                  </w:pPr>
                </w:p>
              </w:tc>
            </w:tr>
            <w:tr w14:paraId="25EE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7" w:type="pct"/>
                  <w:vAlign w:val="center"/>
                </w:tcPr>
                <w:p w14:paraId="2CDE8E44">
                  <w:pPr>
                    <w:widowControl/>
                    <w:jc w:val="center"/>
                    <w:textAlignment w:val="center"/>
                    <w:rPr>
                      <w:bCs/>
                      <w:color w:val="auto"/>
                      <w:spacing w:val="-10"/>
                      <w:sz w:val="18"/>
                      <w:szCs w:val="18"/>
                      <w:highlight w:val="none"/>
                    </w:rPr>
                  </w:pPr>
                  <w:r>
                    <w:rPr>
                      <w:color w:val="auto"/>
                      <w:kern w:val="0"/>
                      <w:sz w:val="18"/>
                      <w:szCs w:val="18"/>
                      <w:highlight w:val="none"/>
                      <w:lang w:bidi="ar"/>
                    </w:rPr>
                    <w:t>10</w:t>
                  </w:r>
                </w:p>
              </w:tc>
              <w:tc>
                <w:tcPr>
                  <w:tcW w:w="147" w:type="pct"/>
                  <w:vMerge w:val="continue"/>
                  <w:vAlign w:val="center"/>
                </w:tcPr>
                <w:p w14:paraId="30C5D7FD">
                  <w:pPr>
                    <w:jc w:val="center"/>
                    <w:rPr>
                      <w:rFonts w:ascii="宋体" w:hAnsi="宋体" w:cs="宋体"/>
                      <w:color w:val="auto"/>
                      <w:sz w:val="18"/>
                      <w:szCs w:val="18"/>
                      <w:highlight w:val="none"/>
                    </w:rPr>
                  </w:pPr>
                </w:p>
              </w:tc>
              <w:tc>
                <w:tcPr>
                  <w:tcW w:w="147" w:type="pct"/>
                  <w:vAlign w:val="center"/>
                </w:tcPr>
                <w:p w14:paraId="0EE9CF11">
                  <w:pPr>
                    <w:widowControl/>
                    <w:jc w:val="center"/>
                    <w:textAlignment w:val="center"/>
                    <w:rPr>
                      <w:rFonts w:ascii="宋体" w:hAnsi="宋体" w:cs="宋体"/>
                      <w:color w:val="auto"/>
                      <w:sz w:val="18"/>
                      <w:szCs w:val="18"/>
                      <w:highlight w:val="none"/>
                    </w:rPr>
                  </w:pPr>
                  <w:r>
                    <w:rPr>
                      <w:rStyle w:val="66"/>
                      <w:rFonts w:hint="default"/>
                      <w:color w:val="auto"/>
                      <w:sz w:val="18"/>
                      <w:szCs w:val="18"/>
                      <w:highlight w:val="none"/>
                      <w:lang w:bidi="ar"/>
                    </w:rPr>
                    <w:t>包装机</w:t>
                  </w:r>
                </w:p>
              </w:tc>
              <w:tc>
                <w:tcPr>
                  <w:tcW w:w="356" w:type="pct"/>
                  <w:vAlign w:val="center"/>
                </w:tcPr>
                <w:p w14:paraId="0272E658">
                  <w:pPr>
                    <w:widowControl/>
                    <w:jc w:val="center"/>
                    <w:textAlignment w:val="center"/>
                    <w:rPr>
                      <w:bCs/>
                      <w:color w:val="auto"/>
                      <w:sz w:val="18"/>
                      <w:szCs w:val="18"/>
                      <w:highlight w:val="none"/>
                    </w:rPr>
                  </w:pPr>
                  <w:r>
                    <w:rPr>
                      <w:color w:val="auto"/>
                      <w:kern w:val="0"/>
                      <w:sz w:val="18"/>
                      <w:szCs w:val="18"/>
                      <w:highlight w:val="none"/>
                      <w:lang w:bidi="ar"/>
                    </w:rPr>
                    <w:t>/</w:t>
                  </w:r>
                </w:p>
              </w:tc>
              <w:tc>
                <w:tcPr>
                  <w:tcW w:w="240" w:type="pct"/>
                  <w:vAlign w:val="center"/>
                </w:tcPr>
                <w:p w14:paraId="511C7450">
                  <w:pPr>
                    <w:widowControl/>
                    <w:jc w:val="center"/>
                    <w:textAlignment w:val="center"/>
                    <w:rPr>
                      <w:rFonts w:eastAsia="Arial"/>
                      <w:color w:val="auto"/>
                      <w:sz w:val="18"/>
                      <w:szCs w:val="18"/>
                      <w:highlight w:val="none"/>
                    </w:rPr>
                  </w:pPr>
                  <w:r>
                    <w:rPr>
                      <w:color w:val="auto"/>
                      <w:kern w:val="0"/>
                      <w:sz w:val="18"/>
                      <w:szCs w:val="18"/>
                      <w:highlight w:val="none"/>
                      <w:lang w:bidi="ar"/>
                    </w:rPr>
                    <w:t>73</w:t>
                  </w:r>
                </w:p>
              </w:tc>
              <w:tc>
                <w:tcPr>
                  <w:tcW w:w="112" w:type="pct"/>
                  <w:vMerge w:val="continue"/>
                  <w:vAlign w:val="center"/>
                </w:tcPr>
                <w:p w14:paraId="38971544">
                  <w:pPr>
                    <w:jc w:val="center"/>
                    <w:rPr>
                      <w:bCs/>
                      <w:color w:val="auto"/>
                      <w:spacing w:val="-10"/>
                      <w:sz w:val="18"/>
                      <w:szCs w:val="18"/>
                      <w:highlight w:val="none"/>
                    </w:rPr>
                  </w:pPr>
                </w:p>
              </w:tc>
              <w:tc>
                <w:tcPr>
                  <w:tcW w:w="206" w:type="pct"/>
                  <w:vAlign w:val="center"/>
                </w:tcPr>
                <w:p w14:paraId="34001FAC">
                  <w:pPr>
                    <w:widowControl/>
                    <w:jc w:val="center"/>
                    <w:textAlignment w:val="center"/>
                    <w:rPr>
                      <w:rFonts w:eastAsia="Arial"/>
                      <w:color w:val="auto"/>
                      <w:sz w:val="18"/>
                      <w:szCs w:val="18"/>
                      <w:highlight w:val="none"/>
                    </w:rPr>
                  </w:pPr>
                  <w:r>
                    <w:rPr>
                      <w:color w:val="auto"/>
                      <w:kern w:val="0"/>
                      <w:sz w:val="18"/>
                      <w:szCs w:val="18"/>
                      <w:highlight w:val="none"/>
                      <w:lang w:bidi="ar"/>
                    </w:rPr>
                    <w:t>0.8</w:t>
                  </w:r>
                </w:p>
              </w:tc>
              <w:tc>
                <w:tcPr>
                  <w:tcW w:w="215" w:type="pct"/>
                  <w:vAlign w:val="center"/>
                </w:tcPr>
                <w:p w14:paraId="4E2E6BD9">
                  <w:pPr>
                    <w:widowControl/>
                    <w:jc w:val="center"/>
                    <w:textAlignment w:val="center"/>
                    <w:rPr>
                      <w:rFonts w:eastAsia="Arial"/>
                      <w:color w:val="auto"/>
                      <w:sz w:val="18"/>
                      <w:szCs w:val="18"/>
                      <w:highlight w:val="none"/>
                    </w:rPr>
                  </w:pPr>
                  <w:r>
                    <w:rPr>
                      <w:color w:val="auto"/>
                      <w:kern w:val="0"/>
                      <w:sz w:val="18"/>
                      <w:szCs w:val="18"/>
                      <w:highlight w:val="none"/>
                      <w:lang w:bidi="ar"/>
                    </w:rPr>
                    <w:t>3.8</w:t>
                  </w:r>
                </w:p>
              </w:tc>
              <w:tc>
                <w:tcPr>
                  <w:tcW w:w="167" w:type="pct"/>
                  <w:vAlign w:val="center"/>
                </w:tcPr>
                <w:p w14:paraId="2D566A61">
                  <w:pPr>
                    <w:widowControl/>
                    <w:jc w:val="center"/>
                    <w:textAlignment w:val="center"/>
                    <w:rPr>
                      <w:rFonts w:eastAsia="Arial"/>
                      <w:color w:val="auto"/>
                      <w:sz w:val="18"/>
                      <w:szCs w:val="18"/>
                      <w:highlight w:val="none"/>
                    </w:rPr>
                  </w:pPr>
                  <w:r>
                    <w:rPr>
                      <w:color w:val="auto"/>
                      <w:kern w:val="0"/>
                      <w:sz w:val="18"/>
                      <w:szCs w:val="18"/>
                      <w:highlight w:val="none"/>
                      <w:lang w:bidi="ar"/>
                    </w:rPr>
                    <w:t>1.2</w:t>
                  </w:r>
                </w:p>
              </w:tc>
              <w:tc>
                <w:tcPr>
                  <w:tcW w:w="183" w:type="pct"/>
                  <w:vAlign w:val="center"/>
                </w:tcPr>
                <w:p w14:paraId="16A528B0">
                  <w:pPr>
                    <w:widowControl/>
                    <w:jc w:val="center"/>
                    <w:textAlignment w:val="center"/>
                    <w:rPr>
                      <w:rFonts w:eastAsia="Arial"/>
                      <w:color w:val="auto"/>
                      <w:sz w:val="18"/>
                      <w:szCs w:val="18"/>
                      <w:highlight w:val="none"/>
                    </w:rPr>
                  </w:pPr>
                  <w:r>
                    <w:rPr>
                      <w:color w:val="auto"/>
                      <w:kern w:val="0"/>
                      <w:sz w:val="18"/>
                      <w:szCs w:val="18"/>
                      <w:highlight w:val="none"/>
                      <w:lang w:bidi="ar"/>
                    </w:rPr>
                    <w:t>13.2</w:t>
                  </w:r>
                </w:p>
              </w:tc>
              <w:tc>
                <w:tcPr>
                  <w:tcW w:w="183" w:type="pct"/>
                  <w:vAlign w:val="center"/>
                </w:tcPr>
                <w:p w14:paraId="78753B65">
                  <w:pPr>
                    <w:widowControl/>
                    <w:jc w:val="center"/>
                    <w:textAlignment w:val="center"/>
                    <w:rPr>
                      <w:rFonts w:eastAsia="Arial"/>
                      <w:color w:val="auto"/>
                      <w:sz w:val="18"/>
                      <w:szCs w:val="18"/>
                      <w:highlight w:val="none"/>
                    </w:rPr>
                  </w:pPr>
                  <w:r>
                    <w:rPr>
                      <w:color w:val="auto"/>
                      <w:kern w:val="0"/>
                      <w:sz w:val="18"/>
                      <w:szCs w:val="18"/>
                      <w:highlight w:val="none"/>
                      <w:lang w:bidi="ar"/>
                    </w:rPr>
                    <w:t>10.7</w:t>
                  </w:r>
                </w:p>
              </w:tc>
              <w:tc>
                <w:tcPr>
                  <w:tcW w:w="152" w:type="pct"/>
                  <w:vAlign w:val="center"/>
                </w:tcPr>
                <w:p w14:paraId="5AFFDFC1">
                  <w:pPr>
                    <w:widowControl/>
                    <w:jc w:val="center"/>
                    <w:textAlignment w:val="center"/>
                    <w:rPr>
                      <w:rFonts w:eastAsia="Arial"/>
                      <w:color w:val="auto"/>
                      <w:sz w:val="18"/>
                      <w:szCs w:val="18"/>
                      <w:highlight w:val="none"/>
                    </w:rPr>
                  </w:pPr>
                  <w:r>
                    <w:rPr>
                      <w:color w:val="auto"/>
                      <w:kern w:val="0"/>
                      <w:sz w:val="18"/>
                      <w:szCs w:val="18"/>
                      <w:highlight w:val="none"/>
                      <w:lang w:bidi="ar"/>
                    </w:rPr>
                    <w:t>4.4</w:t>
                  </w:r>
                </w:p>
              </w:tc>
              <w:tc>
                <w:tcPr>
                  <w:tcW w:w="198" w:type="pct"/>
                  <w:vAlign w:val="center"/>
                </w:tcPr>
                <w:p w14:paraId="0C3348A3">
                  <w:pPr>
                    <w:widowControl/>
                    <w:jc w:val="center"/>
                    <w:textAlignment w:val="center"/>
                    <w:rPr>
                      <w:rFonts w:eastAsia="Arial"/>
                      <w:color w:val="auto"/>
                      <w:sz w:val="18"/>
                      <w:szCs w:val="18"/>
                      <w:highlight w:val="none"/>
                    </w:rPr>
                  </w:pPr>
                  <w:r>
                    <w:rPr>
                      <w:color w:val="auto"/>
                      <w:kern w:val="0"/>
                      <w:sz w:val="18"/>
                      <w:szCs w:val="18"/>
                      <w:highlight w:val="none"/>
                      <w:lang w:bidi="ar"/>
                    </w:rPr>
                    <w:t>4.1</w:t>
                  </w:r>
                </w:p>
              </w:tc>
              <w:tc>
                <w:tcPr>
                  <w:tcW w:w="183" w:type="pct"/>
                  <w:vAlign w:val="center"/>
                </w:tcPr>
                <w:p w14:paraId="2B5C19A8">
                  <w:pPr>
                    <w:widowControl/>
                    <w:jc w:val="center"/>
                    <w:textAlignment w:val="center"/>
                    <w:rPr>
                      <w:rFonts w:eastAsia="Arial"/>
                      <w:color w:val="auto"/>
                      <w:sz w:val="18"/>
                      <w:szCs w:val="18"/>
                      <w:highlight w:val="none"/>
                    </w:rPr>
                  </w:pPr>
                  <w:r>
                    <w:rPr>
                      <w:color w:val="auto"/>
                      <w:kern w:val="0"/>
                      <w:sz w:val="18"/>
                      <w:szCs w:val="18"/>
                      <w:highlight w:val="none"/>
                      <w:lang w:bidi="ar"/>
                    </w:rPr>
                    <w:t>68.1</w:t>
                  </w:r>
                </w:p>
              </w:tc>
              <w:tc>
                <w:tcPr>
                  <w:tcW w:w="184" w:type="pct"/>
                  <w:vAlign w:val="center"/>
                </w:tcPr>
                <w:p w14:paraId="12C1BC5B">
                  <w:pPr>
                    <w:widowControl/>
                    <w:jc w:val="center"/>
                    <w:textAlignment w:val="center"/>
                    <w:rPr>
                      <w:rFonts w:eastAsia="Arial"/>
                      <w:color w:val="auto"/>
                      <w:sz w:val="18"/>
                      <w:szCs w:val="18"/>
                      <w:highlight w:val="none"/>
                    </w:rPr>
                  </w:pPr>
                  <w:r>
                    <w:rPr>
                      <w:color w:val="auto"/>
                      <w:kern w:val="0"/>
                      <w:sz w:val="18"/>
                      <w:szCs w:val="18"/>
                      <w:highlight w:val="none"/>
                      <w:lang w:bidi="ar"/>
                    </w:rPr>
                    <w:t>68.1</w:t>
                  </w:r>
                </w:p>
              </w:tc>
              <w:tc>
                <w:tcPr>
                  <w:tcW w:w="184" w:type="pct"/>
                  <w:vAlign w:val="center"/>
                </w:tcPr>
                <w:p w14:paraId="63835ECE">
                  <w:pPr>
                    <w:widowControl/>
                    <w:jc w:val="center"/>
                    <w:textAlignment w:val="center"/>
                    <w:rPr>
                      <w:rFonts w:eastAsia="Arial"/>
                      <w:color w:val="auto"/>
                      <w:sz w:val="18"/>
                      <w:szCs w:val="18"/>
                      <w:highlight w:val="none"/>
                    </w:rPr>
                  </w:pPr>
                  <w:r>
                    <w:rPr>
                      <w:color w:val="auto"/>
                      <w:kern w:val="0"/>
                      <w:sz w:val="18"/>
                      <w:szCs w:val="18"/>
                      <w:highlight w:val="none"/>
                      <w:lang w:bidi="ar"/>
                    </w:rPr>
                    <w:t>68.2</w:t>
                  </w:r>
                </w:p>
              </w:tc>
              <w:tc>
                <w:tcPr>
                  <w:tcW w:w="220" w:type="pct"/>
                  <w:vAlign w:val="center"/>
                </w:tcPr>
                <w:p w14:paraId="074DCE65">
                  <w:pPr>
                    <w:widowControl/>
                    <w:jc w:val="center"/>
                    <w:textAlignment w:val="center"/>
                    <w:rPr>
                      <w:rFonts w:eastAsia="Arial"/>
                      <w:color w:val="auto"/>
                      <w:sz w:val="18"/>
                      <w:szCs w:val="18"/>
                      <w:highlight w:val="none"/>
                    </w:rPr>
                  </w:pPr>
                  <w:r>
                    <w:rPr>
                      <w:color w:val="auto"/>
                      <w:kern w:val="0"/>
                      <w:sz w:val="18"/>
                      <w:szCs w:val="18"/>
                      <w:highlight w:val="none"/>
                      <w:lang w:bidi="ar"/>
                    </w:rPr>
                    <w:t>68.2</w:t>
                  </w:r>
                </w:p>
              </w:tc>
              <w:tc>
                <w:tcPr>
                  <w:tcW w:w="122" w:type="pct"/>
                  <w:vMerge w:val="continue"/>
                  <w:vAlign w:val="center"/>
                </w:tcPr>
                <w:p w14:paraId="68A897A3">
                  <w:pPr>
                    <w:jc w:val="center"/>
                    <w:rPr>
                      <w:bCs/>
                      <w:color w:val="auto"/>
                      <w:spacing w:val="-10"/>
                      <w:sz w:val="18"/>
                      <w:szCs w:val="18"/>
                      <w:highlight w:val="none"/>
                    </w:rPr>
                  </w:pPr>
                </w:p>
              </w:tc>
              <w:tc>
                <w:tcPr>
                  <w:tcW w:w="183" w:type="pct"/>
                  <w:vAlign w:val="center"/>
                </w:tcPr>
                <w:p w14:paraId="474A0596">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096CFAE9">
                  <w:pPr>
                    <w:widowControl/>
                    <w:jc w:val="center"/>
                    <w:textAlignment w:val="center"/>
                    <w:rPr>
                      <w:color w:val="auto"/>
                      <w:sz w:val="18"/>
                      <w:szCs w:val="18"/>
                      <w:highlight w:val="none"/>
                    </w:rPr>
                  </w:pPr>
                  <w:r>
                    <w:rPr>
                      <w:color w:val="auto"/>
                      <w:kern w:val="0"/>
                      <w:sz w:val="18"/>
                      <w:szCs w:val="18"/>
                      <w:highlight w:val="none"/>
                      <w:lang w:bidi="ar"/>
                    </w:rPr>
                    <w:t>15.0</w:t>
                  </w:r>
                </w:p>
              </w:tc>
              <w:tc>
                <w:tcPr>
                  <w:tcW w:w="183" w:type="pct"/>
                  <w:vAlign w:val="center"/>
                </w:tcPr>
                <w:p w14:paraId="6D370DE7">
                  <w:pPr>
                    <w:widowControl/>
                    <w:jc w:val="center"/>
                    <w:textAlignment w:val="center"/>
                    <w:rPr>
                      <w:color w:val="auto"/>
                      <w:sz w:val="18"/>
                      <w:szCs w:val="18"/>
                      <w:highlight w:val="none"/>
                    </w:rPr>
                  </w:pPr>
                  <w:r>
                    <w:rPr>
                      <w:color w:val="auto"/>
                      <w:kern w:val="0"/>
                      <w:sz w:val="18"/>
                      <w:szCs w:val="18"/>
                      <w:highlight w:val="none"/>
                      <w:lang w:bidi="ar"/>
                    </w:rPr>
                    <w:t>15.0</w:t>
                  </w:r>
                </w:p>
              </w:tc>
              <w:tc>
                <w:tcPr>
                  <w:tcW w:w="195" w:type="pct"/>
                  <w:vAlign w:val="center"/>
                </w:tcPr>
                <w:p w14:paraId="1BA25D4D">
                  <w:pPr>
                    <w:widowControl/>
                    <w:jc w:val="center"/>
                    <w:textAlignment w:val="center"/>
                    <w:rPr>
                      <w:color w:val="auto"/>
                      <w:sz w:val="18"/>
                      <w:szCs w:val="18"/>
                      <w:highlight w:val="none"/>
                    </w:rPr>
                  </w:pPr>
                  <w:r>
                    <w:rPr>
                      <w:color w:val="auto"/>
                      <w:kern w:val="0"/>
                      <w:sz w:val="18"/>
                      <w:szCs w:val="18"/>
                      <w:highlight w:val="none"/>
                      <w:lang w:bidi="ar"/>
                    </w:rPr>
                    <w:t>15.0</w:t>
                  </w:r>
                </w:p>
              </w:tc>
              <w:tc>
                <w:tcPr>
                  <w:tcW w:w="187" w:type="pct"/>
                  <w:vAlign w:val="center"/>
                </w:tcPr>
                <w:p w14:paraId="4A755776">
                  <w:pPr>
                    <w:widowControl/>
                    <w:jc w:val="center"/>
                    <w:textAlignment w:val="center"/>
                    <w:rPr>
                      <w:bCs/>
                      <w:color w:val="auto"/>
                      <w:spacing w:val="-10"/>
                      <w:sz w:val="18"/>
                      <w:szCs w:val="18"/>
                      <w:highlight w:val="none"/>
                    </w:rPr>
                  </w:pPr>
                  <w:r>
                    <w:rPr>
                      <w:color w:val="auto"/>
                      <w:kern w:val="0"/>
                      <w:sz w:val="18"/>
                      <w:szCs w:val="18"/>
                      <w:highlight w:val="none"/>
                      <w:lang w:bidi="ar"/>
                    </w:rPr>
                    <w:t>53.1</w:t>
                  </w:r>
                </w:p>
              </w:tc>
              <w:tc>
                <w:tcPr>
                  <w:tcW w:w="187" w:type="pct"/>
                  <w:vAlign w:val="center"/>
                </w:tcPr>
                <w:p w14:paraId="3C00722C">
                  <w:pPr>
                    <w:widowControl/>
                    <w:jc w:val="center"/>
                    <w:textAlignment w:val="center"/>
                    <w:rPr>
                      <w:color w:val="auto"/>
                      <w:sz w:val="18"/>
                      <w:szCs w:val="18"/>
                      <w:highlight w:val="none"/>
                    </w:rPr>
                  </w:pPr>
                  <w:r>
                    <w:rPr>
                      <w:color w:val="auto"/>
                      <w:kern w:val="0"/>
                      <w:sz w:val="18"/>
                      <w:szCs w:val="18"/>
                      <w:highlight w:val="none"/>
                      <w:lang w:bidi="ar"/>
                    </w:rPr>
                    <w:t>53.1</w:t>
                  </w:r>
                </w:p>
              </w:tc>
              <w:tc>
                <w:tcPr>
                  <w:tcW w:w="187" w:type="pct"/>
                  <w:vAlign w:val="center"/>
                </w:tcPr>
                <w:p w14:paraId="7F8C970E">
                  <w:pPr>
                    <w:widowControl/>
                    <w:jc w:val="center"/>
                    <w:textAlignment w:val="center"/>
                    <w:rPr>
                      <w:color w:val="auto"/>
                      <w:sz w:val="18"/>
                      <w:szCs w:val="18"/>
                      <w:highlight w:val="none"/>
                    </w:rPr>
                  </w:pPr>
                  <w:r>
                    <w:rPr>
                      <w:color w:val="auto"/>
                      <w:kern w:val="0"/>
                      <w:sz w:val="18"/>
                      <w:szCs w:val="18"/>
                      <w:highlight w:val="none"/>
                      <w:lang w:bidi="ar"/>
                    </w:rPr>
                    <w:t>53.2</w:t>
                  </w:r>
                </w:p>
              </w:tc>
              <w:tc>
                <w:tcPr>
                  <w:tcW w:w="187" w:type="pct"/>
                  <w:vAlign w:val="center"/>
                </w:tcPr>
                <w:p w14:paraId="411DF3BC">
                  <w:pPr>
                    <w:widowControl/>
                    <w:jc w:val="center"/>
                    <w:textAlignment w:val="center"/>
                    <w:rPr>
                      <w:color w:val="auto"/>
                      <w:sz w:val="18"/>
                      <w:szCs w:val="18"/>
                      <w:highlight w:val="none"/>
                    </w:rPr>
                  </w:pPr>
                  <w:r>
                    <w:rPr>
                      <w:color w:val="auto"/>
                      <w:kern w:val="0"/>
                      <w:sz w:val="18"/>
                      <w:szCs w:val="18"/>
                      <w:highlight w:val="none"/>
                      <w:lang w:bidi="ar"/>
                    </w:rPr>
                    <w:t>53.2</w:t>
                  </w:r>
                </w:p>
              </w:tc>
              <w:tc>
                <w:tcPr>
                  <w:tcW w:w="151" w:type="pct"/>
                  <w:vMerge w:val="continue"/>
                  <w:vAlign w:val="center"/>
                </w:tcPr>
                <w:p w14:paraId="63FBF8A3">
                  <w:pPr>
                    <w:widowControl/>
                    <w:jc w:val="center"/>
                    <w:textAlignment w:val="center"/>
                    <w:rPr>
                      <w:color w:val="auto"/>
                      <w:sz w:val="18"/>
                      <w:szCs w:val="18"/>
                      <w:highlight w:val="none"/>
                    </w:rPr>
                  </w:pPr>
                </w:p>
              </w:tc>
            </w:tr>
            <w:tr w14:paraId="69E1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7" w:type="pct"/>
                  <w:vAlign w:val="center"/>
                </w:tcPr>
                <w:p w14:paraId="0A160DFC">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11</w:t>
                  </w:r>
                </w:p>
              </w:tc>
              <w:tc>
                <w:tcPr>
                  <w:tcW w:w="147" w:type="pct"/>
                  <w:vMerge w:val="continue"/>
                  <w:vAlign w:val="center"/>
                </w:tcPr>
                <w:p w14:paraId="5506CA89">
                  <w:pPr>
                    <w:jc w:val="center"/>
                    <w:rPr>
                      <w:rFonts w:ascii="宋体" w:hAnsi="宋体" w:cs="宋体"/>
                      <w:color w:val="auto"/>
                      <w:sz w:val="18"/>
                      <w:szCs w:val="18"/>
                      <w:highlight w:val="none"/>
                    </w:rPr>
                  </w:pPr>
                </w:p>
              </w:tc>
              <w:tc>
                <w:tcPr>
                  <w:tcW w:w="147" w:type="pct"/>
                  <w:vAlign w:val="center"/>
                </w:tcPr>
                <w:p w14:paraId="0B5BA139">
                  <w:pPr>
                    <w:jc w:val="center"/>
                    <w:rPr>
                      <w:rStyle w:val="66"/>
                      <w:rFonts w:hint="default"/>
                      <w:color w:val="auto"/>
                      <w:sz w:val="18"/>
                      <w:szCs w:val="18"/>
                      <w:highlight w:val="none"/>
                      <w:lang w:bidi="ar"/>
                    </w:rPr>
                  </w:pPr>
                  <w:r>
                    <w:rPr>
                      <w:bCs/>
                      <w:color w:val="auto"/>
                      <w:sz w:val="18"/>
                      <w:szCs w:val="18"/>
                      <w:highlight w:val="none"/>
                    </w:rPr>
                    <w:t>水泵</w:t>
                  </w:r>
                </w:p>
              </w:tc>
              <w:tc>
                <w:tcPr>
                  <w:tcW w:w="356" w:type="pct"/>
                  <w:vAlign w:val="center"/>
                </w:tcPr>
                <w:p w14:paraId="2AE0EA12">
                  <w:pPr>
                    <w:jc w:val="center"/>
                    <w:rPr>
                      <w:color w:val="auto"/>
                      <w:kern w:val="0"/>
                      <w:sz w:val="18"/>
                      <w:szCs w:val="18"/>
                      <w:highlight w:val="none"/>
                      <w:lang w:bidi="ar"/>
                    </w:rPr>
                  </w:pPr>
                </w:p>
              </w:tc>
              <w:tc>
                <w:tcPr>
                  <w:tcW w:w="240" w:type="pct"/>
                  <w:shd w:val="clear" w:color="auto" w:fill="auto"/>
                  <w:vAlign w:val="center"/>
                </w:tcPr>
                <w:p w14:paraId="00B33755">
                  <w:pPr>
                    <w:jc w:val="center"/>
                    <w:rPr>
                      <w:color w:val="auto"/>
                      <w:kern w:val="0"/>
                      <w:sz w:val="18"/>
                      <w:szCs w:val="18"/>
                      <w:highlight w:val="none"/>
                      <w:lang w:bidi="ar"/>
                    </w:rPr>
                  </w:pPr>
                  <w:r>
                    <w:rPr>
                      <w:rFonts w:hint="eastAsia"/>
                      <w:bCs/>
                      <w:color w:val="auto"/>
                      <w:sz w:val="18"/>
                      <w:szCs w:val="18"/>
                      <w:highlight w:val="none"/>
                    </w:rPr>
                    <w:t>75</w:t>
                  </w:r>
                </w:p>
              </w:tc>
              <w:tc>
                <w:tcPr>
                  <w:tcW w:w="112" w:type="pct"/>
                  <w:vAlign w:val="center"/>
                </w:tcPr>
                <w:p w14:paraId="2121EF3D">
                  <w:pPr>
                    <w:jc w:val="center"/>
                    <w:rPr>
                      <w:bCs/>
                      <w:color w:val="auto"/>
                      <w:spacing w:val="-10"/>
                      <w:sz w:val="18"/>
                      <w:szCs w:val="18"/>
                      <w:highlight w:val="none"/>
                    </w:rPr>
                  </w:pPr>
                </w:p>
              </w:tc>
              <w:tc>
                <w:tcPr>
                  <w:tcW w:w="206" w:type="pct"/>
                  <w:shd w:val="clear" w:color="auto" w:fill="auto"/>
                  <w:vAlign w:val="center"/>
                </w:tcPr>
                <w:p w14:paraId="5D7647BD">
                  <w:pPr>
                    <w:jc w:val="center"/>
                    <w:rPr>
                      <w:bCs/>
                      <w:color w:val="auto"/>
                      <w:spacing w:val="-10"/>
                      <w:sz w:val="18"/>
                      <w:szCs w:val="18"/>
                      <w:highlight w:val="none"/>
                    </w:rPr>
                  </w:pPr>
                  <w:r>
                    <w:rPr>
                      <w:bCs/>
                      <w:color w:val="auto"/>
                      <w:sz w:val="18"/>
                      <w:szCs w:val="18"/>
                      <w:highlight w:val="none"/>
                    </w:rPr>
                    <w:t>-19.1</w:t>
                  </w:r>
                </w:p>
              </w:tc>
              <w:tc>
                <w:tcPr>
                  <w:tcW w:w="215" w:type="pct"/>
                  <w:shd w:val="clear" w:color="auto" w:fill="auto"/>
                  <w:vAlign w:val="center"/>
                </w:tcPr>
                <w:p w14:paraId="1F8F6208">
                  <w:pPr>
                    <w:jc w:val="center"/>
                    <w:rPr>
                      <w:color w:val="auto"/>
                      <w:kern w:val="0"/>
                      <w:sz w:val="18"/>
                      <w:szCs w:val="18"/>
                      <w:highlight w:val="none"/>
                      <w:lang w:bidi="ar"/>
                    </w:rPr>
                  </w:pPr>
                  <w:r>
                    <w:rPr>
                      <w:bCs/>
                      <w:color w:val="auto"/>
                      <w:sz w:val="18"/>
                      <w:szCs w:val="18"/>
                      <w:highlight w:val="none"/>
                    </w:rPr>
                    <w:t>-12.9</w:t>
                  </w:r>
                </w:p>
              </w:tc>
              <w:tc>
                <w:tcPr>
                  <w:tcW w:w="167" w:type="pct"/>
                  <w:shd w:val="clear" w:color="auto" w:fill="auto"/>
                  <w:vAlign w:val="center"/>
                </w:tcPr>
                <w:p w14:paraId="13CD18DF">
                  <w:pPr>
                    <w:jc w:val="center"/>
                    <w:rPr>
                      <w:color w:val="auto"/>
                      <w:kern w:val="0"/>
                      <w:sz w:val="18"/>
                      <w:szCs w:val="18"/>
                      <w:highlight w:val="none"/>
                      <w:lang w:bidi="ar"/>
                    </w:rPr>
                  </w:pPr>
                  <w:r>
                    <w:rPr>
                      <w:bCs/>
                      <w:color w:val="auto"/>
                      <w:sz w:val="18"/>
                      <w:szCs w:val="18"/>
                      <w:highlight w:val="none"/>
                    </w:rPr>
                    <w:t>1.2</w:t>
                  </w:r>
                </w:p>
              </w:tc>
              <w:tc>
                <w:tcPr>
                  <w:tcW w:w="183" w:type="pct"/>
                  <w:vAlign w:val="center"/>
                </w:tcPr>
                <w:p w14:paraId="76EBD382">
                  <w:pPr>
                    <w:jc w:val="center"/>
                    <w:rPr>
                      <w:color w:val="auto"/>
                      <w:kern w:val="0"/>
                      <w:sz w:val="18"/>
                      <w:szCs w:val="18"/>
                      <w:highlight w:val="none"/>
                      <w:lang w:bidi="ar"/>
                    </w:rPr>
                  </w:pPr>
                  <w:r>
                    <w:rPr>
                      <w:rFonts w:hint="eastAsia"/>
                      <w:color w:val="auto"/>
                      <w:kern w:val="0"/>
                      <w:sz w:val="18"/>
                      <w:szCs w:val="18"/>
                      <w:highlight w:val="none"/>
                      <w:lang w:bidi="ar"/>
                    </w:rPr>
                    <w:t>7.0</w:t>
                  </w:r>
                </w:p>
              </w:tc>
              <w:tc>
                <w:tcPr>
                  <w:tcW w:w="183" w:type="pct"/>
                  <w:shd w:val="clear" w:color="auto" w:fill="auto"/>
                  <w:vAlign w:val="center"/>
                </w:tcPr>
                <w:p w14:paraId="57E42CFA">
                  <w:pPr>
                    <w:jc w:val="center"/>
                    <w:rPr>
                      <w:bCs/>
                      <w:color w:val="auto"/>
                      <w:spacing w:val="-10"/>
                      <w:sz w:val="18"/>
                      <w:szCs w:val="18"/>
                      <w:highlight w:val="none"/>
                    </w:rPr>
                  </w:pPr>
                  <w:r>
                    <w:rPr>
                      <w:rFonts w:hint="eastAsia"/>
                      <w:bCs/>
                      <w:color w:val="auto"/>
                      <w:spacing w:val="-10"/>
                      <w:sz w:val="18"/>
                      <w:szCs w:val="18"/>
                      <w:highlight w:val="none"/>
                    </w:rPr>
                    <w:t>9.0</w:t>
                  </w:r>
                </w:p>
              </w:tc>
              <w:tc>
                <w:tcPr>
                  <w:tcW w:w="152" w:type="pct"/>
                  <w:shd w:val="clear" w:color="auto" w:fill="auto"/>
                  <w:vAlign w:val="center"/>
                </w:tcPr>
                <w:p w14:paraId="7A685C9C">
                  <w:pPr>
                    <w:jc w:val="center"/>
                    <w:rPr>
                      <w:color w:val="auto"/>
                      <w:kern w:val="0"/>
                      <w:sz w:val="18"/>
                      <w:szCs w:val="18"/>
                      <w:highlight w:val="none"/>
                      <w:lang w:bidi="ar"/>
                    </w:rPr>
                  </w:pPr>
                  <w:r>
                    <w:rPr>
                      <w:rFonts w:hint="eastAsia"/>
                      <w:color w:val="auto"/>
                      <w:kern w:val="0"/>
                      <w:sz w:val="18"/>
                      <w:szCs w:val="18"/>
                      <w:highlight w:val="none"/>
                      <w:lang w:bidi="ar"/>
                    </w:rPr>
                    <w:t>95.0</w:t>
                  </w:r>
                </w:p>
              </w:tc>
              <w:tc>
                <w:tcPr>
                  <w:tcW w:w="198" w:type="pct"/>
                  <w:shd w:val="clear" w:color="auto" w:fill="auto"/>
                  <w:vAlign w:val="center"/>
                </w:tcPr>
                <w:p w14:paraId="3DCC3B8F">
                  <w:pPr>
                    <w:jc w:val="center"/>
                    <w:rPr>
                      <w:color w:val="auto"/>
                      <w:kern w:val="0"/>
                      <w:sz w:val="18"/>
                      <w:szCs w:val="18"/>
                      <w:highlight w:val="none"/>
                      <w:lang w:bidi="ar"/>
                    </w:rPr>
                  </w:pPr>
                  <w:r>
                    <w:rPr>
                      <w:rFonts w:hint="eastAsia"/>
                      <w:color w:val="auto"/>
                      <w:kern w:val="0"/>
                      <w:sz w:val="18"/>
                      <w:szCs w:val="18"/>
                      <w:highlight w:val="none"/>
                      <w:lang w:bidi="ar"/>
                    </w:rPr>
                    <w:t>17.0</w:t>
                  </w:r>
                </w:p>
              </w:tc>
              <w:tc>
                <w:tcPr>
                  <w:tcW w:w="183" w:type="pct"/>
                  <w:vAlign w:val="center"/>
                </w:tcPr>
                <w:p w14:paraId="0E830D7E">
                  <w:pPr>
                    <w:jc w:val="center"/>
                    <w:rPr>
                      <w:color w:val="auto"/>
                      <w:kern w:val="0"/>
                      <w:sz w:val="18"/>
                      <w:szCs w:val="18"/>
                      <w:highlight w:val="none"/>
                      <w:lang w:bidi="ar"/>
                    </w:rPr>
                  </w:pPr>
                  <w:r>
                    <w:rPr>
                      <w:rFonts w:hint="eastAsia"/>
                      <w:color w:val="auto"/>
                      <w:kern w:val="0"/>
                      <w:sz w:val="18"/>
                      <w:szCs w:val="18"/>
                      <w:highlight w:val="none"/>
                      <w:lang w:bidi="ar"/>
                    </w:rPr>
                    <w:t>70.1</w:t>
                  </w:r>
                </w:p>
              </w:tc>
              <w:tc>
                <w:tcPr>
                  <w:tcW w:w="184" w:type="pct"/>
                  <w:vAlign w:val="center"/>
                </w:tcPr>
                <w:p w14:paraId="31EB440A">
                  <w:pPr>
                    <w:jc w:val="center"/>
                    <w:rPr>
                      <w:color w:val="auto"/>
                      <w:kern w:val="0"/>
                      <w:sz w:val="18"/>
                      <w:szCs w:val="18"/>
                      <w:highlight w:val="none"/>
                      <w:lang w:bidi="ar"/>
                    </w:rPr>
                  </w:pPr>
                  <w:r>
                    <w:rPr>
                      <w:rFonts w:hint="eastAsia"/>
                      <w:color w:val="auto"/>
                      <w:kern w:val="0"/>
                      <w:sz w:val="18"/>
                      <w:szCs w:val="18"/>
                      <w:highlight w:val="none"/>
                      <w:lang w:bidi="ar"/>
                    </w:rPr>
                    <w:t>70.4</w:t>
                  </w:r>
                </w:p>
              </w:tc>
              <w:tc>
                <w:tcPr>
                  <w:tcW w:w="184" w:type="pct"/>
                  <w:vAlign w:val="center"/>
                </w:tcPr>
                <w:p w14:paraId="3179A30B">
                  <w:pPr>
                    <w:jc w:val="center"/>
                    <w:rPr>
                      <w:color w:val="auto"/>
                      <w:kern w:val="0"/>
                      <w:sz w:val="18"/>
                      <w:szCs w:val="18"/>
                      <w:highlight w:val="none"/>
                      <w:lang w:bidi="ar"/>
                    </w:rPr>
                  </w:pPr>
                  <w:r>
                    <w:rPr>
                      <w:rFonts w:hint="eastAsia"/>
                      <w:color w:val="auto"/>
                      <w:kern w:val="0"/>
                      <w:sz w:val="18"/>
                      <w:szCs w:val="18"/>
                      <w:highlight w:val="none"/>
                      <w:lang w:bidi="ar"/>
                    </w:rPr>
                    <w:t>70.2</w:t>
                  </w:r>
                </w:p>
              </w:tc>
              <w:tc>
                <w:tcPr>
                  <w:tcW w:w="220" w:type="pct"/>
                  <w:vAlign w:val="center"/>
                </w:tcPr>
                <w:p w14:paraId="5C8D0921">
                  <w:pPr>
                    <w:jc w:val="center"/>
                    <w:rPr>
                      <w:color w:val="auto"/>
                      <w:kern w:val="0"/>
                      <w:sz w:val="18"/>
                      <w:szCs w:val="18"/>
                      <w:highlight w:val="none"/>
                      <w:lang w:bidi="ar"/>
                    </w:rPr>
                  </w:pPr>
                  <w:r>
                    <w:rPr>
                      <w:rFonts w:hint="eastAsia"/>
                      <w:color w:val="auto"/>
                      <w:kern w:val="0"/>
                      <w:sz w:val="18"/>
                      <w:szCs w:val="18"/>
                      <w:highlight w:val="none"/>
                      <w:lang w:bidi="ar"/>
                    </w:rPr>
                    <w:t>70.1</w:t>
                  </w:r>
                </w:p>
              </w:tc>
              <w:tc>
                <w:tcPr>
                  <w:tcW w:w="122" w:type="pct"/>
                  <w:vAlign w:val="center"/>
                </w:tcPr>
                <w:p w14:paraId="62C562B0">
                  <w:pPr>
                    <w:jc w:val="center"/>
                    <w:rPr>
                      <w:bCs/>
                      <w:color w:val="auto"/>
                      <w:spacing w:val="-10"/>
                      <w:sz w:val="18"/>
                      <w:szCs w:val="18"/>
                      <w:highlight w:val="none"/>
                    </w:rPr>
                  </w:pPr>
                </w:p>
              </w:tc>
              <w:tc>
                <w:tcPr>
                  <w:tcW w:w="183" w:type="pct"/>
                  <w:vAlign w:val="center"/>
                </w:tcPr>
                <w:p w14:paraId="465E997D">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15.0</w:t>
                  </w:r>
                </w:p>
              </w:tc>
              <w:tc>
                <w:tcPr>
                  <w:tcW w:w="183" w:type="pct"/>
                  <w:vAlign w:val="center"/>
                </w:tcPr>
                <w:p w14:paraId="05BAEFCD">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15.0</w:t>
                  </w:r>
                </w:p>
              </w:tc>
              <w:tc>
                <w:tcPr>
                  <w:tcW w:w="183" w:type="pct"/>
                  <w:vAlign w:val="center"/>
                </w:tcPr>
                <w:p w14:paraId="34261BD5">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15.0</w:t>
                  </w:r>
                </w:p>
              </w:tc>
              <w:tc>
                <w:tcPr>
                  <w:tcW w:w="195" w:type="pct"/>
                  <w:vAlign w:val="center"/>
                </w:tcPr>
                <w:p w14:paraId="0EE9D1CA">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15.0</w:t>
                  </w:r>
                </w:p>
              </w:tc>
              <w:tc>
                <w:tcPr>
                  <w:tcW w:w="187" w:type="pct"/>
                  <w:vAlign w:val="center"/>
                </w:tcPr>
                <w:p w14:paraId="4BF80AF0">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43.1</w:t>
                  </w:r>
                </w:p>
              </w:tc>
              <w:tc>
                <w:tcPr>
                  <w:tcW w:w="187" w:type="pct"/>
                  <w:vAlign w:val="center"/>
                </w:tcPr>
                <w:p w14:paraId="350D040D">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40.9</w:t>
                  </w:r>
                </w:p>
              </w:tc>
              <w:tc>
                <w:tcPr>
                  <w:tcW w:w="187" w:type="pct"/>
                  <w:vAlign w:val="center"/>
                </w:tcPr>
                <w:p w14:paraId="634241A6">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20.0</w:t>
                  </w:r>
                </w:p>
              </w:tc>
              <w:tc>
                <w:tcPr>
                  <w:tcW w:w="187" w:type="pct"/>
                  <w:vAlign w:val="center"/>
                </w:tcPr>
                <w:p w14:paraId="26E2F950">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35.4</w:t>
                  </w:r>
                </w:p>
              </w:tc>
              <w:tc>
                <w:tcPr>
                  <w:tcW w:w="151" w:type="pct"/>
                  <w:vMerge w:val="continue"/>
                  <w:vAlign w:val="center"/>
                </w:tcPr>
                <w:p w14:paraId="43460020">
                  <w:pPr>
                    <w:widowControl/>
                    <w:jc w:val="center"/>
                    <w:textAlignment w:val="center"/>
                    <w:rPr>
                      <w:color w:val="auto"/>
                      <w:sz w:val="18"/>
                      <w:szCs w:val="18"/>
                      <w:highlight w:val="none"/>
                    </w:rPr>
                  </w:pPr>
                </w:p>
              </w:tc>
            </w:tr>
          </w:tbl>
          <w:p w14:paraId="1110B323">
            <w:pPr>
              <w:adjustRightInd w:val="0"/>
              <w:snapToGrid w:val="0"/>
              <w:spacing w:line="360" w:lineRule="auto"/>
              <w:rPr>
                <w:rFonts w:ascii="宋体" w:cs="宋体"/>
                <w:b/>
                <w:color w:val="auto"/>
                <w:kern w:val="0"/>
                <w:sz w:val="28"/>
                <w:szCs w:val="28"/>
                <w:highlight w:val="none"/>
              </w:rPr>
            </w:pPr>
          </w:p>
        </w:tc>
      </w:tr>
    </w:tbl>
    <w:p w14:paraId="65BB8DBD">
      <w:pPr>
        <w:adjustRightInd w:val="0"/>
        <w:snapToGrid w:val="0"/>
        <w:spacing w:line="360" w:lineRule="auto"/>
        <w:rPr>
          <w:rFonts w:ascii="宋体" w:cs="宋体"/>
          <w:b/>
          <w:color w:val="auto"/>
          <w:kern w:val="0"/>
          <w:sz w:val="28"/>
          <w:szCs w:val="28"/>
          <w:highlight w:val="none"/>
        </w:rPr>
        <w:sectPr>
          <w:pgSz w:w="16840" w:h="11907" w:orient="landscape"/>
          <w:pgMar w:top="1531" w:right="1701" w:bottom="1531" w:left="2127" w:header="851" w:footer="851" w:gutter="0"/>
          <w:cols w:space="720" w:num="1"/>
          <w:docGrid w:linePitch="312" w:charSpace="0"/>
        </w:sectPr>
      </w:pPr>
    </w:p>
    <w:tbl>
      <w:tblPr>
        <w:tblStyle w:val="19"/>
        <w:tblW w:w="9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09"/>
        <w:gridCol w:w="8512"/>
      </w:tblGrid>
      <w:tr w14:paraId="1891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3" w:hRule="atLeast"/>
        </w:trPr>
        <w:tc>
          <w:tcPr>
            <w:tcW w:w="386" w:type="dxa"/>
          </w:tcPr>
          <w:p w14:paraId="33DCD7B1">
            <w:pPr>
              <w:adjustRightInd w:val="0"/>
              <w:snapToGrid w:val="0"/>
              <w:spacing w:line="360" w:lineRule="auto"/>
              <w:rPr>
                <w:rFonts w:ascii="宋体" w:cs="宋体"/>
                <w:b/>
                <w:color w:val="auto"/>
                <w:kern w:val="0"/>
                <w:sz w:val="24"/>
                <w:highlight w:val="none"/>
              </w:rPr>
            </w:pPr>
            <w:r>
              <w:rPr>
                <w:rFonts w:hint="eastAsia" w:ascii="宋体" w:cs="宋体"/>
                <w:bCs/>
                <w:color w:val="auto"/>
                <w:kern w:val="0"/>
                <w:szCs w:val="21"/>
                <w:highlight w:val="none"/>
              </w:rPr>
              <w:t>运营期环境影响和保护措施</w:t>
            </w:r>
          </w:p>
        </w:tc>
        <w:tc>
          <w:tcPr>
            <w:tcW w:w="545" w:type="dxa"/>
          </w:tcPr>
          <w:p w14:paraId="09BB6965">
            <w:pPr>
              <w:adjustRightInd w:val="0"/>
              <w:snapToGrid w:val="0"/>
              <w:spacing w:line="360" w:lineRule="auto"/>
              <w:rPr>
                <w:rFonts w:ascii="宋体" w:cs="宋体"/>
                <w:b/>
                <w:color w:val="auto"/>
                <w:kern w:val="0"/>
                <w:sz w:val="28"/>
                <w:szCs w:val="28"/>
                <w:highlight w:val="none"/>
              </w:rPr>
            </w:pPr>
          </w:p>
        </w:tc>
        <w:tc>
          <w:tcPr>
            <w:tcW w:w="8516" w:type="dxa"/>
          </w:tcPr>
          <w:p w14:paraId="7F34BF42">
            <w:pPr>
              <w:pStyle w:val="47"/>
              <w:spacing w:line="460" w:lineRule="exact"/>
              <w:ind w:firstLine="0" w:firstLineChars="0"/>
              <w:rPr>
                <w:color w:val="auto"/>
                <w:highlight w:val="none"/>
              </w:rPr>
            </w:pPr>
            <w:r>
              <w:rPr>
                <w:rFonts w:hint="eastAsia"/>
                <w:b/>
                <w:bCs/>
                <w:color w:val="auto"/>
                <w:highlight w:val="none"/>
              </w:rPr>
              <w:t xml:space="preserve">                表4.2-13 厂界噪声预测值    </w:t>
            </w:r>
            <w:r>
              <w:rPr>
                <w:rFonts w:hint="eastAsia"/>
                <w:color w:val="auto"/>
                <w:highlight w:val="none"/>
              </w:rPr>
              <w:t>单位：dB（A）</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2043"/>
              <w:gridCol w:w="2043"/>
              <w:gridCol w:w="2044"/>
            </w:tblGrid>
            <w:tr w14:paraId="4300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43" w:type="dxa"/>
                  <w:vMerge w:val="restart"/>
                  <w:vAlign w:val="center"/>
                </w:tcPr>
                <w:p w14:paraId="5FBFE380">
                  <w:pPr>
                    <w:pStyle w:val="47"/>
                    <w:spacing w:line="300" w:lineRule="exact"/>
                    <w:ind w:firstLine="0" w:firstLineChars="0"/>
                    <w:rPr>
                      <w:color w:val="auto"/>
                      <w:sz w:val="21"/>
                      <w:szCs w:val="21"/>
                      <w:highlight w:val="none"/>
                    </w:rPr>
                  </w:pPr>
                  <w:r>
                    <w:rPr>
                      <w:rFonts w:hint="eastAsia"/>
                      <w:color w:val="auto"/>
                      <w:sz w:val="21"/>
                      <w:szCs w:val="21"/>
                      <w:highlight w:val="none"/>
                    </w:rPr>
                    <w:t>厂界</w:t>
                  </w:r>
                </w:p>
              </w:tc>
              <w:tc>
                <w:tcPr>
                  <w:tcW w:w="2043" w:type="dxa"/>
                  <w:vAlign w:val="center"/>
                </w:tcPr>
                <w:p w14:paraId="67210F47">
                  <w:pPr>
                    <w:pStyle w:val="47"/>
                    <w:spacing w:line="300" w:lineRule="exact"/>
                    <w:ind w:firstLine="0" w:firstLineChars="0"/>
                    <w:rPr>
                      <w:color w:val="auto"/>
                      <w:sz w:val="21"/>
                      <w:szCs w:val="21"/>
                      <w:highlight w:val="none"/>
                    </w:rPr>
                  </w:pPr>
                  <w:r>
                    <w:rPr>
                      <w:rFonts w:hint="eastAsia"/>
                      <w:color w:val="auto"/>
                      <w:sz w:val="21"/>
                      <w:szCs w:val="21"/>
                      <w:highlight w:val="none"/>
                    </w:rPr>
                    <w:t>贡献值</w:t>
                  </w:r>
                </w:p>
              </w:tc>
              <w:tc>
                <w:tcPr>
                  <w:tcW w:w="2043" w:type="dxa"/>
                  <w:vAlign w:val="center"/>
                </w:tcPr>
                <w:p w14:paraId="76B13C4D">
                  <w:pPr>
                    <w:pStyle w:val="47"/>
                    <w:spacing w:line="300" w:lineRule="exact"/>
                    <w:ind w:firstLine="0" w:firstLineChars="0"/>
                    <w:rPr>
                      <w:color w:val="auto"/>
                      <w:sz w:val="21"/>
                      <w:szCs w:val="21"/>
                      <w:highlight w:val="none"/>
                    </w:rPr>
                  </w:pPr>
                  <w:r>
                    <w:rPr>
                      <w:rFonts w:hint="eastAsia"/>
                      <w:color w:val="auto"/>
                      <w:sz w:val="21"/>
                      <w:szCs w:val="21"/>
                      <w:highlight w:val="none"/>
                    </w:rPr>
                    <w:t>标准值</w:t>
                  </w:r>
                </w:p>
              </w:tc>
              <w:tc>
                <w:tcPr>
                  <w:tcW w:w="2044" w:type="dxa"/>
                  <w:vMerge w:val="restart"/>
                  <w:vAlign w:val="center"/>
                </w:tcPr>
                <w:p w14:paraId="3B4ED0BE">
                  <w:pPr>
                    <w:pStyle w:val="47"/>
                    <w:spacing w:line="300" w:lineRule="exact"/>
                    <w:ind w:firstLine="0" w:firstLineChars="0"/>
                    <w:rPr>
                      <w:color w:val="auto"/>
                      <w:sz w:val="21"/>
                      <w:szCs w:val="21"/>
                      <w:highlight w:val="none"/>
                    </w:rPr>
                  </w:pPr>
                  <w:r>
                    <w:rPr>
                      <w:rFonts w:hint="eastAsia"/>
                      <w:color w:val="auto"/>
                      <w:sz w:val="21"/>
                      <w:szCs w:val="21"/>
                      <w:highlight w:val="none"/>
                    </w:rPr>
                    <w:t>达标情况</w:t>
                  </w:r>
                </w:p>
              </w:tc>
            </w:tr>
            <w:tr w14:paraId="07E7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43" w:type="dxa"/>
                  <w:vMerge w:val="continue"/>
                  <w:vAlign w:val="center"/>
                </w:tcPr>
                <w:p w14:paraId="47799FBB">
                  <w:pPr>
                    <w:pStyle w:val="47"/>
                    <w:spacing w:line="300" w:lineRule="exact"/>
                    <w:ind w:firstLine="420"/>
                    <w:rPr>
                      <w:color w:val="auto"/>
                      <w:sz w:val="21"/>
                      <w:szCs w:val="21"/>
                      <w:highlight w:val="none"/>
                    </w:rPr>
                  </w:pPr>
                </w:p>
              </w:tc>
              <w:tc>
                <w:tcPr>
                  <w:tcW w:w="2043" w:type="dxa"/>
                  <w:vAlign w:val="center"/>
                </w:tcPr>
                <w:p w14:paraId="7B50E081">
                  <w:pPr>
                    <w:pStyle w:val="47"/>
                    <w:spacing w:line="300" w:lineRule="exact"/>
                    <w:ind w:firstLine="0" w:firstLineChars="0"/>
                    <w:rPr>
                      <w:color w:val="auto"/>
                      <w:sz w:val="21"/>
                      <w:szCs w:val="21"/>
                      <w:highlight w:val="none"/>
                    </w:rPr>
                  </w:pPr>
                  <w:r>
                    <w:rPr>
                      <w:rFonts w:hint="eastAsia"/>
                      <w:color w:val="auto"/>
                      <w:sz w:val="21"/>
                      <w:szCs w:val="21"/>
                      <w:highlight w:val="none"/>
                    </w:rPr>
                    <w:t>昼间</w:t>
                  </w:r>
                </w:p>
              </w:tc>
              <w:tc>
                <w:tcPr>
                  <w:tcW w:w="2043" w:type="dxa"/>
                  <w:vAlign w:val="center"/>
                </w:tcPr>
                <w:p w14:paraId="1D2A9B05">
                  <w:pPr>
                    <w:pStyle w:val="47"/>
                    <w:spacing w:line="300" w:lineRule="exact"/>
                    <w:ind w:firstLine="0" w:firstLineChars="0"/>
                    <w:rPr>
                      <w:color w:val="auto"/>
                      <w:sz w:val="21"/>
                      <w:szCs w:val="21"/>
                      <w:highlight w:val="none"/>
                    </w:rPr>
                  </w:pPr>
                  <w:r>
                    <w:rPr>
                      <w:rFonts w:hint="eastAsia"/>
                      <w:color w:val="auto"/>
                      <w:sz w:val="21"/>
                      <w:szCs w:val="21"/>
                      <w:highlight w:val="none"/>
                    </w:rPr>
                    <w:t>昼间</w:t>
                  </w:r>
                </w:p>
              </w:tc>
              <w:tc>
                <w:tcPr>
                  <w:tcW w:w="2044" w:type="dxa"/>
                  <w:vMerge w:val="continue"/>
                  <w:vAlign w:val="center"/>
                </w:tcPr>
                <w:p w14:paraId="77AE129E">
                  <w:pPr>
                    <w:pStyle w:val="47"/>
                    <w:spacing w:line="300" w:lineRule="exact"/>
                    <w:ind w:firstLine="420"/>
                    <w:rPr>
                      <w:color w:val="auto"/>
                      <w:sz w:val="21"/>
                      <w:szCs w:val="21"/>
                      <w:highlight w:val="none"/>
                    </w:rPr>
                  </w:pPr>
                </w:p>
              </w:tc>
            </w:tr>
            <w:tr w14:paraId="7D2B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vAlign w:val="center"/>
                </w:tcPr>
                <w:p w14:paraId="534050C1">
                  <w:pPr>
                    <w:pStyle w:val="47"/>
                    <w:spacing w:line="300" w:lineRule="exact"/>
                    <w:ind w:firstLine="0" w:firstLineChars="0"/>
                    <w:rPr>
                      <w:color w:val="auto"/>
                      <w:sz w:val="21"/>
                      <w:szCs w:val="21"/>
                      <w:highlight w:val="none"/>
                    </w:rPr>
                  </w:pPr>
                  <w:r>
                    <w:rPr>
                      <w:rFonts w:hint="eastAsia"/>
                      <w:color w:val="auto"/>
                      <w:sz w:val="21"/>
                      <w:szCs w:val="21"/>
                      <w:highlight w:val="none"/>
                    </w:rPr>
                    <w:t>东</w:t>
                  </w:r>
                </w:p>
              </w:tc>
              <w:tc>
                <w:tcPr>
                  <w:tcW w:w="2043" w:type="dxa"/>
                  <w:vAlign w:val="center"/>
                </w:tcPr>
                <w:p w14:paraId="09799589">
                  <w:pPr>
                    <w:pStyle w:val="47"/>
                    <w:spacing w:line="300" w:lineRule="exact"/>
                    <w:ind w:firstLine="0" w:firstLineChars="0"/>
                    <w:rPr>
                      <w:color w:val="auto"/>
                      <w:sz w:val="21"/>
                      <w:szCs w:val="21"/>
                      <w:highlight w:val="none"/>
                    </w:rPr>
                  </w:pPr>
                  <w:r>
                    <w:rPr>
                      <w:rFonts w:hint="eastAsia"/>
                      <w:color w:val="auto"/>
                      <w:sz w:val="21"/>
                      <w:szCs w:val="21"/>
                      <w:highlight w:val="none"/>
                    </w:rPr>
                    <w:t>60.1</w:t>
                  </w:r>
                </w:p>
              </w:tc>
              <w:tc>
                <w:tcPr>
                  <w:tcW w:w="2043" w:type="dxa"/>
                  <w:vAlign w:val="center"/>
                </w:tcPr>
                <w:p w14:paraId="074A5CAD">
                  <w:pPr>
                    <w:pStyle w:val="47"/>
                    <w:spacing w:line="300" w:lineRule="exact"/>
                    <w:ind w:firstLine="0" w:firstLineChars="0"/>
                    <w:rPr>
                      <w:color w:val="auto"/>
                      <w:sz w:val="21"/>
                      <w:szCs w:val="21"/>
                      <w:highlight w:val="none"/>
                    </w:rPr>
                  </w:pPr>
                  <w:r>
                    <w:rPr>
                      <w:rFonts w:hint="eastAsia"/>
                      <w:color w:val="auto"/>
                      <w:sz w:val="21"/>
                      <w:szCs w:val="21"/>
                      <w:highlight w:val="none"/>
                    </w:rPr>
                    <w:t>65</w:t>
                  </w:r>
                </w:p>
              </w:tc>
              <w:tc>
                <w:tcPr>
                  <w:tcW w:w="2044" w:type="dxa"/>
                  <w:vAlign w:val="center"/>
                </w:tcPr>
                <w:p w14:paraId="71BE45A7">
                  <w:pPr>
                    <w:pStyle w:val="47"/>
                    <w:spacing w:line="300" w:lineRule="exact"/>
                    <w:ind w:firstLine="0" w:firstLineChars="0"/>
                    <w:rPr>
                      <w:color w:val="auto"/>
                      <w:sz w:val="21"/>
                      <w:szCs w:val="21"/>
                      <w:highlight w:val="none"/>
                    </w:rPr>
                  </w:pPr>
                  <w:r>
                    <w:rPr>
                      <w:rFonts w:hint="eastAsia"/>
                      <w:color w:val="auto"/>
                      <w:sz w:val="21"/>
                      <w:szCs w:val="21"/>
                      <w:highlight w:val="none"/>
                    </w:rPr>
                    <w:t>达标</w:t>
                  </w:r>
                </w:p>
              </w:tc>
            </w:tr>
            <w:tr w14:paraId="70E7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vAlign w:val="center"/>
                </w:tcPr>
                <w:p w14:paraId="385E54E5">
                  <w:pPr>
                    <w:pStyle w:val="47"/>
                    <w:spacing w:line="300" w:lineRule="exact"/>
                    <w:ind w:firstLine="0" w:firstLineChars="0"/>
                    <w:rPr>
                      <w:color w:val="auto"/>
                      <w:sz w:val="21"/>
                      <w:szCs w:val="21"/>
                      <w:highlight w:val="none"/>
                    </w:rPr>
                  </w:pPr>
                  <w:r>
                    <w:rPr>
                      <w:rFonts w:hint="eastAsia"/>
                      <w:color w:val="auto"/>
                      <w:sz w:val="21"/>
                      <w:szCs w:val="21"/>
                      <w:highlight w:val="none"/>
                    </w:rPr>
                    <w:t>南</w:t>
                  </w:r>
                </w:p>
              </w:tc>
              <w:tc>
                <w:tcPr>
                  <w:tcW w:w="2043" w:type="dxa"/>
                  <w:vAlign w:val="center"/>
                </w:tcPr>
                <w:p w14:paraId="258EB69D">
                  <w:pPr>
                    <w:pStyle w:val="47"/>
                    <w:spacing w:line="300" w:lineRule="exact"/>
                    <w:ind w:firstLine="0" w:firstLineChars="0"/>
                    <w:rPr>
                      <w:color w:val="auto"/>
                      <w:sz w:val="21"/>
                      <w:szCs w:val="21"/>
                      <w:highlight w:val="none"/>
                    </w:rPr>
                  </w:pPr>
                  <w:r>
                    <w:rPr>
                      <w:rFonts w:hint="eastAsia"/>
                      <w:color w:val="auto"/>
                      <w:sz w:val="21"/>
                      <w:szCs w:val="21"/>
                      <w:highlight w:val="none"/>
                    </w:rPr>
                    <w:t>60.3</w:t>
                  </w:r>
                </w:p>
              </w:tc>
              <w:tc>
                <w:tcPr>
                  <w:tcW w:w="2043" w:type="dxa"/>
                  <w:vAlign w:val="center"/>
                </w:tcPr>
                <w:p w14:paraId="6CC477A8">
                  <w:pPr>
                    <w:pStyle w:val="47"/>
                    <w:spacing w:line="300" w:lineRule="exact"/>
                    <w:ind w:firstLine="0" w:firstLineChars="0"/>
                    <w:rPr>
                      <w:color w:val="auto"/>
                      <w:sz w:val="21"/>
                      <w:szCs w:val="21"/>
                      <w:highlight w:val="none"/>
                    </w:rPr>
                  </w:pPr>
                  <w:r>
                    <w:rPr>
                      <w:rFonts w:hint="eastAsia"/>
                      <w:color w:val="auto"/>
                      <w:sz w:val="21"/>
                      <w:szCs w:val="21"/>
                      <w:highlight w:val="none"/>
                    </w:rPr>
                    <w:t>65</w:t>
                  </w:r>
                </w:p>
              </w:tc>
              <w:tc>
                <w:tcPr>
                  <w:tcW w:w="2044" w:type="dxa"/>
                  <w:vAlign w:val="center"/>
                </w:tcPr>
                <w:p w14:paraId="6183EC67">
                  <w:pPr>
                    <w:pStyle w:val="47"/>
                    <w:spacing w:line="300" w:lineRule="exact"/>
                    <w:ind w:firstLine="0" w:firstLineChars="0"/>
                    <w:rPr>
                      <w:color w:val="auto"/>
                      <w:sz w:val="21"/>
                      <w:szCs w:val="21"/>
                      <w:highlight w:val="none"/>
                    </w:rPr>
                  </w:pPr>
                  <w:r>
                    <w:rPr>
                      <w:rFonts w:hint="eastAsia"/>
                      <w:color w:val="auto"/>
                      <w:sz w:val="21"/>
                      <w:szCs w:val="21"/>
                      <w:highlight w:val="none"/>
                    </w:rPr>
                    <w:t>达标</w:t>
                  </w:r>
                </w:p>
              </w:tc>
            </w:tr>
            <w:tr w14:paraId="32E2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vAlign w:val="center"/>
                </w:tcPr>
                <w:p w14:paraId="0252DC84">
                  <w:pPr>
                    <w:pStyle w:val="47"/>
                    <w:spacing w:line="300" w:lineRule="exact"/>
                    <w:ind w:firstLine="0" w:firstLineChars="0"/>
                    <w:rPr>
                      <w:color w:val="auto"/>
                      <w:sz w:val="21"/>
                      <w:szCs w:val="21"/>
                      <w:highlight w:val="none"/>
                    </w:rPr>
                  </w:pPr>
                  <w:r>
                    <w:rPr>
                      <w:rFonts w:hint="eastAsia"/>
                      <w:color w:val="auto"/>
                      <w:sz w:val="21"/>
                      <w:szCs w:val="21"/>
                      <w:highlight w:val="none"/>
                    </w:rPr>
                    <w:t>西</w:t>
                  </w:r>
                </w:p>
              </w:tc>
              <w:tc>
                <w:tcPr>
                  <w:tcW w:w="2043" w:type="dxa"/>
                  <w:vAlign w:val="center"/>
                </w:tcPr>
                <w:p w14:paraId="7A58BFBA">
                  <w:pPr>
                    <w:pStyle w:val="47"/>
                    <w:spacing w:line="300" w:lineRule="exact"/>
                    <w:ind w:firstLine="0" w:firstLineChars="0"/>
                    <w:rPr>
                      <w:color w:val="auto"/>
                      <w:sz w:val="21"/>
                      <w:szCs w:val="21"/>
                      <w:highlight w:val="none"/>
                    </w:rPr>
                  </w:pPr>
                  <w:r>
                    <w:rPr>
                      <w:rFonts w:hint="eastAsia"/>
                      <w:color w:val="auto"/>
                      <w:sz w:val="21"/>
                      <w:szCs w:val="21"/>
                      <w:highlight w:val="none"/>
                    </w:rPr>
                    <w:t>60.3</w:t>
                  </w:r>
                </w:p>
              </w:tc>
              <w:tc>
                <w:tcPr>
                  <w:tcW w:w="2043" w:type="dxa"/>
                  <w:vAlign w:val="center"/>
                </w:tcPr>
                <w:p w14:paraId="033ED1A7">
                  <w:pPr>
                    <w:pStyle w:val="47"/>
                    <w:spacing w:line="300" w:lineRule="exact"/>
                    <w:ind w:firstLine="0" w:firstLineChars="0"/>
                    <w:rPr>
                      <w:color w:val="auto"/>
                      <w:sz w:val="21"/>
                      <w:szCs w:val="21"/>
                      <w:highlight w:val="none"/>
                    </w:rPr>
                  </w:pPr>
                  <w:r>
                    <w:rPr>
                      <w:rFonts w:hint="eastAsia"/>
                      <w:color w:val="auto"/>
                      <w:sz w:val="21"/>
                      <w:szCs w:val="21"/>
                      <w:highlight w:val="none"/>
                    </w:rPr>
                    <w:t>65</w:t>
                  </w:r>
                </w:p>
              </w:tc>
              <w:tc>
                <w:tcPr>
                  <w:tcW w:w="2044" w:type="dxa"/>
                  <w:vAlign w:val="center"/>
                </w:tcPr>
                <w:p w14:paraId="434C68BF">
                  <w:pPr>
                    <w:pStyle w:val="47"/>
                    <w:spacing w:line="300" w:lineRule="exact"/>
                    <w:ind w:firstLine="0" w:firstLineChars="0"/>
                    <w:rPr>
                      <w:color w:val="auto"/>
                      <w:sz w:val="21"/>
                      <w:szCs w:val="21"/>
                      <w:highlight w:val="none"/>
                    </w:rPr>
                  </w:pPr>
                  <w:r>
                    <w:rPr>
                      <w:rFonts w:hint="eastAsia"/>
                      <w:color w:val="auto"/>
                      <w:sz w:val="21"/>
                      <w:szCs w:val="21"/>
                      <w:highlight w:val="none"/>
                    </w:rPr>
                    <w:t>达标</w:t>
                  </w:r>
                </w:p>
              </w:tc>
            </w:tr>
            <w:tr w14:paraId="71BE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vAlign w:val="center"/>
                </w:tcPr>
                <w:p w14:paraId="7D9208D4">
                  <w:pPr>
                    <w:pStyle w:val="47"/>
                    <w:spacing w:line="300" w:lineRule="exact"/>
                    <w:ind w:firstLine="0" w:firstLineChars="0"/>
                    <w:rPr>
                      <w:color w:val="auto"/>
                      <w:sz w:val="21"/>
                      <w:szCs w:val="21"/>
                      <w:highlight w:val="none"/>
                    </w:rPr>
                  </w:pPr>
                  <w:r>
                    <w:rPr>
                      <w:rFonts w:hint="eastAsia"/>
                      <w:color w:val="auto"/>
                      <w:sz w:val="21"/>
                      <w:szCs w:val="21"/>
                      <w:highlight w:val="none"/>
                    </w:rPr>
                    <w:t>北</w:t>
                  </w:r>
                </w:p>
              </w:tc>
              <w:tc>
                <w:tcPr>
                  <w:tcW w:w="2043" w:type="dxa"/>
                  <w:vAlign w:val="center"/>
                </w:tcPr>
                <w:p w14:paraId="7A3DE05A">
                  <w:pPr>
                    <w:pStyle w:val="47"/>
                    <w:spacing w:line="300" w:lineRule="exact"/>
                    <w:ind w:firstLine="0" w:firstLineChars="0"/>
                    <w:rPr>
                      <w:color w:val="auto"/>
                      <w:sz w:val="21"/>
                      <w:szCs w:val="21"/>
                      <w:highlight w:val="none"/>
                    </w:rPr>
                  </w:pPr>
                  <w:r>
                    <w:rPr>
                      <w:rFonts w:hint="eastAsia"/>
                      <w:color w:val="auto"/>
                      <w:sz w:val="21"/>
                      <w:szCs w:val="21"/>
                      <w:highlight w:val="none"/>
                    </w:rPr>
                    <w:t>60.2</w:t>
                  </w:r>
                </w:p>
              </w:tc>
              <w:tc>
                <w:tcPr>
                  <w:tcW w:w="2043" w:type="dxa"/>
                  <w:vAlign w:val="center"/>
                </w:tcPr>
                <w:p w14:paraId="000DC1CC">
                  <w:pPr>
                    <w:pStyle w:val="47"/>
                    <w:spacing w:line="300" w:lineRule="exact"/>
                    <w:ind w:firstLine="0" w:firstLineChars="0"/>
                    <w:rPr>
                      <w:color w:val="auto"/>
                      <w:sz w:val="21"/>
                      <w:szCs w:val="21"/>
                      <w:highlight w:val="none"/>
                    </w:rPr>
                  </w:pPr>
                  <w:r>
                    <w:rPr>
                      <w:rFonts w:hint="eastAsia"/>
                      <w:color w:val="auto"/>
                      <w:sz w:val="21"/>
                      <w:szCs w:val="21"/>
                      <w:highlight w:val="none"/>
                    </w:rPr>
                    <w:t>65</w:t>
                  </w:r>
                </w:p>
              </w:tc>
              <w:tc>
                <w:tcPr>
                  <w:tcW w:w="2044" w:type="dxa"/>
                  <w:vAlign w:val="center"/>
                </w:tcPr>
                <w:p w14:paraId="284B25CD">
                  <w:pPr>
                    <w:pStyle w:val="47"/>
                    <w:spacing w:line="300" w:lineRule="exact"/>
                    <w:ind w:firstLine="0" w:firstLineChars="0"/>
                    <w:rPr>
                      <w:color w:val="auto"/>
                      <w:sz w:val="21"/>
                      <w:szCs w:val="21"/>
                      <w:highlight w:val="none"/>
                    </w:rPr>
                  </w:pPr>
                  <w:r>
                    <w:rPr>
                      <w:rFonts w:hint="eastAsia"/>
                      <w:color w:val="auto"/>
                      <w:sz w:val="21"/>
                      <w:szCs w:val="21"/>
                      <w:highlight w:val="none"/>
                    </w:rPr>
                    <w:t>达标</w:t>
                  </w:r>
                </w:p>
              </w:tc>
            </w:tr>
          </w:tbl>
          <w:p w14:paraId="6A724421">
            <w:pPr>
              <w:adjustRightInd w:val="0"/>
              <w:snapToGrid w:val="0"/>
              <w:rPr>
                <w:rFonts w:ascii="宋体" w:hAnsi="宋体" w:cs="宋体"/>
                <w:bCs/>
                <w:color w:val="auto"/>
                <w:spacing w:val="-10"/>
                <w:sz w:val="24"/>
                <w:highlight w:val="none"/>
              </w:rPr>
            </w:pPr>
          </w:p>
          <w:p w14:paraId="1D2D2B84">
            <w:pPr>
              <w:adjustRightInd w:val="0"/>
              <w:snapToGrid w:val="0"/>
              <w:spacing w:line="460" w:lineRule="exact"/>
              <w:ind w:firstLine="440" w:firstLineChars="200"/>
              <w:rPr>
                <w:color w:val="auto"/>
                <w:sz w:val="24"/>
                <w:highlight w:val="none"/>
              </w:rPr>
            </w:pPr>
            <w:r>
              <w:rPr>
                <w:rFonts w:hint="eastAsia" w:ascii="宋体" w:hAnsi="宋体" w:cs="宋体"/>
                <w:bCs/>
                <w:color w:val="auto"/>
                <w:spacing w:val="-10"/>
                <w:sz w:val="24"/>
                <w:highlight w:val="none"/>
              </w:rPr>
              <w:t>本项目夜间不生产，</w:t>
            </w:r>
            <w:r>
              <w:rPr>
                <w:color w:val="auto"/>
                <w:sz w:val="24"/>
                <w:highlight w:val="none"/>
              </w:rPr>
              <w:t>由上表可以看出，在厂房隔声、距离衰减情况下，项目昼间</w:t>
            </w:r>
            <w:r>
              <w:rPr>
                <w:rFonts w:hint="eastAsia"/>
                <w:color w:val="auto"/>
                <w:sz w:val="24"/>
                <w:highlight w:val="none"/>
              </w:rPr>
              <w:t>东、南、西、北四侧</w:t>
            </w:r>
            <w:r>
              <w:rPr>
                <w:color w:val="auto"/>
                <w:sz w:val="24"/>
                <w:highlight w:val="none"/>
              </w:rPr>
              <w:t>厂界均可达到</w:t>
            </w:r>
            <w:r>
              <w:rPr>
                <w:rFonts w:hint="eastAsia" w:ascii="宋体" w:hAnsi="宋体" w:cs="宋体"/>
                <w:color w:val="auto"/>
                <w:kern w:val="0"/>
                <w:sz w:val="24"/>
                <w:highlight w:val="none"/>
              </w:rPr>
              <w:t>《工业企业厂界环境噪声排放标准》</w:t>
            </w:r>
            <w:r>
              <w:rPr>
                <w:color w:val="auto"/>
                <w:kern w:val="0"/>
                <w:sz w:val="24"/>
                <w:highlight w:val="none"/>
              </w:rPr>
              <w:t>（GB 12348-2008）中的3</w:t>
            </w:r>
            <w:r>
              <w:rPr>
                <w:rFonts w:hint="eastAsia" w:ascii="宋体" w:hAnsi="宋体" w:cs="宋体"/>
                <w:color w:val="auto"/>
                <w:kern w:val="0"/>
                <w:sz w:val="24"/>
                <w:highlight w:val="none"/>
              </w:rPr>
              <w:t>级区标准</w:t>
            </w:r>
            <w:r>
              <w:rPr>
                <w:rFonts w:hint="eastAsia"/>
                <w:color w:val="auto"/>
                <w:sz w:val="24"/>
                <w:highlight w:val="none"/>
              </w:rPr>
              <w:t>，预计本项目建设不会对周围声环境造成明显不利影响。</w:t>
            </w:r>
          </w:p>
          <w:p w14:paraId="02204A4A">
            <w:pPr>
              <w:adjustRightInd w:val="0"/>
              <w:snapToGrid w:val="0"/>
              <w:spacing w:line="460" w:lineRule="exact"/>
              <w:rPr>
                <w:b/>
                <w:bCs/>
                <w:color w:val="auto"/>
                <w:sz w:val="24"/>
                <w:highlight w:val="none"/>
              </w:rPr>
            </w:pPr>
            <w:r>
              <w:rPr>
                <w:rFonts w:hint="eastAsia"/>
                <w:b/>
                <w:bCs/>
                <w:color w:val="auto"/>
                <w:sz w:val="24"/>
                <w:highlight w:val="none"/>
              </w:rPr>
              <w:t>（三）噪声监测计划</w:t>
            </w:r>
          </w:p>
          <w:p w14:paraId="746FE52F">
            <w:pPr>
              <w:adjustRightInd w:val="0"/>
              <w:snapToGrid w:val="0"/>
              <w:spacing w:line="460" w:lineRule="exact"/>
              <w:ind w:firstLine="480"/>
              <w:jc w:val="left"/>
              <w:rPr>
                <w:color w:val="auto"/>
                <w:kern w:val="0"/>
                <w:sz w:val="24"/>
                <w:highlight w:val="none"/>
              </w:rPr>
            </w:pPr>
            <w:r>
              <w:rPr>
                <w:rFonts w:hint="eastAsia"/>
                <w:bCs/>
                <w:color w:val="auto"/>
                <w:spacing w:val="-10"/>
                <w:sz w:val="24"/>
                <w:highlight w:val="none"/>
              </w:rPr>
              <w:t>根据《排污单位自行监测技术指南  农副食品加工业》（HJ986-2018）</w:t>
            </w:r>
            <w:r>
              <w:rPr>
                <w:color w:val="auto"/>
                <w:kern w:val="0"/>
                <w:sz w:val="24"/>
                <w:highlight w:val="none"/>
              </w:rPr>
              <w:t>，</w:t>
            </w:r>
            <w:r>
              <w:rPr>
                <w:rFonts w:hAnsi="宋体"/>
                <w:color w:val="auto"/>
                <w:kern w:val="0"/>
                <w:sz w:val="24"/>
                <w:highlight w:val="none"/>
              </w:rPr>
              <w:t>本项目</w:t>
            </w:r>
            <w:r>
              <w:rPr>
                <w:rFonts w:hint="eastAsia" w:hAnsi="宋体"/>
                <w:color w:val="auto"/>
                <w:kern w:val="0"/>
                <w:sz w:val="24"/>
                <w:highlight w:val="none"/>
              </w:rPr>
              <w:t>噪声</w:t>
            </w:r>
            <w:r>
              <w:rPr>
                <w:rFonts w:hAnsi="宋体"/>
                <w:color w:val="auto"/>
                <w:kern w:val="0"/>
                <w:sz w:val="24"/>
                <w:highlight w:val="none"/>
              </w:rPr>
              <w:t>监测计划</w:t>
            </w:r>
            <w:r>
              <w:rPr>
                <w:rFonts w:hint="eastAsia" w:hAnsi="宋体"/>
                <w:color w:val="auto"/>
                <w:kern w:val="0"/>
                <w:sz w:val="24"/>
                <w:highlight w:val="none"/>
              </w:rPr>
              <w:t>见表4.2-14。</w:t>
            </w:r>
          </w:p>
          <w:p w14:paraId="1231645B">
            <w:pPr>
              <w:adjustRightInd w:val="0"/>
              <w:snapToGrid w:val="0"/>
              <w:spacing w:line="460" w:lineRule="exact"/>
              <w:jc w:val="center"/>
              <w:rPr>
                <w:b/>
                <w:color w:val="auto"/>
                <w:spacing w:val="-10"/>
                <w:sz w:val="24"/>
                <w:highlight w:val="none"/>
              </w:rPr>
            </w:pPr>
            <w:r>
              <w:rPr>
                <w:rFonts w:hint="eastAsia"/>
                <w:b/>
                <w:color w:val="auto"/>
                <w:spacing w:val="-10"/>
                <w:sz w:val="24"/>
                <w:highlight w:val="none"/>
              </w:rPr>
              <w:t>4.2-14  本项目噪声自行监测计划一览表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587"/>
              <w:gridCol w:w="2089"/>
              <w:gridCol w:w="3248"/>
            </w:tblGrid>
            <w:tr w14:paraId="7333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vAlign w:val="center"/>
                </w:tcPr>
                <w:p w14:paraId="49BAC7DA">
                  <w:pPr>
                    <w:adjustRightInd w:val="0"/>
                    <w:snapToGrid w:val="0"/>
                    <w:spacing w:line="300" w:lineRule="exact"/>
                    <w:jc w:val="center"/>
                    <w:rPr>
                      <w:color w:val="auto"/>
                      <w:szCs w:val="21"/>
                      <w:highlight w:val="none"/>
                    </w:rPr>
                  </w:pPr>
                  <w:r>
                    <w:rPr>
                      <w:rFonts w:hint="eastAsia"/>
                      <w:color w:val="auto"/>
                      <w:szCs w:val="21"/>
                      <w:highlight w:val="none"/>
                    </w:rPr>
                    <w:t>监测点</w:t>
                  </w:r>
                </w:p>
              </w:tc>
              <w:tc>
                <w:tcPr>
                  <w:tcW w:w="958" w:type="pct"/>
                  <w:vAlign w:val="center"/>
                </w:tcPr>
                <w:p w14:paraId="04832691">
                  <w:pPr>
                    <w:adjustRightInd w:val="0"/>
                    <w:snapToGrid w:val="0"/>
                    <w:spacing w:line="300" w:lineRule="exact"/>
                    <w:jc w:val="center"/>
                    <w:rPr>
                      <w:color w:val="auto"/>
                      <w:szCs w:val="21"/>
                      <w:highlight w:val="none"/>
                    </w:rPr>
                  </w:pPr>
                  <w:r>
                    <w:rPr>
                      <w:rFonts w:hint="eastAsia"/>
                      <w:color w:val="auto"/>
                      <w:szCs w:val="21"/>
                      <w:highlight w:val="none"/>
                    </w:rPr>
                    <w:t>监测项目</w:t>
                  </w:r>
                </w:p>
              </w:tc>
              <w:tc>
                <w:tcPr>
                  <w:tcW w:w="1261" w:type="pct"/>
                  <w:vAlign w:val="center"/>
                </w:tcPr>
                <w:p w14:paraId="70CBF47A">
                  <w:pPr>
                    <w:adjustRightInd w:val="0"/>
                    <w:snapToGrid w:val="0"/>
                    <w:spacing w:line="300" w:lineRule="exact"/>
                    <w:jc w:val="center"/>
                    <w:rPr>
                      <w:color w:val="auto"/>
                      <w:szCs w:val="21"/>
                      <w:highlight w:val="none"/>
                    </w:rPr>
                  </w:pPr>
                  <w:r>
                    <w:rPr>
                      <w:rFonts w:hint="eastAsia"/>
                      <w:color w:val="auto"/>
                      <w:szCs w:val="21"/>
                      <w:highlight w:val="none"/>
                    </w:rPr>
                    <w:t>监测频率</w:t>
                  </w:r>
                </w:p>
              </w:tc>
              <w:tc>
                <w:tcPr>
                  <w:tcW w:w="1960" w:type="pct"/>
                  <w:vAlign w:val="center"/>
                </w:tcPr>
                <w:p w14:paraId="476E5534">
                  <w:pPr>
                    <w:adjustRightInd w:val="0"/>
                    <w:snapToGrid w:val="0"/>
                    <w:spacing w:line="300" w:lineRule="exact"/>
                    <w:jc w:val="center"/>
                    <w:rPr>
                      <w:color w:val="auto"/>
                      <w:szCs w:val="21"/>
                      <w:highlight w:val="none"/>
                    </w:rPr>
                  </w:pPr>
                  <w:r>
                    <w:rPr>
                      <w:rFonts w:hint="eastAsia"/>
                      <w:color w:val="auto"/>
                      <w:szCs w:val="21"/>
                      <w:highlight w:val="none"/>
                    </w:rPr>
                    <w:t>执行标准</w:t>
                  </w:r>
                </w:p>
              </w:tc>
            </w:tr>
            <w:tr w14:paraId="219C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vAlign w:val="center"/>
                </w:tcPr>
                <w:p w14:paraId="6AC28409">
                  <w:pPr>
                    <w:spacing w:line="300" w:lineRule="exact"/>
                    <w:jc w:val="center"/>
                    <w:rPr>
                      <w:color w:val="auto"/>
                      <w:szCs w:val="21"/>
                      <w:highlight w:val="none"/>
                    </w:rPr>
                  </w:pPr>
                  <w:r>
                    <w:rPr>
                      <w:snapToGrid w:val="0"/>
                      <w:color w:val="auto"/>
                      <w:szCs w:val="21"/>
                      <w:highlight w:val="none"/>
                    </w:rPr>
                    <w:t>厂界</w:t>
                  </w:r>
                </w:p>
              </w:tc>
              <w:tc>
                <w:tcPr>
                  <w:tcW w:w="958" w:type="pct"/>
                  <w:vAlign w:val="center"/>
                </w:tcPr>
                <w:p w14:paraId="63E1095A">
                  <w:pPr>
                    <w:spacing w:line="300" w:lineRule="exact"/>
                    <w:jc w:val="center"/>
                    <w:rPr>
                      <w:bCs/>
                      <w:snapToGrid w:val="0"/>
                      <w:color w:val="auto"/>
                      <w:szCs w:val="21"/>
                      <w:highlight w:val="none"/>
                    </w:rPr>
                  </w:pPr>
                  <w:r>
                    <w:rPr>
                      <w:bCs/>
                      <w:snapToGrid w:val="0"/>
                      <w:color w:val="auto"/>
                      <w:szCs w:val="21"/>
                      <w:highlight w:val="none"/>
                    </w:rPr>
                    <w:t>等效连续</w:t>
                  </w:r>
                </w:p>
                <w:p w14:paraId="064DAEE3">
                  <w:pPr>
                    <w:spacing w:line="300" w:lineRule="exact"/>
                    <w:jc w:val="center"/>
                    <w:rPr>
                      <w:color w:val="auto"/>
                      <w:szCs w:val="21"/>
                      <w:highlight w:val="none"/>
                    </w:rPr>
                  </w:pPr>
                  <w:r>
                    <w:rPr>
                      <w:bCs/>
                      <w:snapToGrid w:val="0"/>
                      <w:color w:val="auto"/>
                      <w:szCs w:val="21"/>
                      <w:highlight w:val="none"/>
                    </w:rPr>
                    <w:t>A声级</w:t>
                  </w:r>
                </w:p>
              </w:tc>
              <w:tc>
                <w:tcPr>
                  <w:tcW w:w="1261" w:type="pct"/>
                  <w:vAlign w:val="center"/>
                </w:tcPr>
                <w:p w14:paraId="7CD08C0C">
                  <w:pPr>
                    <w:spacing w:line="300" w:lineRule="exact"/>
                    <w:jc w:val="center"/>
                    <w:rPr>
                      <w:color w:val="auto"/>
                      <w:szCs w:val="21"/>
                      <w:highlight w:val="none"/>
                    </w:rPr>
                  </w:pPr>
                  <w:r>
                    <w:rPr>
                      <w:rFonts w:hint="eastAsia"/>
                      <w:color w:val="auto"/>
                      <w:szCs w:val="21"/>
                      <w:highlight w:val="none"/>
                    </w:rPr>
                    <w:t>1次</w:t>
                  </w:r>
                  <w:r>
                    <w:rPr>
                      <w:color w:val="auto"/>
                      <w:szCs w:val="21"/>
                      <w:highlight w:val="none"/>
                    </w:rPr>
                    <w:t>/</w:t>
                  </w:r>
                  <w:r>
                    <w:rPr>
                      <w:rFonts w:hint="eastAsia"/>
                      <w:color w:val="auto"/>
                      <w:szCs w:val="21"/>
                      <w:highlight w:val="none"/>
                    </w:rPr>
                    <w:t>季度</w:t>
                  </w:r>
                </w:p>
              </w:tc>
              <w:tc>
                <w:tcPr>
                  <w:tcW w:w="1960" w:type="pct"/>
                  <w:vAlign w:val="center"/>
                </w:tcPr>
                <w:p w14:paraId="0D992141">
                  <w:pPr>
                    <w:spacing w:line="300" w:lineRule="exact"/>
                    <w:jc w:val="center"/>
                    <w:rPr>
                      <w:color w:val="auto"/>
                      <w:szCs w:val="21"/>
                      <w:highlight w:val="none"/>
                    </w:rPr>
                  </w:pPr>
                  <w:r>
                    <w:rPr>
                      <w:rFonts w:hAnsi="宋体"/>
                      <w:color w:val="auto"/>
                      <w:szCs w:val="21"/>
                      <w:highlight w:val="none"/>
                    </w:rPr>
                    <w:t>《工业企业厂界环境噪声排放标准》</w:t>
                  </w:r>
                  <w:r>
                    <w:rPr>
                      <w:color w:val="auto"/>
                      <w:szCs w:val="21"/>
                      <w:highlight w:val="none"/>
                    </w:rPr>
                    <w:t>(GB12348-2008)</w:t>
                  </w:r>
                  <w:r>
                    <w:rPr>
                      <w:rFonts w:hint="eastAsia"/>
                      <w:color w:val="auto"/>
                      <w:szCs w:val="21"/>
                      <w:highlight w:val="none"/>
                    </w:rPr>
                    <w:t>3类区标准</w:t>
                  </w:r>
                </w:p>
              </w:tc>
            </w:tr>
          </w:tbl>
          <w:p w14:paraId="06AA5676">
            <w:pPr>
              <w:adjustRightInd w:val="0"/>
              <w:snapToGrid w:val="0"/>
              <w:rPr>
                <w:rFonts w:ascii="宋体" w:hAnsi="宋体" w:cs="宋体"/>
                <w:bCs/>
                <w:color w:val="auto"/>
                <w:spacing w:val="-10"/>
                <w:sz w:val="24"/>
                <w:highlight w:val="none"/>
              </w:rPr>
            </w:pPr>
          </w:p>
          <w:p w14:paraId="3A5F6734">
            <w:pPr>
              <w:adjustRightInd w:val="0"/>
              <w:snapToGrid w:val="0"/>
              <w:spacing w:line="460" w:lineRule="exact"/>
              <w:rPr>
                <w:rFonts w:ascii="宋体" w:hAnsi="宋体" w:cs="宋体"/>
                <w:b/>
                <w:color w:val="auto"/>
                <w:spacing w:val="-10"/>
                <w:sz w:val="24"/>
                <w:highlight w:val="none"/>
              </w:rPr>
            </w:pPr>
            <w:r>
              <w:rPr>
                <w:b/>
                <w:color w:val="auto"/>
                <w:spacing w:val="-10"/>
                <w:sz w:val="24"/>
                <w:highlight w:val="none"/>
              </w:rPr>
              <w:t>4.2.4</w:t>
            </w:r>
            <w:r>
              <w:rPr>
                <w:rFonts w:hint="eastAsia" w:ascii="宋体" w:hAnsi="宋体" w:cs="宋体"/>
                <w:b/>
                <w:color w:val="auto"/>
                <w:spacing w:val="-10"/>
                <w:sz w:val="24"/>
                <w:highlight w:val="none"/>
              </w:rPr>
              <w:t>固体废物</w:t>
            </w:r>
          </w:p>
          <w:p w14:paraId="40A83BD4">
            <w:pPr>
              <w:adjustRightInd w:val="0"/>
              <w:snapToGrid w:val="0"/>
              <w:spacing w:line="460" w:lineRule="exact"/>
              <w:rPr>
                <w:rFonts w:ascii="宋体" w:hAnsi="宋体" w:cs="宋体"/>
                <w:b/>
                <w:color w:val="auto"/>
                <w:spacing w:val="-10"/>
                <w:sz w:val="24"/>
                <w:highlight w:val="none"/>
              </w:rPr>
            </w:pPr>
            <w:r>
              <w:rPr>
                <w:rFonts w:hint="eastAsia"/>
                <w:b/>
                <w:color w:val="auto"/>
                <w:spacing w:val="-10"/>
                <w:sz w:val="24"/>
                <w:highlight w:val="none"/>
              </w:rPr>
              <w:t>4.2.4.1</w:t>
            </w:r>
            <w:r>
              <w:rPr>
                <w:rFonts w:hint="eastAsia" w:ascii="宋体" w:hAnsi="宋体" w:cs="宋体"/>
                <w:b/>
                <w:color w:val="auto"/>
                <w:spacing w:val="-10"/>
                <w:sz w:val="24"/>
                <w:highlight w:val="none"/>
              </w:rPr>
              <w:t>固体废物产生情况</w:t>
            </w:r>
          </w:p>
          <w:p w14:paraId="75548BA4">
            <w:pPr>
              <w:adjustRightInd w:val="0"/>
              <w:snapToGrid w:val="0"/>
              <w:spacing w:line="460" w:lineRule="exact"/>
              <w:ind w:firstLine="440" w:firstLineChars="200"/>
              <w:rPr>
                <w:rFonts w:ascii="宋体" w:hAnsi="宋体" w:cs="宋体"/>
                <w:bCs/>
                <w:color w:val="auto"/>
                <w:spacing w:val="-10"/>
                <w:sz w:val="24"/>
                <w:highlight w:val="none"/>
              </w:rPr>
            </w:pPr>
            <w:r>
              <w:rPr>
                <w:rFonts w:hint="eastAsia" w:ascii="宋体" w:hAnsi="宋体" w:cs="宋体"/>
                <w:bCs/>
                <w:color w:val="auto"/>
                <w:spacing w:val="-10"/>
                <w:sz w:val="24"/>
                <w:highlight w:val="none"/>
              </w:rPr>
              <w:t>运营期的固体废物主要为生产过程中产生的葛根渣、废包装、污泥和生活垃圾。</w:t>
            </w:r>
          </w:p>
          <w:p w14:paraId="5427B9D6">
            <w:pPr>
              <w:adjustRightInd w:val="0"/>
              <w:snapToGrid w:val="0"/>
              <w:spacing w:line="460" w:lineRule="exact"/>
              <w:ind w:left="-20" w:firstLine="440"/>
              <w:rPr>
                <w:rFonts w:ascii="宋体" w:hAnsi="宋体" w:cs="宋体"/>
                <w:bCs/>
                <w:color w:val="auto"/>
                <w:spacing w:val="-10"/>
                <w:sz w:val="24"/>
                <w:highlight w:val="none"/>
              </w:rPr>
            </w:pPr>
            <w:r>
              <w:rPr>
                <w:bCs/>
                <w:color w:val="auto"/>
                <w:spacing w:val="-10"/>
                <w:sz w:val="24"/>
                <w:highlight w:val="none"/>
              </w:rPr>
              <w:t>（1）</w:t>
            </w:r>
            <w:r>
              <w:rPr>
                <w:rFonts w:hint="eastAsia"/>
                <w:bCs/>
                <w:color w:val="auto"/>
                <w:spacing w:val="-10"/>
                <w:sz w:val="24"/>
                <w:highlight w:val="none"/>
              </w:rPr>
              <w:t>不合格葛根及葛根渣</w:t>
            </w:r>
          </w:p>
          <w:p w14:paraId="3A6DBC69">
            <w:pPr>
              <w:adjustRightInd w:val="0"/>
              <w:snapToGrid w:val="0"/>
              <w:spacing w:line="460" w:lineRule="exact"/>
              <w:ind w:left="-20" w:firstLine="440"/>
              <w:rPr>
                <w:bCs/>
                <w:color w:val="auto"/>
                <w:spacing w:val="-10"/>
                <w:sz w:val="24"/>
                <w:highlight w:val="none"/>
              </w:rPr>
            </w:pPr>
            <w:r>
              <w:rPr>
                <w:bCs/>
                <w:color w:val="auto"/>
                <w:spacing w:val="-10"/>
                <w:sz w:val="24"/>
                <w:highlight w:val="none"/>
              </w:rPr>
              <w:t>①</w:t>
            </w:r>
            <w:r>
              <w:rPr>
                <w:rFonts w:hint="eastAsia"/>
                <w:bCs/>
                <w:color w:val="auto"/>
                <w:spacing w:val="-10"/>
                <w:sz w:val="24"/>
                <w:highlight w:val="none"/>
              </w:rPr>
              <w:t>不合格鲜葛根S1</w:t>
            </w:r>
          </w:p>
          <w:p w14:paraId="28E33E6E">
            <w:pPr>
              <w:adjustRightInd w:val="0"/>
              <w:snapToGrid w:val="0"/>
              <w:spacing w:line="460" w:lineRule="exact"/>
              <w:ind w:left="-20" w:firstLine="440"/>
              <w:rPr>
                <w:bCs/>
                <w:color w:val="auto"/>
                <w:spacing w:val="-10"/>
                <w:sz w:val="24"/>
                <w:highlight w:val="none"/>
              </w:rPr>
            </w:pPr>
            <w:r>
              <w:rPr>
                <w:rFonts w:hint="eastAsia"/>
                <w:bCs/>
                <w:color w:val="auto"/>
                <w:spacing w:val="-10"/>
                <w:sz w:val="24"/>
                <w:highlight w:val="none"/>
              </w:rPr>
              <w:t>本项目鲜葛根原料为600t/a，经分拣不合格原料约1%～2%，本评价按2%计算，产生量为</w:t>
            </w:r>
            <w:r>
              <w:rPr>
                <w:rFonts w:hint="eastAsia"/>
                <w:color w:val="auto"/>
                <w:sz w:val="24"/>
                <w:szCs w:val="21"/>
                <w:highlight w:val="none"/>
              </w:rPr>
              <w:t xml:space="preserve">12 </w:t>
            </w:r>
            <w:r>
              <w:rPr>
                <w:color w:val="auto"/>
                <w:sz w:val="24"/>
                <w:szCs w:val="21"/>
                <w:highlight w:val="none"/>
              </w:rPr>
              <w:t>t/a（0.</w:t>
            </w:r>
            <w:r>
              <w:rPr>
                <w:rFonts w:hint="eastAsia"/>
                <w:color w:val="auto"/>
                <w:sz w:val="24"/>
                <w:szCs w:val="21"/>
                <w:highlight w:val="none"/>
              </w:rPr>
              <w:t>10</w:t>
            </w:r>
            <w:r>
              <w:rPr>
                <w:color w:val="auto"/>
                <w:sz w:val="24"/>
                <w:szCs w:val="21"/>
                <w:highlight w:val="none"/>
              </w:rPr>
              <w:t xml:space="preserve"> t/d）</w:t>
            </w:r>
            <w:r>
              <w:rPr>
                <w:rFonts w:hint="eastAsia"/>
                <w:color w:val="auto"/>
                <w:sz w:val="24"/>
                <w:szCs w:val="21"/>
                <w:highlight w:val="none"/>
              </w:rPr>
              <w:t>。</w:t>
            </w:r>
          </w:p>
          <w:p w14:paraId="28193C2E">
            <w:pPr>
              <w:adjustRightInd w:val="0"/>
              <w:snapToGrid w:val="0"/>
              <w:spacing w:line="460" w:lineRule="exact"/>
              <w:ind w:left="-20" w:firstLine="440"/>
              <w:rPr>
                <w:bCs/>
                <w:color w:val="auto"/>
                <w:spacing w:val="-10"/>
                <w:sz w:val="24"/>
                <w:highlight w:val="none"/>
              </w:rPr>
            </w:pPr>
            <w:r>
              <w:rPr>
                <w:bCs/>
                <w:color w:val="auto"/>
                <w:spacing w:val="-10"/>
                <w:sz w:val="24"/>
                <w:highlight w:val="none"/>
              </w:rPr>
              <w:t>②浆渣分离废渣S</w:t>
            </w:r>
            <w:r>
              <w:rPr>
                <w:rFonts w:hint="eastAsia"/>
                <w:bCs/>
                <w:color w:val="auto"/>
                <w:spacing w:val="-10"/>
                <w:sz w:val="24"/>
                <w:highlight w:val="none"/>
              </w:rPr>
              <w:t>2</w:t>
            </w:r>
          </w:p>
          <w:p w14:paraId="0B50FABE">
            <w:pPr>
              <w:adjustRightInd w:val="0"/>
              <w:snapToGrid w:val="0"/>
              <w:spacing w:line="460" w:lineRule="exact"/>
              <w:ind w:firstLine="480" w:firstLineChars="200"/>
              <w:rPr>
                <w:bCs/>
                <w:color w:val="auto"/>
                <w:spacing w:val="-10"/>
                <w:sz w:val="24"/>
                <w:highlight w:val="none"/>
              </w:rPr>
            </w:pPr>
            <w:r>
              <w:rPr>
                <w:color w:val="auto"/>
                <w:sz w:val="24"/>
                <w:szCs w:val="21"/>
                <w:highlight w:val="none"/>
              </w:rPr>
              <w:t>浆渣分离环节浆渣分离机分离出的废渣，产生量为</w:t>
            </w:r>
            <w:r>
              <w:rPr>
                <w:rFonts w:hint="eastAsia"/>
                <w:color w:val="auto"/>
                <w:sz w:val="24"/>
                <w:szCs w:val="21"/>
                <w:highlight w:val="none"/>
              </w:rPr>
              <w:t>263.04</w:t>
            </w:r>
            <w:r>
              <w:rPr>
                <w:color w:val="auto"/>
                <w:sz w:val="24"/>
                <w:szCs w:val="21"/>
                <w:highlight w:val="none"/>
              </w:rPr>
              <w:t xml:space="preserve"> t/a（</w:t>
            </w:r>
            <w:r>
              <w:rPr>
                <w:rFonts w:hint="eastAsia"/>
                <w:color w:val="auto"/>
                <w:sz w:val="24"/>
                <w:szCs w:val="21"/>
                <w:highlight w:val="none"/>
              </w:rPr>
              <w:t>2.192</w:t>
            </w:r>
            <w:r>
              <w:rPr>
                <w:color w:val="auto"/>
                <w:sz w:val="24"/>
                <w:szCs w:val="21"/>
                <w:highlight w:val="none"/>
              </w:rPr>
              <w:t>t/d）</w:t>
            </w:r>
            <w:r>
              <w:rPr>
                <w:rFonts w:hint="eastAsia"/>
                <w:color w:val="auto"/>
                <w:sz w:val="24"/>
                <w:szCs w:val="21"/>
                <w:highlight w:val="none"/>
              </w:rPr>
              <w:t>，含水率约75%~80%</w:t>
            </w:r>
            <w:r>
              <w:rPr>
                <w:color w:val="auto"/>
                <w:sz w:val="24"/>
                <w:szCs w:val="21"/>
                <w:highlight w:val="none"/>
              </w:rPr>
              <w:t>。</w:t>
            </w:r>
          </w:p>
          <w:p w14:paraId="5A9E8BDD">
            <w:pPr>
              <w:adjustRightInd w:val="0"/>
              <w:snapToGrid w:val="0"/>
              <w:spacing w:line="460" w:lineRule="exact"/>
              <w:ind w:left="-20" w:firstLine="440"/>
              <w:rPr>
                <w:bCs/>
                <w:color w:val="auto"/>
                <w:spacing w:val="-10"/>
                <w:sz w:val="24"/>
                <w:highlight w:val="none"/>
              </w:rPr>
            </w:pPr>
            <w:r>
              <w:rPr>
                <w:bCs/>
                <w:color w:val="auto"/>
                <w:spacing w:val="-10"/>
                <w:sz w:val="24"/>
                <w:highlight w:val="none"/>
              </w:rPr>
              <w:t>③细筛废渣S</w:t>
            </w:r>
            <w:r>
              <w:rPr>
                <w:rFonts w:hint="eastAsia"/>
                <w:bCs/>
                <w:color w:val="auto"/>
                <w:spacing w:val="-10"/>
                <w:sz w:val="24"/>
                <w:highlight w:val="none"/>
              </w:rPr>
              <w:t>3</w:t>
            </w:r>
          </w:p>
          <w:p w14:paraId="10F11E9D">
            <w:pPr>
              <w:adjustRightInd w:val="0"/>
              <w:snapToGrid w:val="0"/>
              <w:spacing w:line="460" w:lineRule="exact"/>
              <w:ind w:firstLine="480" w:firstLineChars="200"/>
              <w:rPr>
                <w:bCs/>
                <w:color w:val="auto"/>
                <w:spacing w:val="-10"/>
                <w:sz w:val="24"/>
                <w:highlight w:val="none"/>
              </w:rPr>
            </w:pPr>
            <w:r>
              <w:rPr>
                <w:color w:val="auto"/>
                <w:sz w:val="24"/>
                <w:szCs w:val="21"/>
                <w:highlight w:val="none"/>
              </w:rPr>
              <w:t>细筛环节二罗机过滤出的废渣，产生量为</w:t>
            </w:r>
            <w:r>
              <w:rPr>
                <w:rFonts w:hint="eastAsia"/>
                <w:color w:val="auto"/>
                <w:sz w:val="24"/>
                <w:szCs w:val="21"/>
                <w:highlight w:val="none"/>
              </w:rPr>
              <w:t xml:space="preserve">25.68 </w:t>
            </w:r>
            <w:r>
              <w:rPr>
                <w:color w:val="auto"/>
                <w:sz w:val="24"/>
                <w:szCs w:val="21"/>
                <w:highlight w:val="none"/>
              </w:rPr>
              <w:t>t/a（0.</w:t>
            </w:r>
            <w:r>
              <w:rPr>
                <w:rFonts w:hint="eastAsia"/>
                <w:color w:val="auto"/>
                <w:sz w:val="24"/>
                <w:szCs w:val="21"/>
                <w:highlight w:val="none"/>
              </w:rPr>
              <w:t>214</w:t>
            </w:r>
            <w:r>
              <w:rPr>
                <w:color w:val="auto"/>
                <w:sz w:val="24"/>
                <w:szCs w:val="21"/>
                <w:highlight w:val="none"/>
              </w:rPr>
              <w:t xml:space="preserve"> t/d）</w:t>
            </w:r>
            <w:r>
              <w:rPr>
                <w:rFonts w:hint="eastAsia"/>
                <w:color w:val="auto"/>
                <w:sz w:val="24"/>
                <w:szCs w:val="21"/>
                <w:highlight w:val="none"/>
              </w:rPr>
              <w:t>，含水率约75%~80%</w:t>
            </w:r>
            <w:r>
              <w:rPr>
                <w:color w:val="auto"/>
                <w:sz w:val="24"/>
                <w:szCs w:val="21"/>
                <w:highlight w:val="none"/>
              </w:rPr>
              <w:t>。</w:t>
            </w:r>
          </w:p>
          <w:p w14:paraId="7242E5B4">
            <w:pPr>
              <w:adjustRightInd w:val="0"/>
              <w:snapToGrid w:val="0"/>
              <w:spacing w:line="460" w:lineRule="exact"/>
              <w:ind w:left="-20" w:firstLine="440"/>
              <w:rPr>
                <w:bCs/>
                <w:color w:val="auto"/>
                <w:spacing w:val="-10"/>
                <w:sz w:val="24"/>
                <w:highlight w:val="none"/>
              </w:rPr>
            </w:pPr>
            <w:r>
              <w:rPr>
                <w:rFonts w:hint="eastAsia"/>
                <w:bCs/>
                <w:color w:val="auto"/>
                <w:spacing w:val="-10"/>
                <w:sz w:val="24"/>
                <w:highlight w:val="none"/>
              </w:rPr>
              <w:t>④淀粉除砂</w:t>
            </w:r>
            <w:r>
              <w:rPr>
                <w:bCs/>
                <w:color w:val="auto"/>
                <w:spacing w:val="-10"/>
                <w:sz w:val="24"/>
                <w:highlight w:val="none"/>
              </w:rPr>
              <w:t>滤</w:t>
            </w:r>
            <w:r>
              <w:rPr>
                <w:rFonts w:hint="eastAsia"/>
                <w:bCs/>
                <w:color w:val="auto"/>
                <w:spacing w:val="-10"/>
                <w:sz w:val="24"/>
                <w:highlight w:val="none"/>
              </w:rPr>
              <w:t>渣</w:t>
            </w:r>
            <w:r>
              <w:rPr>
                <w:bCs/>
                <w:color w:val="auto"/>
                <w:spacing w:val="-10"/>
                <w:sz w:val="24"/>
                <w:highlight w:val="none"/>
              </w:rPr>
              <w:t>S</w:t>
            </w:r>
            <w:r>
              <w:rPr>
                <w:rFonts w:hint="eastAsia"/>
                <w:bCs/>
                <w:color w:val="auto"/>
                <w:spacing w:val="-10"/>
                <w:sz w:val="24"/>
                <w:highlight w:val="none"/>
              </w:rPr>
              <w:t>4</w:t>
            </w:r>
          </w:p>
          <w:p w14:paraId="68E72F13">
            <w:pPr>
              <w:adjustRightInd w:val="0"/>
              <w:snapToGrid w:val="0"/>
              <w:spacing w:line="460" w:lineRule="exact"/>
              <w:ind w:firstLine="480" w:firstLineChars="200"/>
              <w:rPr>
                <w:bCs/>
                <w:color w:val="auto"/>
                <w:spacing w:val="-10"/>
                <w:sz w:val="24"/>
                <w:highlight w:val="none"/>
              </w:rPr>
            </w:pPr>
            <w:r>
              <w:rPr>
                <w:rFonts w:hint="eastAsia"/>
                <w:color w:val="auto"/>
                <w:sz w:val="24"/>
                <w:szCs w:val="21"/>
                <w:highlight w:val="none"/>
              </w:rPr>
              <w:t>淀粉除砂</w:t>
            </w:r>
            <w:r>
              <w:rPr>
                <w:color w:val="auto"/>
                <w:sz w:val="24"/>
                <w:szCs w:val="21"/>
                <w:highlight w:val="none"/>
              </w:rPr>
              <w:t>环节除砂器分离出的杂质，产生量为</w:t>
            </w:r>
            <w:r>
              <w:rPr>
                <w:rFonts w:hint="eastAsia"/>
                <w:color w:val="auto"/>
                <w:sz w:val="24"/>
                <w:szCs w:val="21"/>
                <w:highlight w:val="none"/>
              </w:rPr>
              <w:t>6.24</w:t>
            </w:r>
            <w:r>
              <w:rPr>
                <w:color w:val="auto"/>
                <w:sz w:val="24"/>
                <w:szCs w:val="21"/>
                <w:highlight w:val="none"/>
              </w:rPr>
              <w:t xml:space="preserve"> t/a（</w:t>
            </w:r>
            <w:r>
              <w:rPr>
                <w:rFonts w:hint="eastAsia"/>
                <w:color w:val="auto"/>
                <w:sz w:val="24"/>
                <w:szCs w:val="21"/>
                <w:highlight w:val="none"/>
              </w:rPr>
              <w:t>0.052</w:t>
            </w:r>
            <w:r>
              <w:rPr>
                <w:color w:val="auto"/>
                <w:sz w:val="24"/>
                <w:szCs w:val="21"/>
                <w:highlight w:val="none"/>
              </w:rPr>
              <w:t>t/d）</w:t>
            </w:r>
            <w:r>
              <w:rPr>
                <w:rFonts w:hint="eastAsia"/>
                <w:color w:val="auto"/>
                <w:sz w:val="24"/>
                <w:szCs w:val="21"/>
                <w:highlight w:val="none"/>
              </w:rPr>
              <w:t>，含水率约75%~80%</w:t>
            </w:r>
            <w:r>
              <w:rPr>
                <w:color w:val="auto"/>
                <w:sz w:val="24"/>
                <w:szCs w:val="21"/>
                <w:highlight w:val="none"/>
              </w:rPr>
              <w:t>。</w:t>
            </w:r>
          </w:p>
          <w:p w14:paraId="16DD60C5">
            <w:pPr>
              <w:adjustRightInd w:val="0"/>
              <w:snapToGrid w:val="0"/>
              <w:spacing w:line="460" w:lineRule="exact"/>
              <w:ind w:firstLine="480" w:firstLineChars="200"/>
              <w:rPr>
                <w:color w:val="auto"/>
                <w:sz w:val="24"/>
                <w:szCs w:val="21"/>
                <w:highlight w:val="none"/>
              </w:rPr>
            </w:pPr>
            <w:r>
              <w:rPr>
                <w:rFonts w:hint="eastAsia"/>
                <w:color w:val="auto"/>
                <w:sz w:val="24"/>
                <w:highlight w:val="none"/>
              </w:rPr>
              <w:t>根据《固体废物分类与代码目录》（生态环境部2024年第4号），本项目产生的不合格鲜葛根及葛根渣为一般工业固体废物，废物代码为900-099-S13，产生量为306.96t/a。在一般工业固体废物暂存区单独设置收集桶，</w:t>
            </w:r>
            <w:r>
              <w:rPr>
                <w:rFonts w:hint="eastAsia" w:ascii="宋体" w:hAnsi="宋体" w:cs="宋体"/>
                <w:bCs/>
                <w:color w:val="auto"/>
                <w:sz w:val="24"/>
                <w:highlight w:val="none"/>
              </w:rPr>
              <w:t>交由</w:t>
            </w:r>
            <w:r>
              <w:rPr>
                <w:rFonts w:hint="eastAsia" w:ascii="宋体" w:hAnsi="宋体" w:cs="宋体"/>
                <w:color w:val="auto"/>
                <w:sz w:val="24"/>
                <w:highlight w:val="none"/>
              </w:rPr>
              <w:t>重庆市合川区钵耳山高粱种植农民专业合作社用于农业生产、土壤改良、农作物种植等方式进行回收利用处理。</w:t>
            </w:r>
          </w:p>
          <w:p w14:paraId="19331977">
            <w:pPr>
              <w:numPr>
                <w:ilvl w:val="0"/>
                <w:numId w:val="4"/>
              </w:numPr>
              <w:adjustRightInd w:val="0"/>
              <w:snapToGrid w:val="0"/>
              <w:spacing w:line="460" w:lineRule="exact"/>
              <w:ind w:left="-20" w:firstLine="440"/>
              <w:rPr>
                <w:bCs/>
                <w:color w:val="auto"/>
                <w:spacing w:val="-10"/>
                <w:sz w:val="24"/>
                <w:highlight w:val="none"/>
              </w:rPr>
            </w:pPr>
            <w:r>
              <w:rPr>
                <w:rFonts w:hint="eastAsia"/>
                <w:bCs/>
                <w:color w:val="auto"/>
                <w:spacing w:val="-10"/>
                <w:sz w:val="24"/>
                <w:highlight w:val="none"/>
              </w:rPr>
              <w:t>污水处理产生固废</w:t>
            </w:r>
          </w:p>
          <w:p w14:paraId="78C0117F">
            <w:pPr>
              <w:adjustRightInd w:val="0"/>
              <w:snapToGrid w:val="0"/>
              <w:spacing w:line="460" w:lineRule="exact"/>
              <w:ind w:left="420"/>
              <w:rPr>
                <w:bCs/>
                <w:color w:val="auto"/>
                <w:spacing w:val="-10"/>
                <w:sz w:val="24"/>
                <w:highlight w:val="none"/>
              </w:rPr>
            </w:pPr>
            <w:r>
              <w:rPr>
                <w:rFonts w:hint="eastAsia"/>
                <w:bCs/>
                <w:color w:val="auto"/>
                <w:spacing w:val="-10"/>
                <w:sz w:val="24"/>
                <w:highlight w:val="none"/>
              </w:rPr>
              <w:t>①初沉池泥沙S5</w:t>
            </w:r>
          </w:p>
          <w:p w14:paraId="12248C21">
            <w:pPr>
              <w:adjustRightInd w:val="0"/>
              <w:snapToGrid w:val="0"/>
              <w:spacing w:line="460" w:lineRule="exact"/>
              <w:ind w:firstLine="440" w:firstLineChars="200"/>
              <w:rPr>
                <w:bCs/>
                <w:color w:val="auto"/>
                <w:spacing w:val="-10"/>
                <w:sz w:val="24"/>
                <w:highlight w:val="none"/>
              </w:rPr>
            </w:pPr>
            <w:r>
              <w:rPr>
                <w:rFonts w:hint="eastAsia"/>
                <w:bCs/>
                <w:color w:val="auto"/>
                <w:spacing w:val="-10"/>
                <w:sz w:val="24"/>
                <w:highlight w:val="none"/>
              </w:rPr>
              <w:t>本项目一级、二级清洗主要是清洗新鲜葛根表皮的泥沙，产生清洗废水进入废水处理系统前先进行沉淀预处理，定期对沉淀的泥沙进行清掏，初沉池泥沙S5产生量为30t/a。</w:t>
            </w:r>
          </w:p>
          <w:p w14:paraId="13FFB9A8">
            <w:pPr>
              <w:adjustRightInd w:val="0"/>
              <w:snapToGrid w:val="0"/>
              <w:spacing w:line="460" w:lineRule="exact"/>
              <w:ind w:left="420"/>
              <w:rPr>
                <w:bCs/>
                <w:color w:val="auto"/>
                <w:spacing w:val="-10"/>
                <w:sz w:val="24"/>
                <w:highlight w:val="none"/>
              </w:rPr>
            </w:pPr>
            <w:r>
              <w:rPr>
                <w:rFonts w:hint="eastAsia"/>
                <w:bCs/>
                <w:color w:val="auto"/>
                <w:spacing w:val="-10"/>
                <w:sz w:val="24"/>
                <w:highlight w:val="none"/>
              </w:rPr>
              <w:t>②废水处理污泥S6</w:t>
            </w:r>
          </w:p>
          <w:p w14:paraId="05A7D42F">
            <w:pPr>
              <w:adjustRightInd w:val="0"/>
              <w:snapToGrid w:val="0"/>
              <w:spacing w:line="460" w:lineRule="exact"/>
              <w:ind w:firstLine="440" w:firstLineChars="200"/>
              <w:rPr>
                <w:bCs/>
                <w:color w:val="auto"/>
                <w:spacing w:val="-10"/>
                <w:sz w:val="24"/>
                <w:highlight w:val="none"/>
              </w:rPr>
            </w:pPr>
            <w:r>
              <w:rPr>
                <w:rFonts w:hint="eastAsia"/>
                <w:bCs/>
                <w:color w:val="auto"/>
                <w:spacing w:val="-10"/>
                <w:sz w:val="24"/>
                <w:highlight w:val="none"/>
              </w:rPr>
              <w:t>根据《淀粉废水治理工程技术规范》（HJ2043-2014），活性污泥法产泥量可按0.5～0.7kg干泥/kgBOD</w:t>
            </w:r>
            <w:r>
              <w:rPr>
                <w:rFonts w:hint="eastAsia"/>
                <w:bCs/>
                <w:color w:val="auto"/>
                <w:spacing w:val="-10"/>
                <w:sz w:val="24"/>
                <w:highlight w:val="none"/>
                <w:vertAlign w:val="subscript"/>
              </w:rPr>
              <w:t>5</w:t>
            </w:r>
            <w:r>
              <w:rPr>
                <w:rFonts w:hint="eastAsia"/>
                <w:bCs/>
                <w:color w:val="auto"/>
                <w:spacing w:val="-10"/>
                <w:sz w:val="24"/>
                <w:highlight w:val="none"/>
              </w:rPr>
              <w:t>计算（本评价按0.7计算），污泥产水率99.3%～99.4%，经板框压滤机压滤后含水率80%。本项目生产废水中BOD</w:t>
            </w:r>
            <w:r>
              <w:rPr>
                <w:rFonts w:hint="eastAsia"/>
                <w:bCs/>
                <w:color w:val="auto"/>
                <w:spacing w:val="-10"/>
                <w:sz w:val="24"/>
                <w:highlight w:val="none"/>
                <w:vertAlign w:val="subscript"/>
              </w:rPr>
              <w:t>5</w:t>
            </w:r>
            <w:r>
              <w:rPr>
                <w:rFonts w:hint="eastAsia"/>
                <w:bCs/>
                <w:color w:val="auto"/>
                <w:spacing w:val="-10"/>
                <w:sz w:val="24"/>
                <w:highlight w:val="none"/>
              </w:rPr>
              <w:t>去除量为0.633t/a，经计算，干污泥产生量为0.443t/a，污泥产生量为2.215t/a（含水率80%），废物代码为900-099-S07。</w:t>
            </w:r>
          </w:p>
          <w:p w14:paraId="5F23E1AA">
            <w:pPr>
              <w:adjustRightInd w:val="0"/>
              <w:snapToGrid w:val="0"/>
              <w:spacing w:line="460" w:lineRule="exact"/>
              <w:ind w:left="-20" w:firstLine="440"/>
              <w:rPr>
                <w:bCs/>
                <w:color w:val="auto"/>
                <w:spacing w:val="-10"/>
                <w:sz w:val="24"/>
                <w:highlight w:val="none"/>
              </w:rPr>
            </w:pPr>
            <w:r>
              <w:rPr>
                <w:rFonts w:hint="eastAsia"/>
                <w:bCs/>
                <w:color w:val="auto"/>
                <w:spacing w:val="-10"/>
                <w:sz w:val="24"/>
                <w:highlight w:val="none"/>
              </w:rPr>
              <w:t>（3）</w:t>
            </w:r>
            <w:r>
              <w:rPr>
                <w:bCs/>
                <w:color w:val="auto"/>
                <w:spacing w:val="-10"/>
                <w:sz w:val="24"/>
                <w:highlight w:val="none"/>
              </w:rPr>
              <w:t>废包装</w:t>
            </w:r>
            <w:r>
              <w:rPr>
                <w:rFonts w:hint="eastAsia"/>
                <w:bCs/>
                <w:color w:val="auto"/>
                <w:spacing w:val="-10"/>
                <w:sz w:val="24"/>
                <w:highlight w:val="none"/>
              </w:rPr>
              <w:t>S7</w:t>
            </w:r>
          </w:p>
          <w:p w14:paraId="3C9A8EA5">
            <w:pPr>
              <w:adjustRightInd w:val="0"/>
              <w:snapToGrid w:val="0"/>
              <w:spacing w:line="460" w:lineRule="exact"/>
              <w:ind w:firstLine="440" w:firstLineChars="200"/>
              <w:rPr>
                <w:bCs/>
                <w:color w:val="auto"/>
                <w:spacing w:val="-10"/>
                <w:sz w:val="24"/>
                <w:highlight w:val="none"/>
              </w:rPr>
            </w:pPr>
            <w:r>
              <w:rPr>
                <w:bCs/>
                <w:color w:val="auto"/>
                <w:spacing w:val="-10"/>
                <w:sz w:val="24"/>
                <w:highlight w:val="none"/>
              </w:rPr>
              <w:t>主要为内包装环境产生的废塑料袋，</w:t>
            </w:r>
            <w:r>
              <w:rPr>
                <w:color w:val="auto"/>
                <w:sz w:val="24"/>
                <w:highlight w:val="none"/>
              </w:rPr>
              <w:t>废物代码为900-002-S17。</w:t>
            </w:r>
            <w:r>
              <w:rPr>
                <w:bCs/>
                <w:color w:val="auto"/>
                <w:spacing w:val="-10"/>
                <w:sz w:val="24"/>
                <w:highlight w:val="none"/>
              </w:rPr>
              <w:t>根据业主提供的数据，产生量为0.</w:t>
            </w:r>
            <w:r>
              <w:rPr>
                <w:rFonts w:hint="eastAsia"/>
                <w:bCs/>
                <w:color w:val="auto"/>
                <w:spacing w:val="-10"/>
                <w:sz w:val="24"/>
                <w:highlight w:val="none"/>
              </w:rPr>
              <w:t>10</w:t>
            </w:r>
            <w:r>
              <w:rPr>
                <w:bCs/>
                <w:color w:val="auto"/>
                <w:spacing w:val="-10"/>
                <w:sz w:val="24"/>
                <w:highlight w:val="none"/>
              </w:rPr>
              <w:t xml:space="preserve"> t/a。</w:t>
            </w:r>
            <w:r>
              <w:rPr>
                <w:color w:val="auto"/>
                <w:sz w:val="24"/>
                <w:highlight w:val="none"/>
              </w:rPr>
              <w:t>在一般工业固体废物暂存区单独设置垃圾箱收集，废包装经收集后出售给废品回收单位。</w:t>
            </w:r>
          </w:p>
          <w:p w14:paraId="4EED0F1B">
            <w:pPr>
              <w:adjustRightInd w:val="0"/>
              <w:snapToGrid w:val="0"/>
              <w:spacing w:line="460" w:lineRule="exact"/>
              <w:ind w:left="-20" w:firstLine="440"/>
              <w:rPr>
                <w:bCs/>
                <w:color w:val="auto"/>
                <w:spacing w:val="-10"/>
                <w:sz w:val="24"/>
                <w:highlight w:val="none"/>
              </w:rPr>
            </w:pPr>
            <w:r>
              <w:rPr>
                <w:bCs/>
                <w:color w:val="auto"/>
                <w:spacing w:val="-10"/>
                <w:sz w:val="24"/>
                <w:highlight w:val="none"/>
              </w:rPr>
              <w:t>（</w:t>
            </w:r>
            <w:r>
              <w:rPr>
                <w:rFonts w:hint="eastAsia"/>
                <w:bCs/>
                <w:color w:val="auto"/>
                <w:spacing w:val="-10"/>
                <w:sz w:val="24"/>
                <w:highlight w:val="none"/>
              </w:rPr>
              <w:t>4</w:t>
            </w:r>
            <w:r>
              <w:rPr>
                <w:bCs/>
                <w:color w:val="auto"/>
                <w:spacing w:val="-10"/>
                <w:sz w:val="24"/>
                <w:highlight w:val="none"/>
              </w:rPr>
              <w:t>）生活垃圾</w:t>
            </w:r>
            <w:r>
              <w:rPr>
                <w:rFonts w:hint="eastAsia"/>
                <w:bCs/>
                <w:color w:val="auto"/>
                <w:spacing w:val="-10"/>
                <w:sz w:val="24"/>
                <w:highlight w:val="none"/>
              </w:rPr>
              <w:t>S8</w:t>
            </w:r>
          </w:p>
          <w:p w14:paraId="27592651">
            <w:pPr>
              <w:adjustRightInd w:val="0"/>
              <w:snapToGrid w:val="0"/>
              <w:spacing w:line="460" w:lineRule="exact"/>
              <w:ind w:firstLine="440" w:firstLineChars="200"/>
              <w:rPr>
                <w:rFonts w:ascii="宋体" w:hAnsi="宋体" w:cs="宋体"/>
                <w:color w:val="auto"/>
                <w:kern w:val="0"/>
                <w:sz w:val="24"/>
                <w:highlight w:val="none"/>
                <w:lang w:bidi="ar"/>
              </w:rPr>
            </w:pPr>
            <w:r>
              <w:rPr>
                <w:bCs/>
                <w:color w:val="auto"/>
                <w:spacing w:val="-10"/>
                <w:sz w:val="24"/>
                <w:highlight w:val="none"/>
              </w:rPr>
              <w:t>本项目劳动定员10人，</w:t>
            </w:r>
            <w:r>
              <w:rPr>
                <w:color w:val="auto"/>
                <w:kern w:val="0"/>
                <w:sz w:val="24"/>
                <w:highlight w:val="none"/>
                <w:lang w:bidi="ar"/>
              </w:rPr>
              <w:t>生活垃圾产生量按人均0.5 kg/d计，则</w:t>
            </w:r>
            <w:r>
              <w:rPr>
                <w:rFonts w:hint="eastAsia"/>
                <w:color w:val="auto"/>
                <w:kern w:val="0"/>
                <w:sz w:val="24"/>
                <w:highlight w:val="none"/>
                <w:lang w:bidi="ar"/>
              </w:rPr>
              <w:t>生活</w:t>
            </w:r>
            <w:r>
              <w:rPr>
                <w:color w:val="auto"/>
                <w:kern w:val="0"/>
                <w:sz w:val="24"/>
                <w:highlight w:val="none"/>
                <w:lang w:bidi="ar"/>
              </w:rPr>
              <w:t>垃圾产生量为5kg/d（</w:t>
            </w:r>
            <w:r>
              <w:rPr>
                <w:rFonts w:hint="eastAsia"/>
                <w:color w:val="auto"/>
                <w:kern w:val="0"/>
                <w:sz w:val="24"/>
                <w:highlight w:val="none"/>
                <w:lang w:bidi="ar"/>
              </w:rPr>
              <w:t>0.60</w:t>
            </w:r>
            <w:r>
              <w:rPr>
                <w:color w:val="auto"/>
                <w:kern w:val="0"/>
                <w:sz w:val="24"/>
                <w:highlight w:val="none"/>
                <w:lang w:bidi="ar"/>
              </w:rPr>
              <w:t>t/a），</w:t>
            </w:r>
            <w:r>
              <w:rPr>
                <w:rFonts w:hint="eastAsia"/>
                <w:color w:val="auto"/>
                <w:kern w:val="0"/>
                <w:sz w:val="24"/>
                <w:highlight w:val="none"/>
                <w:lang w:bidi="ar"/>
              </w:rPr>
              <w:t>依托重庆市厨鼎食品有限公司厂区垃圾桶</w:t>
            </w:r>
            <w:r>
              <w:rPr>
                <w:color w:val="auto"/>
                <w:kern w:val="0"/>
                <w:sz w:val="24"/>
                <w:highlight w:val="none"/>
                <w:lang w:bidi="ar"/>
              </w:rPr>
              <w:t>收集后统一交由环卫部门清运</w:t>
            </w:r>
            <w:r>
              <w:rPr>
                <w:rFonts w:hint="eastAsia"/>
                <w:color w:val="auto"/>
                <w:kern w:val="0"/>
                <w:sz w:val="24"/>
                <w:highlight w:val="none"/>
                <w:lang w:bidi="ar"/>
              </w:rPr>
              <w:t>处置</w:t>
            </w:r>
            <w:r>
              <w:rPr>
                <w:rFonts w:hint="eastAsia" w:ascii="宋体" w:hAnsi="宋体" w:cs="宋体"/>
                <w:color w:val="auto"/>
                <w:kern w:val="0"/>
                <w:sz w:val="24"/>
                <w:highlight w:val="none"/>
                <w:lang w:bidi="ar"/>
              </w:rPr>
              <w:t>。</w:t>
            </w:r>
          </w:p>
          <w:p w14:paraId="02E28484">
            <w:pPr>
              <w:spacing w:line="440" w:lineRule="exact"/>
              <w:ind w:firstLine="482"/>
              <w:jc w:val="center"/>
              <w:rPr>
                <w:b/>
                <w:bCs/>
                <w:color w:val="auto"/>
                <w:sz w:val="24"/>
                <w:highlight w:val="none"/>
              </w:rPr>
            </w:pPr>
            <w:r>
              <w:rPr>
                <w:rFonts w:hAnsi="宋体"/>
                <w:b/>
                <w:bCs/>
                <w:color w:val="auto"/>
                <w:sz w:val="24"/>
                <w:highlight w:val="none"/>
              </w:rPr>
              <w:t>表</w:t>
            </w:r>
            <w:r>
              <w:rPr>
                <w:b/>
                <w:bCs/>
                <w:color w:val="auto"/>
                <w:sz w:val="24"/>
                <w:highlight w:val="none"/>
              </w:rPr>
              <w:t>4.</w:t>
            </w:r>
            <w:r>
              <w:rPr>
                <w:rFonts w:hint="eastAsia"/>
                <w:b/>
                <w:bCs/>
                <w:color w:val="auto"/>
                <w:sz w:val="24"/>
                <w:highlight w:val="none"/>
              </w:rPr>
              <w:t>2-15</w:t>
            </w:r>
            <w:r>
              <w:rPr>
                <w:b/>
                <w:bCs/>
                <w:color w:val="auto"/>
                <w:sz w:val="24"/>
                <w:highlight w:val="none"/>
              </w:rPr>
              <w:t xml:space="preserve"> </w:t>
            </w:r>
            <w:r>
              <w:rPr>
                <w:rFonts w:hint="eastAsia"/>
                <w:b/>
                <w:bCs/>
                <w:color w:val="auto"/>
                <w:sz w:val="24"/>
                <w:highlight w:val="none"/>
              </w:rPr>
              <w:t xml:space="preserve">  </w:t>
            </w:r>
            <w:r>
              <w:rPr>
                <w:rFonts w:hint="eastAsia" w:hAnsi="宋体"/>
                <w:b/>
                <w:bCs/>
                <w:color w:val="auto"/>
                <w:sz w:val="24"/>
                <w:highlight w:val="none"/>
              </w:rPr>
              <w:t>本</w:t>
            </w:r>
            <w:r>
              <w:rPr>
                <w:rFonts w:hAnsi="宋体"/>
                <w:b/>
                <w:bCs/>
                <w:color w:val="auto"/>
                <w:sz w:val="24"/>
                <w:highlight w:val="none"/>
              </w:rPr>
              <w:t>项目固体废物</w:t>
            </w:r>
            <w:r>
              <w:rPr>
                <w:rFonts w:hint="eastAsia" w:hAnsi="宋体"/>
                <w:b/>
                <w:bCs/>
                <w:color w:val="auto"/>
                <w:sz w:val="24"/>
                <w:highlight w:val="none"/>
              </w:rPr>
              <w:t>产生</w:t>
            </w:r>
            <w:r>
              <w:rPr>
                <w:rFonts w:hAnsi="宋体"/>
                <w:b/>
                <w:bCs/>
                <w:color w:val="auto"/>
                <w:sz w:val="24"/>
                <w:highlight w:val="none"/>
              </w:rPr>
              <w:t>情况</w:t>
            </w:r>
            <w:r>
              <w:rPr>
                <w:rFonts w:hint="eastAsia" w:hAnsi="宋体"/>
                <w:b/>
                <w:bCs/>
                <w:color w:val="auto"/>
                <w:sz w:val="24"/>
                <w:highlight w:val="none"/>
              </w:rPr>
              <w:t>统计</w:t>
            </w:r>
            <w:r>
              <w:rPr>
                <w:rFonts w:hAnsi="宋体"/>
                <w:b/>
                <w:bCs/>
                <w:color w:val="auto"/>
                <w:sz w:val="24"/>
                <w:highlight w:val="none"/>
              </w:rPr>
              <w:t>表</w:t>
            </w:r>
          </w:p>
          <w:tbl>
            <w:tblPr>
              <w:tblStyle w:val="18"/>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790"/>
              <w:gridCol w:w="1088"/>
              <w:gridCol w:w="1511"/>
              <w:gridCol w:w="1069"/>
              <w:gridCol w:w="2152"/>
            </w:tblGrid>
            <w:tr w14:paraId="7AAA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40" w:type="dxa"/>
                  <w:tcBorders>
                    <w:tl2br w:val="nil"/>
                    <w:tr2bl w:val="nil"/>
                  </w:tcBorders>
                  <w:vAlign w:val="center"/>
                </w:tcPr>
                <w:p w14:paraId="765680D2">
                  <w:pPr>
                    <w:adjustRightInd w:val="0"/>
                    <w:snapToGrid w:val="0"/>
                    <w:spacing w:line="300" w:lineRule="exact"/>
                    <w:jc w:val="center"/>
                    <w:rPr>
                      <w:color w:val="auto"/>
                      <w:kern w:val="0"/>
                      <w:szCs w:val="21"/>
                      <w:highlight w:val="none"/>
                    </w:rPr>
                  </w:pPr>
                  <w:r>
                    <w:rPr>
                      <w:color w:val="auto"/>
                      <w:kern w:val="0"/>
                      <w:szCs w:val="21"/>
                      <w:highlight w:val="none"/>
                    </w:rPr>
                    <w:t>类别</w:t>
                  </w:r>
                </w:p>
              </w:tc>
              <w:tc>
                <w:tcPr>
                  <w:tcW w:w="1790" w:type="dxa"/>
                  <w:tcBorders>
                    <w:tl2br w:val="nil"/>
                    <w:tr2bl w:val="nil"/>
                  </w:tcBorders>
                  <w:vAlign w:val="center"/>
                </w:tcPr>
                <w:p w14:paraId="3D01F3EE">
                  <w:pPr>
                    <w:adjustRightInd w:val="0"/>
                    <w:snapToGrid w:val="0"/>
                    <w:spacing w:line="300" w:lineRule="exact"/>
                    <w:jc w:val="center"/>
                    <w:rPr>
                      <w:color w:val="auto"/>
                      <w:kern w:val="0"/>
                      <w:szCs w:val="21"/>
                      <w:highlight w:val="none"/>
                    </w:rPr>
                  </w:pPr>
                  <w:r>
                    <w:rPr>
                      <w:color w:val="auto"/>
                      <w:kern w:val="0"/>
                      <w:szCs w:val="21"/>
                      <w:highlight w:val="none"/>
                    </w:rPr>
                    <w:t>污染物名称</w:t>
                  </w:r>
                </w:p>
              </w:tc>
              <w:tc>
                <w:tcPr>
                  <w:tcW w:w="1088" w:type="dxa"/>
                  <w:tcBorders>
                    <w:tl2br w:val="nil"/>
                    <w:tr2bl w:val="nil"/>
                  </w:tcBorders>
                  <w:vAlign w:val="center"/>
                </w:tcPr>
                <w:p w14:paraId="26273C4D">
                  <w:pPr>
                    <w:adjustRightInd w:val="0"/>
                    <w:snapToGrid w:val="0"/>
                    <w:spacing w:line="300" w:lineRule="exact"/>
                    <w:jc w:val="center"/>
                    <w:rPr>
                      <w:color w:val="auto"/>
                      <w:kern w:val="0"/>
                      <w:szCs w:val="21"/>
                      <w:highlight w:val="none"/>
                    </w:rPr>
                  </w:pPr>
                  <w:r>
                    <w:rPr>
                      <w:rFonts w:hint="eastAsia"/>
                      <w:color w:val="auto"/>
                      <w:kern w:val="0"/>
                      <w:szCs w:val="21"/>
                      <w:highlight w:val="none"/>
                    </w:rPr>
                    <w:t>废物种类</w:t>
                  </w:r>
                </w:p>
              </w:tc>
              <w:tc>
                <w:tcPr>
                  <w:tcW w:w="1511" w:type="dxa"/>
                  <w:tcBorders>
                    <w:tl2br w:val="nil"/>
                    <w:tr2bl w:val="nil"/>
                  </w:tcBorders>
                  <w:vAlign w:val="center"/>
                </w:tcPr>
                <w:p w14:paraId="0643A3E3">
                  <w:pPr>
                    <w:adjustRightInd w:val="0"/>
                    <w:snapToGrid w:val="0"/>
                    <w:spacing w:line="300" w:lineRule="exact"/>
                    <w:jc w:val="center"/>
                    <w:rPr>
                      <w:color w:val="auto"/>
                      <w:kern w:val="0"/>
                      <w:szCs w:val="21"/>
                      <w:highlight w:val="none"/>
                    </w:rPr>
                  </w:pPr>
                  <w:r>
                    <w:rPr>
                      <w:rFonts w:hint="eastAsia"/>
                      <w:color w:val="auto"/>
                      <w:kern w:val="0"/>
                      <w:szCs w:val="21"/>
                      <w:highlight w:val="none"/>
                    </w:rPr>
                    <w:t>废物代码</w:t>
                  </w:r>
                </w:p>
              </w:tc>
              <w:tc>
                <w:tcPr>
                  <w:tcW w:w="1069" w:type="dxa"/>
                  <w:tcBorders>
                    <w:tl2br w:val="nil"/>
                    <w:tr2bl w:val="nil"/>
                  </w:tcBorders>
                  <w:vAlign w:val="center"/>
                </w:tcPr>
                <w:p w14:paraId="0DD7ABB3">
                  <w:pPr>
                    <w:adjustRightInd w:val="0"/>
                    <w:snapToGrid w:val="0"/>
                    <w:spacing w:line="300" w:lineRule="exact"/>
                    <w:jc w:val="center"/>
                    <w:rPr>
                      <w:color w:val="auto"/>
                      <w:kern w:val="0"/>
                      <w:szCs w:val="21"/>
                      <w:highlight w:val="none"/>
                    </w:rPr>
                  </w:pPr>
                  <w:r>
                    <w:rPr>
                      <w:color w:val="auto"/>
                      <w:kern w:val="0"/>
                      <w:szCs w:val="21"/>
                      <w:highlight w:val="none"/>
                    </w:rPr>
                    <w:t>产生量</w:t>
                  </w:r>
                  <w:r>
                    <w:rPr>
                      <w:rFonts w:hint="eastAsia"/>
                      <w:color w:val="auto"/>
                      <w:kern w:val="0"/>
                      <w:szCs w:val="21"/>
                      <w:highlight w:val="none"/>
                    </w:rPr>
                    <w:t>（</w:t>
                  </w:r>
                  <w:r>
                    <w:rPr>
                      <w:color w:val="auto"/>
                      <w:kern w:val="0"/>
                      <w:szCs w:val="21"/>
                      <w:highlight w:val="none"/>
                    </w:rPr>
                    <w:t>t/a</w:t>
                  </w:r>
                  <w:r>
                    <w:rPr>
                      <w:rFonts w:hint="eastAsia"/>
                      <w:color w:val="auto"/>
                      <w:kern w:val="0"/>
                      <w:szCs w:val="21"/>
                      <w:highlight w:val="none"/>
                    </w:rPr>
                    <w:t>）</w:t>
                  </w:r>
                </w:p>
              </w:tc>
              <w:tc>
                <w:tcPr>
                  <w:tcW w:w="2152" w:type="dxa"/>
                  <w:tcBorders>
                    <w:tl2br w:val="nil"/>
                    <w:tr2bl w:val="nil"/>
                  </w:tcBorders>
                  <w:vAlign w:val="center"/>
                </w:tcPr>
                <w:p w14:paraId="785A0D0D">
                  <w:pPr>
                    <w:adjustRightInd w:val="0"/>
                    <w:snapToGrid w:val="0"/>
                    <w:spacing w:line="300" w:lineRule="exact"/>
                    <w:jc w:val="center"/>
                    <w:rPr>
                      <w:color w:val="auto"/>
                      <w:kern w:val="0"/>
                      <w:szCs w:val="21"/>
                      <w:highlight w:val="none"/>
                    </w:rPr>
                  </w:pPr>
                  <w:r>
                    <w:rPr>
                      <w:color w:val="auto"/>
                      <w:kern w:val="0"/>
                      <w:szCs w:val="21"/>
                      <w:highlight w:val="none"/>
                    </w:rPr>
                    <w:t>处理措施及去向</w:t>
                  </w:r>
                </w:p>
              </w:tc>
            </w:tr>
            <w:tr w14:paraId="53EF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40" w:type="dxa"/>
                  <w:vMerge w:val="restart"/>
                  <w:tcBorders>
                    <w:tl2br w:val="nil"/>
                    <w:tr2bl w:val="nil"/>
                  </w:tcBorders>
                  <w:vAlign w:val="center"/>
                </w:tcPr>
                <w:p w14:paraId="2F91C67C">
                  <w:pPr>
                    <w:adjustRightInd w:val="0"/>
                    <w:snapToGrid w:val="0"/>
                    <w:spacing w:line="300" w:lineRule="exact"/>
                    <w:jc w:val="center"/>
                    <w:rPr>
                      <w:color w:val="auto"/>
                      <w:kern w:val="0"/>
                      <w:szCs w:val="21"/>
                      <w:highlight w:val="none"/>
                    </w:rPr>
                  </w:pPr>
                  <w:r>
                    <w:rPr>
                      <w:color w:val="auto"/>
                      <w:kern w:val="0"/>
                      <w:szCs w:val="21"/>
                      <w:highlight w:val="none"/>
                    </w:rPr>
                    <w:t>一般工业固废</w:t>
                  </w:r>
                </w:p>
              </w:tc>
              <w:tc>
                <w:tcPr>
                  <w:tcW w:w="1790" w:type="dxa"/>
                  <w:tcBorders>
                    <w:tl2br w:val="nil"/>
                    <w:tr2bl w:val="nil"/>
                  </w:tcBorders>
                  <w:vAlign w:val="center"/>
                </w:tcPr>
                <w:p w14:paraId="0BE4FE0D">
                  <w:pPr>
                    <w:adjustRightInd w:val="0"/>
                    <w:snapToGrid w:val="0"/>
                    <w:spacing w:line="300" w:lineRule="exact"/>
                    <w:jc w:val="center"/>
                    <w:rPr>
                      <w:color w:val="auto"/>
                      <w:kern w:val="0"/>
                      <w:szCs w:val="21"/>
                      <w:highlight w:val="none"/>
                    </w:rPr>
                  </w:pPr>
                  <w:r>
                    <w:rPr>
                      <w:rFonts w:hint="eastAsia"/>
                      <w:color w:val="auto"/>
                      <w:kern w:val="0"/>
                      <w:szCs w:val="21"/>
                      <w:highlight w:val="none"/>
                    </w:rPr>
                    <w:t>不合格鲜葛根S1</w:t>
                  </w:r>
                </w:p>
              </w:tc>
              <w:tc>
                <w:tcPr>
                  <w:tcW w:w="1088" w:type="dxa"/>
                  <w:vMerge w:val="restart"/>
                  <w:tcBorders>
                    <w:tl2br w:val="nil"/>
                    <w:tr2bl w:val="nil"/>
                  </w:tcBorders>
                  <w:vAlign w:val="center"/>
                </w:tcPr>
                <w:p w14:paraId="49C1713F">
                  <w:pPr>
                    <w:adjustRightInd w:val="0"/>
                    <w:snapToGrid w:val="0"/>
                    <w:spacing w:line="300" w:lineRule="exact"/>
                    <w:jc w:val="center"/>
                    <w:rPr>
                      <w:color w:val="auto"/>
                      <w:kern w:val="0"/>
                      <w:szCs w:val="21"/>
                      <w:highlight w:val="none"/>
                    </w:rPr>
                  </w:pPr>
                  <w:r>
                    <w:rPr>
                      <w:rFonts w:hint="eastAsia"/>
                      <w:color w:val="auto"/>
                      <w:kern w:val="0"/>
                      <w:szCs w:val="21"/>
                      <w:highlight w:val="none"/>
                    </w:rPr>
                    <w:t>SW13</w:t>
                  </w:r>
                </w:p>
              </w:tc>
              <w:tc>
                <w:tcPr>
                  <w:tcW w:w="1511" w:type="dxa"/>
                  <w:vMerge w:val="restart"/>
                  <w:tcBorders>
                    <w:tl2br w:val="nil"/>
                    <w:tr2bl w:val="nil"/>
                  </w:tcBorders>
                  <w:vAlign w:val="center"/>
                </w:tcPr>
                <w:p w14:paraId="34B7153D">
                  <w:pPr>
                    <w:adjustRightInd w:val="0"/>
                    <w:snapToGrid w:val="0"/>
                    <w:spacing w:line="300" w:lineRule="exact"/>
                    <w:jc w:val="center"/>
                    <w:rPr>
                      <w:color w:val="auto"/>
                      <w:kern w:val="0"/>
                      <w:szCs w:val="21"/>
                      <w:highlight w:val="none"/>
                    </w:rPr>
                  </w:pPr>
                  <w:r>
                    <w:rPr>
                      <w:rFonts w:hint="eastAsia"/>
                      <w:color w:val="auto"/>
                      <w:kern w:val="0"/>
                      <w:szCs w:val="21"/>
                      <w:highlight w:val="none"/>
                    </w:rPr>
                    <w:t>900-099-S13</w:t>
                  </w:r>
                </w:p>
              </w:tc>
              <w:tc>
                <w:tcPr>
                  <w:tcW w:w="1069" w:type="dxa"/>
                  <w:tcBorders>
                    <w:tl2br w:val="nil"/>
                    <w:tr2bl w:val="nil"/>
                  </w:tcBorders>
                  <w:vAlign w:val="center"/>
                </w:tcPr>
                <w:p w14:paraId="5F88ECAE">
                  <w:pPr>
                    <w:adjustRightInd w:val="0"/>
                    <w:snapToGrid w:val="0"/>
                    <w:spacing w:line="300" w:lineRule="exact"/>
                    <w:jc w:val="center"/>
                    <w:rPr>
                      <w:color w:val="auto"/>
                      <w:kern w:val="0"/>
                      <w:szCs w:val="21"/>
                      <w:highlight w:val="none"/>
                    </w:rPr>
                  </w:pPr>
                  <w:r>
                    <w:rPr>
                      <w:rFonts w:hint="eastAsia"/>
                      <w:color w:val="auto"/>
                      <w:kern w:val="0"/>
                      <w:szCs w:val="21"/>
                      <w:highlight w:val="none"/>
                    </w:rPr>
                    <w:t>12</w:t>
                  </w:r>
                </w:p>
              </w:tc>
              <w:tc>
                <w:tcPr>
                  <w:tcW w:w="2152" w:type="dxa"/>
                  <w:vMerge w:val="restart"/>
                  <w:tcBorders>
                    <w:tl2br w:val="nil"/>
                    <w:tr2bl w:val="nil"/>
                  </w:tcBorders>
                  <w:vAlign w:val="center"/>
                </w:tcPr>
                <w:p w14:paraId="4464E3B4">
                  <w:pPr>
                    <w:adjustRightInd w:val="0"/>
                    <w:snapToGrid w:val="0"/>
                    <w:spacing w:line="300" w:lineRule="exact"/>
                    <w:jc w:val="center"/>
                    <w:rPr>
                      <w:color w:val="auto"/>
                      <w:kern w:val="0"/>
                      <w:szCs w:val="21"/>
                      <w:highlight w:val="none"/>
                    </w:rPr>
                  </w:pPr>
                  <w:r>
                    <w:rPr>
                      <w:rFonts w:hint="eastAsia" w:ascii="宋体" w:hAnsi="宋体" w:cs="宋体"/>
                      <w:bCs/>
                      <w:color w:val="auto"/>
                      <w:szCs w:val="21"/>
                      <w:highlight w:val="none"/>
                    </w:rPr>
                    <w:t>交由</w:t>
                  </w:r>
                  <w:r>
                    <w:rPr>
                      <w:rFonts w:hint="eastAsia" w:ascii="宋体" w:hAnsi="宋体" w:cs="宋体"/>
                      <w:color w:val="auto"/>
                      <w:szCs w:val="21"/>
                      <w:highlight w:val="none"/>
                    </w:rPr>
                    <w:t>重庆市合川区钵耳山高粱种植农民专业合作社用于农业生产、土壤改良、农作物种植等</w:t>
                  </w:r>
                </w:p>
              </w:tc>
            </w:tr>
            <w:tr w14:paraId="2C90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0" w:type="dxa"/>
                  <w:vMerge w:val="continue"/>
                  <w:tcBorders>
                    <w:tl2br w:val="nil"/>
                    <w:tr2bl w:val="nil"/>
                  </w:tcBorders>
                  <w:vAlign w:val="center"/>
                </w:tcPr>
                <w:p w14:paraId="582EB3B3">
                  <w:pPr>
                    <w:adjustRightInd w:val="0"/>
                    <w:snapToGrid w:val="0"/>
                    <w:spacing w:line="300" w:lineRule="exact"/>
                    <w:jc w:val="center"/>
                    <w:rPr>
                      <w:color w:val="auto"/>
                      <w:kern w:val="0"/>
                      <w:szCs w:val="21"/>
                      <w:highlight w:val="none"/>
                    </w:rPr>
                  </w:pPr>
                </w:p>
              </w:tc>
              <w:tc>
                <w:tcPr>
                  <w:tcW w:w="1790" w:type="dxa"/>
                  <w:tcBorders>
                    <w:tl2br w:val="nil"/>
                    <w:tr2bl w:val="nil"/>
                  </w:tcBorders>
                  <w:vAlign w:val="center"/>
                </w:tcPr>
                <w:p w14:paraId="7C33C374">
                  <w:pPr>
                    <w:adjustRightInd w:val="0"/>
                    <w:snapToGrid w:val="0"/>
                    <w:spacing w:line="300" w:lineRule="exact"/>
                    <w:jc w:val="center"/>
                    <w:rPr>
                      <w:color w:val="auto"/>
                      <w:kern w:val="0"/>
                      <w:szCs w:val="21"/>
                      <w:highlight w:val="none"/>
                    </w:rPr>
                  </w:pPr>
                  <w:r>
                    <w:rPr>
                      <w:color w:val="auto"/>
                      <w:kern w:val="0"/>
                      <w:szCs w:val="21"/>
                      <w:highlight w:val="none"/>
                    </w:rPr>
                    <w:t>浆渣分离废渣</w:t>
                  </w:r>
                  <w:r>
                    <w:rPr>
                      <w:rFonts w:hint="eastAsia"/>
                      <w:color w:val="auto"/>
                      <w:kern w:val="0"/>
                      <w:szCs w:val="21"/>
                      <w:highlight w:val="none"/>
                    </w:rPr>
                    <w:t>S2</w:t>
                  </w:r>
                </w:p>
              </w:tc>
              <w:tc>
                <w:tcPr>
                  <w:tcW w:w="1088" w:type="dxa"/>
                  <w:vMerge w:val="continue"/>
                  <w:tcBorders>
                    <w:tl2br w:val="nil"/>
                    <w:tr2bl w:val="nil"/>
                  </w:tcBorders>
                  <w:vAlign w:val="center"/>
                </w:tcPr>
                <w:p w14:paraId="3565B62F">
                  <w:pPr>
                    <w:adjustRightInd w:val="0"/>
                    <w:snapToGrid w:val="0"/>
                    <w:spacing w:line="300" w:lineRule="exact"/>
                    <w:jc w:val="center"/>
                    <w:rPr>
                      <w:color w:val="auto"/>
                      <w:kern w:val="0"/>
                      <w:szCs w:val="21"/>
                      <w:highlight w:val="none"/>
                    </w:rPr>
                  </w:pPr>
                </w:p>
              </w:tc>
              <w:tc>
                <w:tcPr>
                  <w:tcW w:w="1511" w:type="dxa"/>
                  <w:vMerge w:val="continue"/>
                  <w:tcBorders>
                    <w:tl2br w:val="nil"/>
                    <w:tr2bl w:val="nil"/>
                  </w:tcBorders>
                  <w:vAlign w:val="center"/>
                </w:tcPr>
                <w:p w14:paraId="5B17A2BD">
                  <w:pPr>
                    <w:adjustRightInd w:val="0"/>
                    <w:snapToGrid w:val="0"/>
                    <w:spacing w:line="300" w:lineRule="exact"/>
                    <w:jc w:val="center"/>
                    <w:rPr>
                      <w:color w:val="auto"/>
                      <w:kern w:val="0"/>
                      <w:szCs w:val="21"/>
                      <w:highlight w:val="none"/>
                    </w:rPr>
                  </w:pPr>
                </w:p>
              </w:tc>
              <w:tc>
                <w:tcPr>
                  <w:tcW w:w="1069" w:type="dxa"/>
                  <w:tcBorders>
                    <w:tl2br w:val="nil"/>
                    <w:tr2bl w:val="nil"/>
                  </w:tcBorders>
                  <w:vAlign w:val="center"/>
                </w:tcPr>
                <w:p w14:paraId="2C15C57A">
                  <w:pPr>
                    <w:adjustRightInd w:val="0"/>
                    <w:snapToGrid w:val="0"/>
                    <w:spacing w:line="300" w:lineRule="exact"/>
                    <w:jc w:val="center"/>
                    <w:rPr>
                      <w:color w:val="auto"/>
                      <w:kern w:val="0"/>
                      <w:szCs w:val="21"/>
                      <w:highlight w:val="none"/>
                    </w:rPr>
                  </w:pPr>
                  <w:r>
                    <w:rPr>
                      <w:rFonts w:hint="eastAsia"/>
                      <w:color w:val="auto"/>
                      <w:kern w:val="0"/>
                      <w:szCs w:val="21"/>
                      <w:highlight w:val="none"/>
                    </w:rPr>
                    <w:t>263.04</w:t>
                  </w:r>
                </w:p>
              </w:tc>
              <w:tc>
                <w:tcPr>
                  <w:tcW w:w="2152" w:type="dxa"/>
                  <w:vMerge w:val="continue"/>
                  <w:tcBorders>
                    <w:tl2br w:val="nil"/>
                    <w:tr2bl w:val="nil"/>
                  </w:tcBorders>
                  <w:vAlign w:val="center"/>
                </w:tcPr>
                <w:p w14:paraId="55C6042B">
                  <w:pPr>
                    <w:adjustRightInd w:val="0"/>
                    <w:snapToGrid w:val="0"/>
                    <w:spacing w:line="300" w:lineRule="exact"/>
                    <w:jc w:val="center"/>
                    <w:rPr>
                      <w:color w:val="auto"/>
                      <w:szCs w:val="21"/>
                      <w:highlight w:val="none"/>
                    </w:rPr>
                  </w:pPr>
                </w:p>
              </w:tc>
            </w:tr>
            <w:tr w14:paraId="53E9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0" w:type="dxa"/>
                  <w:vMerge w:val="continue"/>
                  <w:tcBorders>
                    <w:tl2br w:val="nil"/>
                    <w:tr2bl w:val="nil"/>
                  </w:tcBorders>
                  <w:vAlign w:val="center"/>
                </w:tcPr>
                <w:p w14:paraId="4ABDADDE">
                  <w:pPr>
                    <w:adjustRightInd w:val="0"/>
                    <w:snapToGrid w:val="0"/>
                    <w:spacing w:line="300" w:lineRule="exact"/>
                    <w:jc w:val="center"/>
                    <w:rPr>
                      <w:color w:val="auto"/>
                      <w:kern w:val="0"/>
                      <w:szCs w:val="21"/>
                      <w:highlight w:val="none"/>
                    </w:rPr>
                  </w:pPr>
                </w:p>
              </w:tc>
              <w:tc>
                <w:tcPr>
                  <w:tcW w:w="1790" w:type="dxa"/>
                  <w:tcBorders>
                    <w:tl2br w:val="nil"/>
                    <w:tr2bl w:val="nil"/>
                  </w:tcBorders>
                  <w:vAlign w:val="center"/>
                </w:tcPr>
                <w:p w14:paraId="5D322E56">
                  <w:pPr>
                    <w:adjustRightInd w:val="0"/>
                    <w:snapToGrid w:val="0"/>
                    <w:spacing w:line="300" w:lineRule="exact"/>
                    <w:jc w:val="center"/>
                    <w:rPr>
                      <w:color w:val="auto"/>
                      <w:kern w:val="0"/>
                      <w:szCs w:val="21"/>
                      <w:highlight w:val="none"/>
                    </w:rPr>
                  </w:pPr>
                  <w:r>
                    <w:rPr>
                      <w:color w:val="auto"/>
                      <w:kern w:val="0"/>
                      <w:szCs w:val="21"/>
                      <w:highlight w:val="none"/>
                    </w:rPr>
                    <w:t>细筛废渣</w:t>
                  </w:r>
                  <w:r>
                    <w:rPr>
                      <w:rFonts w:hint="eastAsia"/>
                      <w:color w:val="auto"/>
                      <w:kern w:val="0"/>
                      <w:szCs w:val="21"/>
                      <w:highlight w:val="none"/>
                    </w:rPr>
                    <w:t>S3</w:t>
                  </w:r>
                </w:p>
              </w:tc>
              <w:tc>
                <w:tcPr>
                  <w:tcW w:w="1088" w:type="dxa"/>
                  <w:vMerge w:val="continue"/>
                  <w:tcBorders>
                    <w:tl2br w:val="nil"/>
                    <w:tr2bl w:val="nil"/>
                  </w:tcBorders>
                  <w:vAlign w:val="center"/>
                </w:tcPr>
                <w:p w14:paraId="704570A8">
                  <w:pPr>
                    <w:adjustRightInd w:val="0"/>
                    <w:snapToGrid w:val="0"/>
                    <w:spacing w:line="300" w:lineRule="exact"/>
                    <w:jc w:val="center"/>
                    <w:rPr>
                      <w:color w:val="auto"/>
                      <w:kern w:val="0"/>
                      <w:szCs w:val="21"/>
                      <w:highlight w:val="none"/>
                    </w:rPr>
                  </w:pPr>
                </w:p>
              </w:tc>
              <w:tc>
                <w:tcPr>
                  <w:tcW w:w="1511" w:type="dxa"/>
                  <w:vMerge w:val="continue"/>
                  <w:tcBorders>
                    <w:tl2br w:val="nil"/>
                    <w:tr2bl w:val="nil"/>
                  </w:tcBorders>
                  <w:vAlign w:val="center"/>
                </w:tcPr>
                <w:p w14:paraId="1B345C72">
                  <w:pPr>
                    <w:adjustRightInd w:val="0"/>
                    <w:snapToGrid w:val="0"/>
                    <w:spacing w:line="300" w:lineRule="exact"/>
                    <w:jc w:val="center"/>
                    <w:rPr>
                      <w:color w:val="auto"/>
                      <w:kern w:val="0"/>
                      <w:szCs w:val="21"/>
                      <w:highlight w:val="none"/>
                    </w:rPr>
                  </w:pPr>
                </w:p>
              </w:tc>
              <w:tc>
                <w:tcPr>
                  <w:tcW w:w="1069" w:type="dxa"/>
                  <w:tcBorders>
                    <w:tl2br w:val="nil"/>
                    <w:tr2bl w:val="nil"/>
                  </w:tcBorders>
                  <w:vAlign w:val="center"/>
                </w:tcPr>
                <w:p w14:paraId="26F28E57">
                  <w:pPr>
                    <w:adjustRightInd w:val="0"/>
                    <w:snapToGrid w:val="0"/>
                    <w:spacing w:line="300" w:lineRule="exact"/>
                    <w:jc w:val="center"/>
                    <w:rPr>
                      <w:color w:val="auto"/>
                      <w:kern w:val="0"/>
                      <w:szCs w:val="21"/>
                      <w:highlight w:val="none"/>
                    </w:rPr>
                  </w:pPr>
                  <w:r>
                    <w:rPr>
                      <w:rFonts w:hint="eastAsia"/>
                      <w:color w:val="auto"/>
                      <w:kern w:val="0"/>
                      <w:szCs w:val="21"/>
                      <w:highlight w:val="none"/>
                    </w:rPr>
                    <w:t>25.68</w:t>
                  </w:r>
                </w:p>
              </w:tc>
              <w:tc>
                <w:tcPr>
                  <w:tcW w:w="2152" w:type="dxa"/>
                  <w:vMerge w:val="continue"/>
                  <w:tcBorders>
                    <w:tl2br w:val="nil"/>
                    <w:tr2bl w:val="nil"/>
                  </w:tcBorders>
                  <w:vAlign w:val="center"/>
                </w:tcPr>
                <w:p w14:paraId="191A2B11">
                  <w:pPr>
                    <w:adjustRightInd w:val="0"/>
                    <w:snapToGrid w:val="0"/>
                    <w:spacing w:line="300" w:lineRule="exact"/>
                    <w:jc w:val="center"/>
                    <w:rPr>
                      <w:color w:val="auto"/>
                      <w:szCs w:val="21"/>
                      <w:highlight w:val="none"/>
                    </w:rPr>
                  </w:pPr>
                </w:p>
              </w:tc>
            </w:tr>
            <w:tr w14:paraId="3508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0" w:type="dxa"/>
                  <w:vMerge w:val="continue"/>
                  <w:tcBorders>
                    <w:tl2br w:val="nil"/>
                    <w:tr2bl w:val="nil"/>
                  </w:tcBorders>
                  <w:vAlign w:val="center"/>
                </w:tcPr>
                <w:p w14:paraId="379A4E76">
                  <w:pPr>
                    <w:adjustRightInd w:val="0"/>
                    <w:snapToGrid w:val="0"/>
                    <w:spacing w:line="300" w:lineRule="exact"/>
                    <w:jc w:val="center"/>
                    <w:rPr>
                      <w:color w:val="auto"/>
                      <w:kern w:val="0"/>
                      <w:szCs w:val="21"/>
                      <w:highlight w:val="none"/>
                    </w:rPr>
                  </w:pPr>
                </w:p>
              </w:tc>
              <w:tc>
                <w:tcPr>
                  <w:tcW w:w="1790" w:type="dxa"/>
                  <w:tcBorders>
                    <w:tl2br w:val="nil"/>
                    <w:tr2bl w:val="nil"/>
                  </w:tcBorders>
                  <w:vAlign w:val="center"/>
                </w:tcPr>
                <w:p w14:paraId="7D6827E3">
                  <w:pPr>
                    <w:adjustRightInd w:val="0"/>
                    <w:snapToGrid w:val="0"/>
                    <w:spacing w:line="300" w:lineRule="exact"/>
                    <w:jc w:val="center"/>
                    <w:rPr>
                      <w:color w:val="auto"/>
                      <w:kern w:val="0"/>
                      <w:szCs w:val="21"/>
                      <w:highlight w:val="none"/>
                    </w:rPr>
                  </w:pPr>
                  <w:r>
                    <w:rPr>
                      <w:rFonts w:hint="eastAsia"/>
                      <w:color w:val="auto"/>
                      <w:kern w:val="0"/>
                      <w:szCs w:val="21"/>
                      <w:highlight w:val="none"/>
                    </w:rPr>
                    <w:t>淀粉除砂</w:t>
                  </w:r>
                  <w:r>
                    <w:rPr>
                      <w:color w:val="auto"/>
                      <w:kern w:val="0"/>
                      <w:szCs w:val="21"/>
                      <w:highlight w:val="none"/>
                    </w:rPr>
                    <w:t>滤</w:t>
                  </w:r>
                  <w:r>
                    <w:rPr>
                      <w:rFonts w:hint="eastAsia"/>
                      <w:color w:val="auto"/>
                      <w:kern w:val="0"/>
                      <w:szCs w:val="21"/>
                      <w:highlight w:val="none"/>
                    </w:rPr>
                    <w:t>渣S4</w:t>
                  </w:r>
                </w:p>
              </w:tc>
              <w:tc>
                <w:tcPr>
                  <w:tcW w:w="1088" w:type="dxa"/>
                  <w:vMerge w:val="continue"/>
                  <w:tcBorders>
                    <w:tl2br w:val="nil"/>
                    <w:tr2bl w:val="nil"/>
                  </w:tcBorders>
                  <w:vAlign w:val="center"/>
                </w:tcPr>
                <w:p w14:paraId="3030DECD">
                  <w:pPr>
                    <w:adjustRightInd w:val="0"/>
                    <w:snapToGrid w:val="0"/>
                    <w:spacing w:line="300" w:lineRule="exact"/>
                    <w:jc w:val="center"/>
                    <w:rPr>
                      <w:color w:val="auto"/>
                      <w:kern w:val="0"/>
                      <w:szCs w:val="21"/>
                      <w:highlight w:val="none"/>
                    </w:rPr>
                  </w:pPr>
                </w:p>
              </w:tc>
              <w:tc>
                <w:tcPr>
                  <w:tcW w:w="1511" w:type="dxa"/>
                  <w:vMerge w:val="continue"/>
                  <w:tcBorders>
                    <w:tl2br w:val="nil"/>
                    <w:tr2bl w:val="nil"/>
                  </w:tcBorders>
                  <w:vAlign w:val="center"/>
                </w:tcPr>
                <w:p w14:paraId="5A6891E0">
                  <w:pPr>
                    <w:adjustRightInd w:val="0"/>
                    <w:snapToGrid w:val="0"/>
                    <w:spacing w:line="300" w:lineRule="exact"/>
                    <w:jc w:val="center"/>
                    <w:rPr>
                      <w:color w:val="auto"/>
                      <w:kern w:val="0"/>
                      <w:szCs w:val="21"/>
                      <w:highlight w:val="none"/>
                    </w:rPr>
                  </w:pPr>
                </w:p>
              </w:tc>
              <w:tc>
                <w:tcPr>
                  <w:tcW w:w="1069" w:type="dxa"/>
                  <w:tcBorders>
                    <w:tl2br w:val="nil"/>
                    <w:tr2bl w:val="nil"/>
                  </w:tcBorders>
                  <w:vAlign w:val="center"/>
                </w:tcPr>
                <w:p w14:paraId="628D89FB">
                  <w:pPr>
                    <w:adjustRightInd w:val="0"/>
                    <w:snapToGrid w:val="0"/>
                    <w:spacing w:line="300" w:lineRule="exact"/>
                    <w:jc w:val="center"/>
                    <w:rPr>
                      <w:color w:val="auto"/>
                      <w:kern w:val="0"/>
                      <w:szCs w:val="21"/>
                      <w:highlight w:val="none"/>
                    </w:rPr>
                  </w:pPr>
                  <w:r>
                    <w:rPr>
                      <w:rFonts w:hint="eastAsia"/>
                      <w:color w:val="auto"/>
                      <w:kern w:val="0"/>
                      <w:szCs w:val="21"/>
                      <w:highlight w:val="none"/>
                    </w:rPr>
                    <w:t>6.24</w:t>
                  </w:r>
                </w:p>
              </w:tc>
              <w:tc>
                <w:tcPr>
                  <w:tcW w:w="2152" w:type="dxa"/>
                  <w:vMerge w:val="continue"/>
                  <w:tcBorders>
                    <w:tl2br w:val="nil"/>
                    <w:tr2bl w:val="nil"/>
                  </w:tcBorders>
                  <w:vAlign w:val="center"/>
                </w:tcPr>
                <w:p w14:paraId="6D9BE189">
                  <w:pPr>
                    <w:adjustRightInd w:val="0"/>
                    <w:snapToGrid w:val="0"/>
                    <w:spacing w:line="300" w:lineRule="exact"/>
                    <w:jc w:val="center"/>
                    <w:rPr>
                      <w:color w:val="auto"/>
                      <w:szCs w:val="21"/>
                      <w:highlight w:val="none"/>
                    </w:rPr>
                  </w:pPr>
                </w:p>
              </w:tc>
            </w:tr>
            <w:tr w14:paraId="6BE5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0" w:type="dxa"/>
                  <w:vMerge w:val="continue"/>
                  <w:tcBorders>
                    <w:tl2br w:val="nil"/>
                    <w:tr2bl w:val="nil"/>
                  </w:tcBorders>
                  <w:vAlign w:val="center"/>
                </w:tcPr>
                <w:p w14:paraId="0343FF25">
                  <w:pPr>
                    <w:adjustRightInd w:val="0"/>
                    <w:snapToGrid w:val="0"/>
                    <w:spacing w:line="300" w:lineRule="exact"/>
                    <w:jc w:val="center"/>
                    <w:rPr>
                      <w:color w:val="auto"/>
                      <w:kern w:val="0"/>
                      <w:szCs w:val="21"/>
                      <w:highlight w:val="none"/>
                    </w:rPr>
                  </w:pPr>
                </w:p>
              </w:tc>
              <w:tc>
                <w:tcPr>
                  <w:tcW w:w="1790" w:type="dxa"/>
                  <w:tcBorders>
                    <w:tl2br w:val="nil"/>
                    <w:tr2bl w:val="nil"/>
                  </w:tcBorders>
                  <w:vAlign w:val="center"/>
                </w:tcPr>
                <w:p w14:paraId="3B76C3FA">
                  <w:pPr>
                    <w:adjustRightInd w:val="0"/>
                    <w:snapToGrid w:val="0"/>
                    <w:spacing w:line="300" w:lineRule="exact"/>
                    <w:jc w:val="center"/>
                    <w:rPr>
                      <w:color w:val="auto"/>
                      <w:kern w:val="0"/>
                      <w:szCs w:val="21"/>
                      <w:highlight w:val="none"/>
                    </w:rPr>
                  </w:pPr>
                  <w:r>
                    <w:rPr>
                      <w:rFonts w:hint="eastAsia"/>
                      <w:color w:val="auto"/>
                      <w:kern w:val="0"/>
                      <w:szCs w:val="21"/>
                      <w:highlight w:val="none"/>
                    </w:rPr>
                    <w:t>废包装S5</w:t>
                  </w:r>
                </w:p>
              </w:tc>
              <w:tc>
                <w:tcPr>
                  <w:tcW w:w="1088" w:type="dxa"/>
                  <w:tcBorders>
                    <w:tl2br w:val="nil"/>
                    <w:tr2bl w:val="nil"/>
                  </w:tcBorders>
                  <w:vAlign w:val="center"/>
                </w:tcPr>
                <w:p w14:paraId="143046FB">
                  <w:pPr>
                    <w:adjustRightInd w:val="0"/>
                    <w:snapToGrid w:val="0"/>
                    <w:spacing w:line="300" w:lineRule="exact"/>
                    <w:jc w:val="center"/>
                    <w:rPr>
                      <w:color w:val="auto"/>
                      <w:szCs w:val="21"/>
                      <w:highlight w:val="none"/>
                    </w:rPr>
                  </w:pPr>
                  <w:r>
                    <w:rPr>
                      <w:rFonts w:hint="eastAsia"/>
                      <w:color w:val="auto"/>
                      <w:szCs w:val="21"/>
                      <w:highlight w:val="none"/>
                    </w:rPr>
                    <w:t>SW17</w:t>
                  </w:r>
                </w:p>
              </w:tc>
              <w:tc>
                <w:tcPr>
                  <w:tcW w:w="1511" w:type="dxa"/>
                  <w:tcBorders>
                    <w:tl2br w:val="nil"/>
                    <w:tr2bl w:val="nil"/>
                  </w:tcBorders>
                  <w:vAlign w:val="center"/>
                </w:tcPr>
                <w:p w14:paraId="3EFDB4F3">
                  <w:pPr>
                    <w:adjustRightInd w:val="0"/>
                    <w:snapToGrid w:val="0"/>
                    <w:spacing w:line="300" w:lineRule="exact"/>
                    <w:jc w:val="center"/>
                    <w:rPr>
                      <w:color w:val="auto"/>
                      <w:kern w:val="0"/>
                      <w:szCs w:val="21"/>
                      <w:highlight w:val="none"/>
                    </w:rPr>
                  </w:pPr>
                  <w:r>
                    <w:rPr>
                      <w:color w:val="auto"/>
                      <w:szCs w:val="21"/>
                      <w:highlight w:val="none"/>
                    </w:rPr>
                    <w:t>900-002-S17</w:t>
                  </w:r>
                </w:p>
              </w:tc>
              <w:tc>
                <w:tcPr>
                  <w:tcW w:w="1069" w:type="dxa"/>
                  <w:tcBorders>
                    <w:tl2br w:val="nil"/>
                    <w:tr2bl w:val="nil"/>
                  </w:tcBorders>
                  <w:vAlign w:val="center"/>
                </w:tcPr>
                <w:p w14:paraId="54AC1A58">
                  <w:pPr>
                    <w:adjustRightInd w:val="0"/>
                    <w:snapToGrid w:val="0"/>
                    <w:spacing w:line="300" w:lineRule="exact"/>
                    <w:jc w:val="center"/>
                    <w:rPr>
                      <w:color w:val="auto"/>
                      <w:kern w:val="0"/>
                      <w:szCs w:val="21"/>
                      <w:highlight w:val="none"/>
                    </w:rPr>
                  </w:pPr>
                  <w:r>
                    <w:rPr>
                      <w:rFonts w:hint="eastAsia"/>
                      <w:color w:val="auto"/>
                      <w:kern w:val="0"/>
                      <w:szCs w:val="21"/>
                      <w:highlight w:val="none"/>
                    </w:rPr>
                    <w:t>0.10</w:t>
                  </w:r>
                </w:p>
              </w:tc>
              <w:tc>
                <w:tcPr>
                  <w:tcW w:w="2152" w:type="dxa"/>
                  <w:tcBorders>
                    <w:tl2br w:val="nil"/>
                    <w:tr2bl w:val="nil"/>
                  </w:tcBorders>
                  <w:vAlign w:val="center"/>
                </w:tcPr>
                <w:p w14:paraId="07D03BD9">
                  <w:pPr>
                    <w:adjustRightInd w:val="0"/>
                    <w:snapToGrid w:val="0"/>
                    <w:spacing w:line="300" w:lineRule="exact"/>
                    <w:jc w:val="center"/>
                    <w:rPr>
                      <w:color w:val="auto"/>
                      <w:szCs w:val="21"/>
                      <w:highlight w:val="none"/>
                    </w:rPr>
                  </w:pPr>
                  <w:r>
                    <w:rPr>
                      <w:color w:val="auto"/>
                      <w:szCs w:val="21"/>
                      <w:highlight w:val="none"/>
                    </w:rPr>
                    <w:t>出售给废品回收单位</w:t>
                  </w:r>
                </w:p>
              </w:tc>
            </w:tr>
            <w:tr w14:paraId="5C5B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0" w:type="dxa"/>
                  <w:vMerge w:val="continue"/>
                  <w:tcBorders>
                    <w:tl2br w:val="nil"/>
                    <w:tr2bl w:val="nil"/>
                  </w:tcBorders>
                  <w:vAlign w:val="center"/>
                </w:tcPr>
                <w:p w14:paraId="02AF0A55">
                  <w:pPr>
                    <w:adjustRightInd w:val="0"/>
                    <w:snapToGrid w:val="0"/>
                    <w:spacing w:line="300" w:lineRule="exact"/>
                    <w:jc w:val="center"/>
                    <w:rPr>
                      <w:color w:val="auto"/>
                      <w:kern w:val="0"/>
                      <w:szCs w:val="21"/>
                      <w:highlight w:val="none"/>
                    </w:rPr>
                  </w:pPr>
                </w:p>
              </w:tc>
              <w:tc>
                <w:tcPr>
                  <w:tcW w:w="1790" w:type="dxa"/>
                  <w:tcBorders>
                    <w:tl2br w:val="nil"/>
                    <w:tr2bl w:val="nil"/>
                  </w:tcBorders>
                  <w:vAlign w:val="center"/>
                </w:tcPr>
                <w:p w14:paraId="2ACDD1B4">
                  <w:pPr>
                    <w:adjustRightInd w:val="0"/>
                    <w:snapToGrid w:val="0"/>
                    <w:spacing w:line="300" w:lineRule="exact"/>
                    <w:jc w:val="center"/>
                    <w:rPr>
                      <w:color w:val="auto"/>
                      <w:kern w:val="0"/>
                      <w:szCs w:val="21"/>
                      <w:highlight w:val="none"/>
                    </w:rPr>
                  </w:pPr>
                  <w:r>
                    <w:rPr>
                      <w:rFonts w:hint="eastAsia"/>
                      <w:color w:val="auto"/>
                      <w:kern w:val="0"/>
                      <w:szCs w:val="21"/>
                      <w:highlight w:val="none"/>
                    </w:rPr>
                    <w:t>清洗废水沉淀泥沙S6</w:t>
                  </w:r>
                </w:p>
              </w:tc>
              <w:tc>
                <w:tcPr>
                  <w:tcW w:w="1088" w:type="dxa"/>
                  <w:tcBorders>
                    <w:tl2br w:val="nil"/>
                    <w:tr2bl w:val="nil"/>
                  </w:tcBorders>
                  <w:vAlign w:val="center"/>
                </w:tcPr>
                <w:p w14:paraId="3AD36C32">
                  <w:pPr>
                    <w:adjustRightInd w:val="0"/>
                    <w:snapToGrid w:val="0"/>
                    <w:spacing w:line="300" w:lineRule="exact"/>
                    <w:jc w:val="center"/>
                    <w:rPr>
                      <w:color w:val="auto"/>
                      <w:kern w:val="0"/>
                      <w:szCs w:val="21"/>
                      <w:highlight w:val="none"/>
                    </w:rPr>
                  </w:pPr>
                  <w:r>
                    <w:rPr>
                      <w:rFonts w:hint="eastAsia"/>
                      <w:color w:val="auto"/>
                      <w:kern w:val="0"/>
                      <w:szCs w:val="21"/>
                      <w:highlight w:val="none"/>
                    </w:rPr>
                    <w:t>/</w:t>
                  </w:r>
                </w:p>
              </w:tc>
              <w:tc>
                <w:tcPr>
                  <w:tcW w:w="1511" w:type="dxa"/>
                  <w:tcBorders>
                    <w:tl2br w:val="nil"/>
                    <w:tr2bl w:val="nil"/>
                  </w:tcBorders>
                  <w:vAlign w:val="center"/>
                </w:tcPr>
                <w:p w14:paraId="2B0A7B98">
                  <w:pPr>
                    <w:adjustRightInd w:val="0"/>
                    <w:snapToGrid w:val="0"/>
                    <w:spacing w:line="300" w:lineRule="exact"/>
                    <w:jc w:val="center"/>
                    <w:rPr>
                      <w:color w:val="auto"/>
                      <w:kern w:val="0"/>
                      <w:szCs w:val="21"/>
                      <w:highlight w:val="none"/>
                    </w:rPr>
                  </w:pPr>
                  <w:r>
                    <w:rPr>
                      <w:rFonts w:hint="eastAsia"/>
                      <w:color w:val="auto"/>
                      <w:kern w:val="0"/>
                      <w:szCs w:val="21"/>
                      <w:highlight w:val="none"/>
                    </w:rPr>
                    <w:t>/</w:t>
                  </w:r>
                </w:p>
              </w:tc>
              <w:tc>
                <w:tcPr>
                  <w:tcW w:w="1069" w:type="dxa"/>
                  <w:tcBorders>
                    <w:tl2br w:val="nil"/>
                    <w:tr2bl w:val="nil"/>
                  </w:tcBorders>
                  <w:vAlign w:val="center"/>
                </w:tcPr>
                <w:p w14:paraId="6C7953D4">
                  <w:pPr>
                    <w:adjustRightInd w:val="0"/>
                    <w:snapToGrid w:val="0"/>
                    <w:spacing w:line="300" w:lineRule="exact"/>
                    <w:jc w:val="center"/>
                    <w:rPr>
                      <w:color w:val="auto"/>
                      <w:kern w:val="0"/>
                      <w:szCs w:val="21"/>
                      <w:highlight w:val="none"/>
                    </w:rPr>
                  </w:pPr>
                  <w:r>
                    <w:rPr>
                      <w:rFonts w:hint="eastAsia"/>
                      <w:color w:val="auto"/>
                      <w:kern w:val="0"/>
                      <w:szCs w:val="21"/>
                      <w:highlight w:val="none"/>
                    </w:rPr>
                    <w:t>30.00</w:t>
                  </w:r>
                </w:p>
              </w:tc>
              <w:tc>
                <w:tcPr>
                  <w:tcW w:w="2152" w:type="dxa"/>
                  <w:tcBorders>
                    <w:tl2br w:val="nil"/>
                    <w:tr2bl w:val="nil"/>
                  </w:tcBorders>
                  <w:vAlign w:val="center"/>
                </w:tcPr>
                <w:p w14:paraId="420FFEDF">
                  <w:pPr>
                    <w:adjustRightInd w:val="0"/>
                    <w:snapToGrid w:val="0"/>
                    <w:spacing w:line="300" w:lineRule="exact"/>
                    <w:jc w:val="center"/>
                    <w:rPr>
                      <w:color w:val="auto"/>
                      <w:szCs w:val="21"/>
                      <w:highlight w:val="none"/>
                    </w:rPr>
                  </w:pPr>
                  <w:r>
                    <w:rPr>
                      <w:rFonts w:hint="eastAsia" w:ascii="宋体" w:hAnsi="宋体" w:cs="宋体"/>
                      <w:bCs/>
                      <w:color w:val="auto"/>
                      <w:szCs w:val="21"/>
                      <w:highlight w:val="none"/>
                    </w:rPr>
                    <w:t>交由</w:t>
                  </w:r>
                  <w:r>
                    <w:rPr>
                      <w:rFonts w:hint="eastAsia" w:ascii="宋体" w:hAnsi="宋体" w:cs="宋体"/>
                      <w:color w:val="auto"/>
                      <w:szCs w:val="21"/>
                      <w:highlight w:val="none"/>
                    </w:rPr>
                    <w:t>重庆市合川区钵耳山高粱种植农民专业合作社用于农业生产、土壤改良、农作物种植等</w:t>
                  </w:r>
                </w:p>
              </w:tc>
            </w:tr>
            <w:tr w14:paraId="3541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0" w:type="dxa"/>
                  <w:vMerge w:val="continue"/>
                  <w:tcBorders>
                    <w:tl2br w:val="nil"/>
                    <w:tr2bl w:val="nil"/>
                  </w:tcBorders>
                  <w:vAlign w:val="center"/>
                </w:tcPr>
                <w:p w14:paraId="15D21608">
                  <w:pPr>
                    <w:adjustRightInd w:val="0"/>
                    <w:snapToGrid w:val="0"/>
                    <w:spacing w:line="300" w:lineRule="exact"/>
                    <w:jc w:val="center"/>
                    <w:rPr>
                      <w:color w:val="auto"/>
                      <w:kern w:val="0"/>
                      <w:szCs w:val="21"/>
                      <w:highlight w:val="none"/>
                    </w:rPr>
                  </w:pPr>
                </w:p>
              </w:tc>
              <w:tc>
                <w:tcPr>
                  <w:tcW w:w="1790" w:type="dxa"/>
                  <w:tcBorders>
                    <w:tl2br w:val="nil"/>
                    <w:tr2bl w:val="nil"/>
                  </w:tcBorders>
                  <w:vAlign w:val="center"/>
                </w:tcPr>
                <w:p w14:paraId="001CC13B">
                  <w:pPr>
                    <w:adjustRightInd w:val="0"/>
                    <w:snapToGrid w:val="0"/>
                    <w:spacing w:line="300" w:lineRule="exact"/>
                    <w:jc w:val="center"/>
                    <w:rPr>
                      <w:color w:val="auto"/>
                      <w:kern w:val="0"/>
                      <w:szCs w:val="21"/>
                      <w:highlight w:val="none"/>
                    </w:rPr>
                  </w:pPr>
                  <w:r>
                    <w:rPr>
                      <w:rFonts w:hint="eastAsia"/>
                      <w:color w:val="auto"/>
                      <w:kern w:val="0"/>
                      <w:szCs w:val="21"/>
                      <w:highlight w:val="none"/>
                    </w:rPr>
                    <w:t>污水处理污泥S7</w:t>
                  </w:r>
                </w:p>
              </w:tc>
              <w:tc>
                <w:tcPr>
                  <w:tcW w:w="1088" w:type="dxa"/>
                  <w:tcBorders>
                    <w:tl2br w:val="nil"/>
                    <w:tr2bl w:val="nil"/>
                  </w:tcBorders>
                  <w:vAlign w:val="center"/>
                </w:tcPr>
                <w:p w14:paraId="228756AC">
                  <w:pPr>
                    <w:adjustRightInd w:val="0"/>
                    <w:snapToGrid w:val="0"/>
                    <w:spacing w:line="300" w:lineRule="exact"/>
                    <w:jc w:val="center"/>
                    <w:rPr>
                      <w:color w:val="auto"/>
                      <w:kern w:val="0"/>
                      <w:szCs w:val="21"/>
                      <w:highlight w:val="none"/>
                    </w:rPr>
                  </w:pPr>
                  <w:r>
                    <w:rPr>
                      <w:rFonts w:hint="eastAsia"/>
                      <w:color w:val="auto"/>
                      <w:kern w:val="0"/>
                      <w:szCs w:val="21"/>
                      <w:highlight w:val="none"/>
                    </w:rPr>
                    <w:t>SW08</w:t>
                  </w:r>
                </w:p>
              </w:tc>
              <w:tc>
                <w:tcPr>
                  <w:tcW w:w="1511" w:type="dxa"/>
                  <w:tcBorders>
                    <w:tl2br w:val="nil"/>
                    <w:tr2bl w:val="nil"/>
                  </w:tcBorders>
                  <w:vAlign w:val="center"/>
                </w:tcPr>
                <w:p w14:paraId="78CB701C">
                  <w:pPr>
                    <w:adjustRightInd w:val="0"/>
                    <w:snapToGrid w:val="0"/>
                    <w:spacing w:line="300" w:lineRule="exact"/>
                    <w:jc w:val="center"/>
                    <w:rPr>
                      <w:color w:val="auto"/>
                      <w:kern w:val="0"/>
                      <w:szCs w:val="21"/>
                      <w:highlight w:val="none"/>
                    </w:rPr>
                  </w:pPr>
                  <w:r>
                    <w:rPr>
                      <w:rFonts w:hint="eastAsia"/>
                      <w:color w:val="auto"/>
                      <w:kern w:val="0"/>
                      <w:szCs w:val="21"/>
                      <w:highlight w:val="none"/>
                    </w:rPr>
                    <w:t>900-099-S07</w:t>
                  </w:r>
                </w:p>
              </w:tc>
              <w:tc>
                <w:tcPr>
                  <w:tcW w:w="1069" w:type="dxa"/>
                  <w:tcBorders>
                    <w:tl2br w:val="nil"/>
                    <w:tr2bl w:val="nil"/>
                  </w:tcBorders>
                  <w:vAlign w:val="center"/>
                </w:tcPr>
                <w:p w14:paraId="10CB0B36">
                  <w:pPr>
                    <w:adjustRightInd w:val="0"/>
                    <w:snapToGrid w:val="0"/>
                    <w:spacing w:line="300" w:lineRule="exact"/>
                    <w:jc w:val="center"/>
                    <w:rPr>
                      <w:color w:val="auto"/>
                      <w:kern w:val="0"/>
                      <w:szCs w:val="21"/>
                      <w:highlight w:val="none"/>
                    </w:rPr>
                  </w:pPr>
                  <w:r>
                    <w:rPr>
                      <w:rFonts w:hint="eastAsia"/>
                      <w:color w:val="auto"/>
                      <w:kern w:val="0"/>
                      <w:szCs w:val="21"/>
                      <w:highlight w:val="none"/>
                    </w:rPr>
                    <w:t>2.215</w:t>
                  </w:r>
                </w:p>
              </w:tc>
              <w:tc>
                <w:tcPr>
                  <w:tcW w:w="2152" w:type="dxa"/>
                  <w:tcBorders>
                    <w:tl2br w:val="nil"/>
                    <w:tr2bl w:val="nil"/>
                  </w:tcBorders>
                  <w:vAlign w:val="center"/>
                </w:tcPr>
                <w:p w14:paraId="5EACA3A2">
                  <w:pPr>
                    <w:adjustRightInd w:val="0"/>
                    <w:snapToGrid w:val="0"/>
                    <w:spacing w:line="300" w:lineRule="exact"/>
                    <w:jc w:val="center"/>
                    <w:rPr>
                      <w:color w:val="auto"/>
                      <w:szCs w:val="21"/>
                      <w:highlight w:val="none"/>
                    </w:rPr>
                  </w:pPr>
                  <w:r>
                    <w:rPr>
                      <w:rFonts w:hint="eastAsia"/>
                      <w:color w:val="auto"/>
                      <w:szCs w:val="21"/>
                      <w:highlight w:val="none"/>
                    </w:rPr>
                    <w:t>生活垃圾填埋场</w:t>
                  </w:r>
                </w:p>
              </w:tc>
            </w:tr>
            <w:tr w14:paraId="5C00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029" w:type="dxa"/>
                  <w:gridSpan w:val="4"/>
                  <w:tcBorders>
                    <w:tl2br w:val="nil"/>
                    <w:tr2bl w:val="nil"/>
                  </w:tcBorders>
                  <w:vAlign w:val="center"/>
                </w:tcPr>
                <w:p w14:paraId="0BFB8229">
                  <w:pPr>
                    <w:adjustRightInd w:val="0"/>
                    <w:snapToGrid w:val="0"/>
                    <w:spacing w:line="300" w:lineRule="exact"/>
                    <w:jc w:val="center"/>
                    <w:rPr>
                      <w:color w:val="auto"/>
                      <w:kern w:val="0"/>
                      <w:szCs w:val="21"/>
                      <w:highlight w:val="none"/>
                    </w:rPr>
                  </w:pPr>
                  <w:r>
                    <w:rPr>
                      <w:rFonts w:hint="eastAsia"/>
                      <w:color w:val="auto"/>
                      <w:kern w:val="0"/>
                      <w:szCs w:val="21"/>
                      <w:highlight w:val="none"/>
                    </w:rPr>
                    <w:t>小计</w:t>
                  </w:r>
                </w:p>
              </w:tc>
              <w:tc>
                <w:tcPr>
                  <w:tcW w:w="1069" w:type="dxa"/>
                  <w:tcBorders>
                    <w:tl2br w:val="nil"/>
                    <w:tr2bl w:val="nil"/>
                  </w:tcBorders>
                  <w:vAlign w:val="center"/>
                </w:tcPr>
                <w:p w14:paraId="34289499">
                  <w:pPr>
                    <w:adjustRightInd w:val="0"/>
                    <w:snapToGrid w:val="0"/>
                    <w:spacing w:line="300" w:lineRule="exact"/>
                    <w:jc w:val="center"/>
                    <w:rPr>
                      <w:color w:val="auto"/>
                      <w:kern w:val="0"/>
                      <w:szCs w:val="21"/>
                      <w:highlight w:val="none"/>
                    </w:rPr>
                  </w:pPr>
                  <w:r>
                    <w:rPr>
                      <w:rFonts w:hint="eastAsia"/>
                      <w:color w:val="auto"/>
                      <w:kern w:val="0"/>
                      <w:szCs w:val="21"/>
                      <w:highlight w:val="none"/>
                    </w:rPr>
                    <w:t>339.275</w:t>
                  </w:r>
                </w:p>
              </w:tc>
              <w:tc>
                <w:tcPr>
                  <w:tcW w:w="2152" w:type="dxa"/>
                  <w:tcBorders>
                    <w:tl2br w:val="nil"/>
                    <w:tr2bl w:val="nil"/>
                  </w:tcBorders>
                  <w:vAlign w:val="center"/>
                </w:tcPr>
                <w:p w14:paraId="08368996">
                  <w:pPr>
                    <w:adjustRightInd w:val="0"/>
                    <w:snapToGrid w:val="0"/>
                    <w:spacing w:line="300" w:lineRule="exact"/>
                    <w:jc w:val="center"/>
                    <w:rPr>
                      <w:color w:val="auto"/>
                      <w:szCs w:val="21"/>
                      <w:highlight w:val="none"/>
                    </w:rPr>
                  </w:pPr>
                </w:p>
              </w:tc>
            </w:tr>
            <w:tr w14:paraId="7216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0" w:type="dxa"/>
                  <w:tcBorders>
                    <w:tl2br w:val="nil"/>
                    <w:tr2bl w:val="nil"/>
                  </w:tcBorders>
                  <w:vAlign w:val="center"/>
                </w:tcPr>
                <w:p w14:paraId="28653DD1">
                  <w:pPr>
                    <w:adjustRightInd w:val="0"/>
                    <w:snapToGrid w:val="0"/>
                    <w:spacing w:line="300" w:lineRule="exact"/>
                    <w:jc w:val="center"/>
                    <w:rPr>
                      <w:color w:val="auto"/>
                      <w:kern w:val="0"/>
                      <w:szCs w:val="21"/>
                      <w:highlight w:val="none"/>
                    </w:rPr>
                  </w:pPr>
                  <w:r>
                    <w:rPr>
                      <w:rFonts w:hint="eastAsia"/>
                      <w:color w:val="auto"/>
                      <w:kern w:val="0"/>
                      <w:szCs w:val="21"/>
                      <w:highlight w:val="none"/>
                    </w:rPr>
                    <w:t>生活垃圾</w:t>
                  </w:r>
                </w:p>
              </w:tc>
              <w:tc>
                <w:tcPr>
                  <w:tcW w:w="1790" w:type="dxa"/>
                  <w:tcBorders>
                    <w:tl2br w:val="nil"/>
                    <w:tr2bl w:val="nil"/>
                  </w:tcBorders>
                  <w:vAlign w:val="center"/>
                </w:tcPr>
                <w:p w14:paraId="2CED4445">
                  <w:pPr>
                    <w:adjustRightInd w:val="0"/>
                    <w:snapToGrid w:val="0"/>
                    <w:spacing w:line="300" w:lineRule="exact"/>
                    <w:jc w:val="center"/>
                    <w:rPr>
                      <w:color w:val="auto"/>
                      <w:kern w:val="0"/>
                      <w:szCs w:val="21"/>
                      <w:highlight w:val="none"/>
                    </w:rPr>
                  </w:pPr>
                  <w:r>
                    <w:rPr>
                      <w:rFonts w:hint="eastAsia"/>
                      <w:color w:val="auto"/>
                      <w:kern w:val="0"/>
                      <w:szCs w:val="21"/>
                      <w:highlight w:val="none"/>
                    </w:rPr>
                    <w:t>生活垃圾S8</w:t>
                  </w:r>
                </w:p>
              </w:tc>
              <w:tc>
                <w:tcPr>
                  <w:tcW w:w="1088" w:type="dxa"/>
                  <w:tcBorders>
                    <w:tl2br w:val="nil"/>
                    <w:tr2bl w:val="nil"/>
                  </w:tcBorders>
                  <w:vAlign w:val="center"/>
                </w:tcPr>
                <w:p w14:paraId="6C621565">
                  <w:pPr>
                    <w:adjustRightInd w:val="0"/>
                    <w:snapToGrid w:val="0"/>
                    <w:spacing w:line="300" w:lineRule="exact"/>
                    <w:jc w:val="center"/>
                    <w:rPr>
                      <w:color w:val="auto"/>
                      <w:kern w:val="0"/>
                      <w:szCs w:val="21"/>
                      <w:highlight w:val="none"/>
                    </w:rPr>
                  </w:pPr>
                  <w:r>
                    <w:rPr>
                      <w:rFonts w:hint="eastAsia"/>
                      <w:color w:val="auto"/>
                      <w:kern w:val="0"/>
                      <w:szCs w:val="21"/>
                      <w:highlight w:val="none"/>
                    </w:rPr>
                    <w:t>SW62</w:t>
                  </w:r>
                </w:p>
                <w:p w14:paraId="6242FD5D">
                  <w:pPr>
                    <w:adjustRightInd w:val="0"/>
                    <w:snapToGrid w:val="0"/>
                    <w:spacing w:line="300" w:lineRule="exact"/>
                    <w:jc w:val="center"/>
                    <w:rPr>
                      <w:color w:val="auto"/>
                      <w:kern w:val="0"/>
                      <w:szCs w:val="21"/>
                      <w:highlight w:val="none"/>
                    </w:rPr>
                  </w:pPr>
                  <w:r>
                    <w:rPr>
                      <w:rFonts w:hint="eastAsia"/>
                      <w:color w:val="auto"/>
                      <w:kern w:val="0"/>
                      <w:szCs w:val="21"/>
                      <w:highlight w:val="none"/>
                    </w:rPr>
                    <w:t>SW64</w:t>
                  </w:r>
                </w:p>
              </w:tc>
              <w:tc>
                <w:tcPr>
                  <w:tcW w:w="1511" w:type="dxa"/>
                  <w:tcBorders>
                    <w:tl2br w:val="nil"/>
                    <w:tr2bl w:val="nil"/>
                  </w:tcBorders>
                  <w:vAlign w:val="center"/>
                </w:tcPr>
                <w:p w14:paraId="4703DB1C">
                  <w:pPr>
                    <w:adjustRightInd w:val="0"/>
                    <w:snapToGrid w:val="0"/>
                    <w:spacing w:line="300" w:lineRule="exact"/>
                    <w:jc w:val="center"/>
                    <w:rPr>
                      <w:color w:val="auto"/>
                      <w:kern w:val="0"/>
                      <w:szCs w:val="21"/>
                      <w:highlight w:val="none"/>
                    </w:rPr>
                  </w:pPr>
                  <w:r>
                    <w:rPr>
                      <w:rFonts w:hint="eastAsia"/>
                      <w:color w:val="auto"/>
                      <w:kern w:val="0"/>
                      <w:szCs w:val="21"/>
                      <w:highlight w:val="none"/>
                    </w:rPr>
                    <w:t xml:space="preserve">900-001-S62 </w:t>
                  </w:r>
                </w:p>
                <w:p w14:paraId="2AB4C412">
                  <w:pPr>
                    <w:adjustRightInd w:val="0"/>
                    <w:snapToGrid w:val="0"/>
                    <w:spacing w:line="300" w:lineRule="exact"/>
                    <w:jc w:val="center"/>
                    <w:rPr>
                      <w:color w:val="auto"/>
                      <w:kern w:val="0"/>
                      <w:szCs w:val="21"/>
                      <w:highlight w:val="none"/>
                    </w:rPr>
                  </w:pPr>
                  <w:r>
                    <w:rPr>
                      <w:rFonts w:hint="eastAsia"/>
                      <w:color w:val="auto"/>
                      <w:kern w:val="0"/>
                      <w:szCs w:val="21"/>
                      <w:highlight w:val="none"/>
                    </w:rPr>
                    <w:t xml:space="preserve">900-099-S64 </w:t>
                  </w:r>
                </w:p>
              </w:tc>
              <w:tc>
                <w:tcPr>
                  <w:tcW w:w="1069" w:type="dxa"/>
                  <w:tcBorders>
                    <w:tl2br w:val="nil"/>
                    <w:tr2bl w:val="nil"/>
                  </w:tcBorders>
                  <w:vAlign w:val="center"/>
                </w:tcPr>
                <w:p w14:paraId="38A10B97">
                  <w:pPr>
                    <w:adjustRightInd w:val="0"/>
                    <w:snapToGrid w:val="0"/>
                    <w:spacing w:line="300" w:lineRule="exact"/>
                    <w:jc w:val="center"/>
                    <w:rPr>
                      <w:color w:val="auto"/>
                      <w:kern w:val="0"/>
                      <w:szCs w:val="21"/>
                      <w:highlight w:val="none"/>
                    </w:rPr>
                  </w:pPr>
                  <w:r>
                    <w:rPr>
                      <w:rFonts w:hint="eastAsia"/>
                      <w:color w:val="auto"/>
                      <w:kern w:val="0"/>
                      <w:szCs w:val="21"/>
                      <w:highlight w:val="none"/>
                    </w:rPr>
                    <w:t>0.60</w:t>
                  </w:r>
                </w:p>
              </w:tc>
              <w:tc>
                <w:tcPr>
                  <w:tcW w:w="2152" w:type="dxa"/>
                  <w:tcBorders>
                    <w:tl2br w:val="nil"/>
                    <w:tr2bl w:val="nil"/>
                  </w:tcBorders>
                  <w:vAlign w:val="center"/>
                </w:tcPr>
                <w:p w14:paraId="12968CD3">
                  <w:pPr>
                    <w:adjustRightInd w:val="0"/>
                    <w:snapToGrid w:val="0"/>
                    <w:spacing w:line="300" w:lineRule="exact"/>
                    <w:jc w:val="center"/>
                    <w:rPr>
                      <w:color w:val="auto"/>
                      <w:szCs w:val="21"/>
                      <w:highlight w:val="none"/>
                    </w:rPr>
                  </w:pPr>
                  <w:r>
                    <w:rPr>
                      <w:rFonts w:hint="eastAsia"/>
                      <w:color w:val="auto"/>
                      <w:szCs w:val="21"/>
                      <w:highlight w:val="none"/>
                    </w:rPr>
                    <w:t>交由环卫部门清运处置</w:t>
                  </w:r>
                </w:p>
              </w:tc>
            </w:tr>
            <w:tr w14:paraId="33DB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30" w:type="dxa"/>
                  <w:gridSpan w:val="2"/>
                  <w:tcBorders>
                    <w:tl2br w:val="nil"/>
                    <w:tr2bl w:val="nil"/>
                  </w:tcBorders>
                  <w:vAlign w:val="center"/>
                </w:tcPr>
                <w:p w14:paraId="240EB5C2">
                  <w:pPr>
                    <w:adjustRightInd w:val="0"/>
                    <w:snapToGrid w:val="0"/>
                    <w:spacing w:line="300" w:lineRule="exact"/>
                    <w:jc w:val="center"/>
                    <w:rPr>
                      <w:color w:val="auto"/>
                      <w:kern w:val="0"/>
                      <w:szCs w:val="21"/>
                      <w:highlight w:val="none"/>
                    </w:rPr>
                  </w:pPr>
                  <w:r>
                    <w:rPr>
                      <w:color w:val="auto"/>
                      <w:kern w:val="0"/>
                      <w:szCs w:val="21"/>
                      <w:highlight w:val="none"/>
                    </w:rPr>
                    <w:t>合计</w:t>
                  </w:r>
                </w:p>
              </w:tc>
              <w:tc>
                <w:tcPr>
                  <w:tcW w:w="1088" w:type="dxa"/>
                  <w:tcBorders>
                    <w:tl2br w:val="nil"/>
                    <w:tr2bl w:val="nil"/>
                  </w:tcBorders>
                  <w:vAlign w:val="center"/>
                </w:tcPr>
                <w:p w14:paraId="6E8D0680">
                  <w:pPr>
                    <w:adjustRightInd w:val="0"/>
                    <w:snapToGrid w:val="0"/>
                    <w:spacing w:line="300" w:lineRule="exact"/>
                    <w:jc w:val="center"/>
                    <w:rPr>
                      <w:color w:val="auto"/>
                      <w:kern w:val="0"/>
                      <w:szCs w:val="21"/>
                      <w:highlight w:val="none"/>
                    </w:rPr>
                  </w:pPr>
                  <w:r>
                    <w:rPr>
                      <w:rFonts w:hint="eastAsia"/>
                      <w:color w:val="auto"/>
                      <w:kern w:val="0"/>
                      <w:szCs w:val="21"/>
                      <w:highlight w:val="none"/>
                    </w:rPr>
                    <w:t>/</w:t>
                  </w:r>
                </w:p>
              </w:tc>
              <w:tc>
                <w:tcPr>
                  <w:tcW w:w="1511" w:type="dxa"/>
                  <w:tcBorders>
                    <w:tl2br w:val="nil"/>
                    <w:tr2bl w:val="nil"/>
                  </w:tcBorders>
                  <w:vAlign w:val="center"/>
                </w:tcPr>
                <w:p w14:paraId="3AB1338C">
                  <w:pPr>
                    <w:adjustRightInd w:val="0"/>
                    <w:snapToGrid w:val="0"/>
                    <w:spacing w:line="300" w:lineRule="exact"/>
                    <w:jc w:val="center"/>
                    <w:rPr>
                      <w:color w:val="auto"/>
                      <w:kern w:val="0"/>
                      <w:szCs w:val="21"/>
                      <w:highlight w:val="none"/>
                    </w:rPr>
                  </w:pPr>
                  <w:r>
                    <w:rPr>
                      <w:rFonts w:hint="eastAsia"/>
                      <w:color w:val="auto"/>
                      <w:kern w:val="0"/>
                      <w:szCs w:val="21"/>
                      <w:highlight w:val="none"/>
                    </w:rPr>
                    <w:t>/</w:t>
                  </w:r>
                </w:p>
              </w:tc>
              <w:tc>
                <w:tcPr>
                  <w:tcW w:w="1069" w:type="dxa"/>
                  <w:tcBorders>
                    <w:tl2br w:val="nil"/>
                    <w:tr2bl w:val="nil"/>
                  </w:tcBorders>
                  <w:vAlign w:val="center"/>
                </w:tcPr>
                <w:p w14:paraId="530E542A">
                  <w:pPr>
                    <w:adjustRightInd w:val="0"/>
                    <w:snapToGrid w:val="0"/>
                    <w:spacing w:line="300" w:lineRule="exact"/>
                    <w:jc w:val="center"/>
                    <w:rPr>
                      <w:color w:val="auto"/>
                      <w:kern w:val="0"/>
                      <w:szCs w:val="21"/>
                      <w:highlight w:val="none"/>
                    </w:rPr>
                  </w:pPr>
                  <w:r>
                    <w:rPr>
                      <w:rFonts w:hint="eastAsia"/>
                      <w:color w:val="auto"/>
                      <w:kern w:val="0"/>
                      <w:szCs w:val="21"/>
                      <w:highlight w:val="none"/>
                    </w:rPr>
                    <w:t>339.875</w:t>
                  </w:r>
                </w:p>
              </w:tc>
              <w:tc>
                <w:tcPr>
                  <w:tcW w:w="2152" w:type="dxa"/>
                  <w:tcBorders>
                    <w:tl2br w:val="nil"/>
                    <w:tr2bl w:val="nil"/>
                  </w:tcBorders>
                  <w:vAlign w:val="center"/>
                </w:tcPr>
                <w:p w14:paraId="6EBDA3B0">
                  <w:pPr>
                    <w:adjustRightInd w:val="0"/>
                    <w:snapToGrid w:val="0"/>
                    <w:spacing w:line="300" w:lineRule="exact"/>
                    <w:jc w:val="center"/>
                    <w:rPr>
                      <w:color w:val="auto"/>
                      <w:kern w:val="0"/>
                      <w:szCs w:val="21"/>
                      <w:highlight w:val="none"/>
                    </w:rPr>
                  </w:pPr>
                  <w:r>
                    <w:rPr>
                      <w:color w:val="auto"/>
                      <w:kern w:val="0"/>
                      <w:szCs w:val="21"/>
                      <w:highlight w:val="none"/>
                    </w:rPr>
                    <w:t>/</w:t>
                  </w:r>
                </w:p>
              </w:tc>
            </w:tr>
          </w:tbl>
          <w:p w14:paraId="7B7D2DAB">
            <w:pPr>
              <w:adjustRightInd w:val="0"/>
              <w:snapToGrid w:val="0"/>
              <w:spacing w:line="460" w:lineRule="exact"/>
              <w:rPr>
                <w:rFonts w:ascii="宋体" w:hAnsi="宋体" w:cs="宋体"/>
                <w:b/>
                <w:color w:val="auto"/>
                <w:spacing w:val="-10"/>
                <w:sz w:val="24"/>
                <w:highlight w:val="none"/>
              </w:rPr>
            </w:pPr>
            <w:r>
              <w:rPr>
                <w:rFonts w:hint="eastAsia"/>
                <w:b/>
                <w:color w:val="auto"/>
                <w:spacing w:val="-10"/>
                <w:sz w:val="24"/>
                <w:highlight w:val="none"/>
              </w:rPr>
              <w:t>4.2.4.2</w:t>
            </w:r>
            <w:r>
              <w:rPr>
                <w:rFonts w:hint="eastAsia" w:ascii="宋体" w:hAnsi="宋体" w:cs="宋体"/>
                <w:b/>
                <w:color w:val="auto"/>
                <w:spacing w:val="-10"/>
                <w:sz w:val="24"/>
                <w:highlight w:val="none"/>
              </w:rPr>
              <w:t>固体废物处理措施、影响分析</w:t>
            </w:r>
          </w:p>
          <w:p w14:paraId="37FCE957">
            <w:pPr>
              <w:adjustRightInd w:val="0"/>
              <w:snapToGrid w:val="0"/>
              <w:spacing w:line="460" w:lineRule="exact"/>
              <w:ind w:left="-20" w:firstLine="440"/>
              <w:rPr>
                <w:b/>
                <w:bCs/>
                <w:color w:val="auto"/>
                <w:sz w:val="24"/>
                <w:highlight w:val="none"/>
              </w:rPr>
            </w:pPr>
            <w:r>
              <w:rPr>
                <w:rFonts w:hint="eastAsia"/>
                <w:b/>
                <w:bCs/>
                <w:color w:val="auto"/>
                <w:sz w:val="24"/>
                <w:highlight w:val="none"/>
              </w:rPr>
              <w:t>（1）处理措施</w:t>
            </w:r>
          </w:p>
          <w:p w14:paraId="04FD87AF">
            <w:pPr>
              <w:adjustRightInd w:val="0"/>
              <w:snapToGrid w:val="0"/>
              <w:spacing w:line="460" w:lineRule="exact"/>
              <w:ind w:left="-20" w:firstLine="440"/>
              <w:rPr>
                <w:bCs/>
                <w:color w:val="auto"/>
                <w:spacing w:val="-10"/>
                <w:sz w:val="24"/>
                <w:highlight w:val="none"/>
              </w:rPr>
            </w:pPr>
            <w:r>
              <w:rPr>
                <w:rFonts w:hint="eastAsia"/>
                <w:color w:val="auto"/>
                <w:sz w:val="24"/>
                <w:highlight w:val="none"/>
              </w:rPr>
              <w:t>本项目产生的</w:t>
            </w:r>
            <w:r>
              <w:rPr>
                <w:rFonts w:hint="eastAsia"/>
                <w:bCs/>
                <w:color w:val="auto"/>
                <w:spacing w:val="-10"/>
                <w:sz w:val="24"/>
                <w:highlight w:val="none"/>
              </w:rPr>
              <w:t>不合格葛根及葛根渣、清洗废水沉淀的泥沙等共计336.96t/a，交由重庆市合川区钵耳山高粱种植农民专业合作社综合利用，用于农业生产、土壤改良、农作物种植等。本项目设置10m</w:t>
            </w:r>
            <w:r>
              <w:rPr>
                <w:rFonts w:hint="eastAsia"/>
                <w:bCs/>
                <w:color w:val="auto"/>
                <w:spacing w:val="-10"/>
                <w:sz w:val="24"/>
                <w:highlight w:val="none"/>
                <w:vertAlign w:val="superscript"/>
              </w:rPr>
              <w:t>2</w:t>
            </w:r>
            <w:r>
              <w:rPr>
                <w:rFonts w:hint="eastAsia"/>
                <w:bCs/>
                <w:color w:val="auto"/>
                <w:spacing w:val="-10"/>
                <w:sz w:val="24"/>
                <w:highlight w:val="none"/>
              </w:rPr>
              <w:t>的一般工业固废暂存间，内设12个250</w:t>
            </w:r>
            <w:r>
              <w:rPr>
                <w:rFonts w:hint="eastAsia"/>
                <w:bCs/>
                <w:color w:val="auto"/>
                <w:spacing w:val="-10"/>
                <w:sz w:val="24"/>
                <w:highlight w:val="none"/>
                <w:lang w:val="en-US" w:eastAsia="zh-CN"/>
              </w:rPr>
              <w:t xml:space="preserve"> </w:t>
            </w:r>
            <w:r>
              <w:rPr>
                <w:rFonts w:hint="eastAsia"/>
                <w:bCs/>
                <w:color w:val="auto"/>
                <w:spacing w:val="-10"/>
                <w:sz w:val="24"/>
                <w:highlight w:val="none"/>
              </w:rPr>
              <w:t>L固废收集桶，产生的不合格葛根及葛根渣等做到日产日清，防止暂存时间过长产生异味气体造成二次污染。</w:t>
            </w:r>
          </w:p>
          <w:p w14:paraId="6421C337">
            <w:pPr>
              <w:adjustRightInd w:val="0"/>
              <w:snapToGrid w:val="0"/>
              <w:spacing w:line="460" w:lineRule="exact"/>
              <w:ind w:left="-20" w:firstLine="440"/>
              <w:rPr>
                <w:bCs/>
                <w:color w:val="auto"/>
                <w:spacing w:val="-10"/>
                <w:sz w:val="24"/>
                <w:highlight w:val="none"/>
              </w:rPr>
            </w:pPr>
            <w:r>
              <w:rPr>
                <w:rFonts w:hint="eastAsia"/>
                <w:bCs/>
                <w:color w:val="auto"/>
                <w:spacing w:val="-10"/>
                <w:sz w:val="24"/>
                <w:highlight w:val="none"/>
              </w:rPr>
              <w:t>本项目产生的废包装收集后出售给废品回收单位。</w:t>
            </w:r>
          </w:p>
          <w:p w14:paraId="332473F3">
            <w:pPr>
              <w:spacing w:line="440" w:lineRule="exact"/>
              <w:ind w:firstLine="480" w:firstLineChars="200"/>
              <w:rPr>
                <w:color w:val="auto"/>
                <w:sz w:val="24"/>
                <w:highlight w:val="none"/>
              </w:rPr>
            </w:pPr>
            <w:r>
              <w:rPr>
                <w:rFonts w:hint="eastAsia"/>
                <w:color w:val="auto"/>
                <w:sz w:val="24"/>
                <w:highlight w:val="none"/>
              </w:rPr>
              <w:t>本项目废水处理系统产生的污泥2.215t/a，进入生活垃圾填埋场处理。</w:t>
            </w:r>
          </w:p>
          <w:p w14:paraId="5C360854">
            <w:pPr>
              <w:spacing w:line="440" w:lineRule="exact"/>
              <w:ind w:firstLine="480" w:firstLineChars="200"/>
              <w:rPr>
                <w:color w:val="auto"/>
                <w:sz w:val="24"/>
                <w:highlight w:val="none"/>
              </w:rPr>
            </w:pPr>
            <w:r>
              <w:rPr>
                <w:rFonts w:hint="eastAsia"/>
                <w:color w:val="auto"/>
                <w:sz w:val="24"/>
                <w:highlight w:val="none"/>
              </w:rPr>
              <w:t>本项目工作人员产生的生活垃圾依托厨鼎食品公司生活垃圾收集箱收集后，交由环卫部门统一清运处置。</w:t>
            </w:r>
          </w:p>
          <w:p w14:paraId="54F046BF">
            <w:pPr>
              <w:spacing w:line="440" w:lineRule="exact"/>
              <w:ind w:firstLine="482" w:firstLineChars="200"/>
              <w:rPr>
                <w:b/>
                <w:bCs/>
                <w:color w:val="auto"/>
                <w:sz w:val="24"/>
                <w:highlight w:val="none"/>
              </w:rPr>
            </w:pPr>
            <w:r>
              <w:rPr>
                <w:rFonts w:hint="eastAsia"/>
                <w:b/>
                <w:bCs/>
                <w:color w:val="auto"/>
                <w:sz w:val="24"/>
                <w:highlight w:val="none"/>
              </w:rPr>
              <w:t>（2）管理要求</w:t>
            </w:r>
          </w:p>
          <w:p w14:paraId="60F52B71">
            <w:pPr>
              <w:spacing w:line="440" w:lineRule="exact"/>
              <w:ind w:firstLine="480" w:firstLineChars="200"/>
              <w:rPr>
                <w:color w:val="auto"/>
                <w:sz w:val="24"/>
                <w:highlight w:val="none"/>
              </w:rPr>
            </w:pPr>
            <w:r>
              <w:rPr>
                <w:color w:val="auto"/>
                <w:kern w:val="0"/>
                <w:sz w:val="24"/>
                <w:highlight w:val="none"/>
              </w:rPr>
              <w:t>根据《一般工业固体废物贮存和填埋污染控制标准》（GB</w:t>
            </w:r>
            <w:r>
              <w:rPr>
                <w:rFonts w:hint="eastAsia"/>
                <w:color w:val="auto"/>
                <w:kern w:val="0"/>
                <w:sz w:val="24"/>
                <w:highlight w:val="none"/>
              </w:rPr>
              <w:t xml:space="preserve"> </w:t>
            </w:r>
            <w:r>
              <w:rPr>
                <w:color w:val="auto"/>
                <w:kern w:val="0"/>
                <w:sz w:val="24"/>
                <w:highlight w:val="none"/>
              </w:rPr>
              <w:t>18599</w:t>
            </w:r>
            <w:r>
              <w:rPr>
                <w:rFonts w:hint="eastAsia" w:ascii="宋体" w:hAnsi="宋体" w:cs="宋体"/>
                <w:color w:val="auto"/>
                <w:kern w:val="0"/>
                <w:sz w:val="24"/>
                <w:highlight w:val="none"/>
              </w:rPr>
              <w:t>-</w:t>
            </w:r>
            <w:r>
              <w:rPr>
                <w:color w:val="auto"/>
                <w:kern w:val="0"/>
                <w:sz w:val="24"/>
                <w:highlight w:val="none"/>
              </w:rPr>
              <w:t>2020）</w:t>
            </w:r>
            <w:r>
              <w:rPr>
                <w:rFonts w:hint="eastAsia"/>
                <w:color w:val="auto"/>
                <w:kern w:val="0"/>
                <w:sz w:val="24"/>
                <w:highlight w:val="none"/>
              </w:rPr>
              <w:t>，</w:t>
            </w:r>
            <w:r>
              <w:rPr>
                <w:color w:val="auto"/>
                <w:kern w:val="0"/>
                <w:sz w:val="24"/>
                <w:highlight w:val="none"/>
              </w:rPr>
              <w:t>本项目</w:t>
            </w:r>
            <w:r>
              <w:rPr>
                <w:color w:val="auto"/>
                <w:kern w:val="0"/>
                <w:sz w:val="24"/>
                <w:highlight w:val="none"/>
                <w:lang w:bidi="ar"/>
              </w:rPr>
              <w:t>采用库房、包装工具（罐、桶、包装袋等）贮存一般工业固体废物过程的污染控制，不适用</w:t>
            </w:r>
            <w:r>
              <w:rPr>
                <w:rFonts w:hint="eastAsia"/>
                <w:color w:val="auto"/>
                <w:kern w:val="0"/>
                <w:sz w:val="24"/>
                <w:highlight w:val="none"/>
                <w:lang w:bidi="ar"/>
              </w:rPr>
              <w:t>于该</w:t>
            </w:r>
            <w:r>
              <w:rPr>
                <w:color w:val="auto"/>
                <w:kern w:val="0"/>
                <w:sz w:val="24"/>
                <w:highlight w:val="none"/>
                <w:lang w:bidi="ar"/>
              </w:rPr>
              <w:t>标准，</w:t>
            </w:r>
            <w:r>
              <w:rPr>
                <w:rFonts w:hint="eastAsia"/>
                <w:color w:val="auto"/>
                <w:kern w:val="0"/>
                <w:sz w:val="24"/>
                <w:highlight w:val="none"/>
                <w:lang w:bidi="ar"/>
              </w:rPr>
              <w:t>因此本项目产生的一般工业固体废物</w:t>
            </w:r>
            <w:r>
              <w:rPr>
                <w:color w:val="auto"/>
                <w:kern w:val="0"/>
                <w:sz w:val="24"/>
                <w:highlight w:val="none"/>
                <w:lang w:bidi="ar"/>
              </w:rPr>
              <w:t>贮存过程应满足相应防渗漏、防雨淋、防扬尘等环境保护要求。</w:t>
            </w:r>
          </w:p>
          <w:p w14:paraId="582927EC">
            <w:pPr>
              <w:spacing w:line="440" w:lineRule="exact"/>
              <w:ind w:firstLine="480" w:firstLineChars="200"/>
              <w:rPr>
                <w:color w:val="auto"/>
                <w:sz w:val="24"/>
                <w:highlight w:val="none"/>
              </w:rPr>
            </w:pPr>
            <w:r>
              <w:rPr>
                <w:rFonts w:hint="eastAsia"/>
                <w:color w:val="auto"/>
                <w:sz w:val="24"/>
                <w:highlight w:val="none"/>
              </w:rPr>
              <w:t>项目运行过程中严格按照《一般工业固体废物管理台账制定指南（试行）》（生态环境部公告2021年第82号）要求建立分类管理台账，如实规范记录一般固体废物的种类、数量、流向、贮存、利用及处置等信息，并对台账记录信息真实性、完整性和规范性负责。台账保存期限不少于5年，实现固体废物处置可追溯、可查询。</w:t>
            </w:r>
          </w:p>
          <w:p w14:paraId="02304E5A">
            <w:pPr>
              <w:spacing w:line="440" w:lineRule="exact"/>
              <w:ind w:firstLine="480" w:firstLineChars="200"/>
              <w:rPr>
                <w:color w:val="auto"/>
                <w:sz w:val="24"/>
                <w:highlight w:val="none"/>
              </w:rPr>
            </w:pPr>
            <w:r>
              <w:rPr>
                <w:rFonts w:hint="eastAsia"/>
                <w:color w:val="auto"/>
                <w:sz w:val="24"/>
                <w:highlight w:val="none"/>
              </w:rPr>
              <w:t>按照《环境保护图形标志－固体废物贮存（处置）场》（GB15562.2）等要求设置图形标志。</w:t>
            </w:r>
          </w:p>
          <w:p w14:paraId="72014CB2">
            <w:pPr>
              <w:widowControl/>
              <w:spacing w:line="440" w:lineRule="exact"/>
              <w:ind w:firstLine="480"/>
              <w:rPr>
                <w:rFonts w:ascii="宋体" w:hAnsi="宋体" w:cs="宋体"/>
                <w:color w:val="auto"/>
                <w:kern w:val="0"/>
                <w:sz w:val="24"/>
                <w:highlight w:val="none"/>
              </w:rPr>
            </w:pPr>
            <w:r>
              <w:rPr>
                <w:rFonts w:hint="eastAsia"/>
                <w:color w:val="auto"/>
                <w:sz w:val="24"/>
                <w:highlight w:val="none"/>
              </w:rPr>
              <w:t>通过采取上述处理措施，本项目产生的固体废物</w:t>
            </w:r>
            <w:r>
              <w:rPr>
                <w:rFonts w:hint="eastAsia" w:ascii="宋体" w:hAnsi="宋体" w:cs="宋体"/>
                <w:color w:val="auto"/>
                <w:kern w:val="0"/>
                <w:sz w:val="24"/>
                <w:highlight w:val="none"/>
              </w:rPr>
              <w:t>去向明确，均得到妥善处理，可有效防止固体废物的逸散和对环境造成二次污染，不会对环境产生不利影响。</w:t>
            </w:r>
          </w:p>
          <w:p w14:paraId="3EC55A43">
            <w:pPr>
              <w:adjustRightInd w:val="0"/>
              <w:snapToGrid w:val="0"/>
              <w:spacing w:line="460" w:lineRule="exact"/>
              <w:rPr>
                <w:rFonts w:ascii="宋体" w:hAnsi="宋体" w:cs="宋体"/>
                <w:b/>
                <w:bCs/>
                <w:color w:val="auto"/>
                <w:kern w:val="0"/>
                <w:sz w:val="24"/>
                <w:highlight w:val="none"/>
                <w:lang w:bidi="ar"/>
              </w:rPr>
            </w:pPr>
            <w:r>
              <w:rPr>
                <w:b/>
                <w:bCs/>
                <w:color w:val="auto"/>
                <w:kern w:val="0"/>
                <w:sz w:val="24"/>
                <w:highlight w:val="none"/>
                <w:lang w:bidi="ar"/>
              </w:rPr>
              <w:t>4.2.5</w:t>
            </w:r>
            <w:r>
              <w:rPr>
                <w:rFonts w:hint="eastAsia" w:ascii="宋体" w:hAnsi="宋体" w:cs="宋体"/>
                <w:b/>
                <w:bCs/>
                <w:color w:val="auto"/>
                <w:kern w:val="0"/>
                <w:sz w:val="24"/>
                <w:highlight w:val="none"/>
                <w:lang w:bidi="ar"/>
              </w:rPr>
              <w:t>地下水、土壤环境影响分析</w:t>
            </w:r>
          </w:p>
          <w:p w14:paraId="3108DE42">
            <w:pPr>
              <w:adjustRightInd w:val="0"/>
              <w:snapToGrid w:val="0"/>
              <w:spacing w:line="460" w:lineRule="exact"/>
              <w:ind w:firstLine="480" w:firstLineChars="200"/>
              <w:rPr>
                <w:color w:val="auto"/>
                <w:kern w:val="0"/>
                <w:sz w:val="24"/>
                <w:highlight w:val="none"/>
                <w:lang w:bidi="ar"/>
              </w:rPr>
            </w:pPr>
            <w:r>
              <w:rPr>
                <w:color w:val="auto"/>
                <w:kern w:val="0"/>
                <w:sz w:val="24"/>
                <w:highlight w:val="none"/>
                <w:lang w:bidi="ar"/>
              </w:rPr>
              <w:t>本项目以鲜葛根生产葛根粉，属于农副食品加工，生产过程中不涉及易燃易爆和有毒有害危险物质。根据《环境影响评价技术导则 地下水环境》（HJ610-2016），结合项目实际情况对厂区进行分区防渗。</w:t>
            </w:r>
          </w:p>
          <w:p w14:paraId="69198A77">
            <w:pPr>
              <w:adjustRightInd w:val="0"/>
              <w:snapToGrid w:val="0"/>
              <w:spacing w:line="460" w:lineRule="exact"/>
              <w:ind w:firstLine="482" w:firstLineChars="200"/>
              <w:rPr>
                <w:b/>
                <w:bCs/>
                <w:color w:val="auto"/>
                <w:kern w:val="0"/>
                <w:sz w:val="24"/>
                <w:highlight w:val="none"/>
                <w:lang w:bidi="ar"/>
              </w:rPr>
            </w:pPr>
            <w:r>
              <w:rPr>
                <w:b/>
                <w:bCs/>
                <w:color w:val="auto"/>
                <w:kern w:val="0"/>
                <w:sz w:val="24"/>
                <w:highlight w:val="none"/>
                <w:lang w:bidi="ar"/>
              </w:rPr>
              <w:t>（1）重点防渗区</w:t>
            </w:r>
          </w:p>
          <w:p w14:paraId="5EE87E34">
            <w:pPr>
              <w:adjustRightInd w:val="0"/>
              <w:snapToGrid w:val="0"/>
              <w:spacing w:line="460" w:lineRule="exact"/>
              <w:ind w:firstLine="480" w:firstLineChars="200"/>
              <w:rPr>
                <w:color w:val="auto"/>
                <w:kern w:val="0"/>
                <w:sz w:val="24"/>
                <w:highlight w:val="none"/>
                <w:lang w:bidi="ar"/>
              </w:rPr>
            </w:pPr>
            <w:r>
              <w:rPr>
                <w:color w:val="auto"/>
                <w:kern w:val="0"/>
                <w:sz w:val="24"/>
                <w:highlight w:val="none"/>
                <w:lang w:bidi="ar"/>
              </w:rPr>
              <w:t>本项目废水处理设施区域为重点防渗区，防渗性能要求应满足《环境影响评价技术导则  地下水环境》（HJ610-2016）中等效黏土防渗层厚度Mb≥6.0m，渗透系数K≤1×10</w:t>
            </w:r>
            <w:r>
              <w:rPr>
                <w:rFonts w:hint="eastAsia"/>
                <w:color w:val="auto"/>
                <w:kern w:val="0"/>
                <w:sz w:val="24"/>
                <w:highlight w:val="none"/>
                <w:vertAlign w:val="superscript"/>
                <w:lang w:bidi="ar"/>
              </w:rPr>
              <w:t>-</w:t>
            </w:r>
            <w:r>
              <w:rPr>
                <w:color w:val="auto"/>
                <w:kern w:val="0"/>
                <w:sz w:val="24"/>
                <w:highlight w:val="none"/>
                <w:vertAlign w:val="superscript"/>
                <w:lang w:bidi="ar"/>
              </w:rPr>
              <w:t>7</w:t>
            </w:r>
            <w:r>
              <w:rPr>
                <w:color w:val="auto"/>
                <w:kern w:val="0"/>
                <w:sz w:val="24"/>
                <w:highlight w:val="none"/>
                <w:lang w:bidi="ar"/>
              </w:rPr>
              <w:t>cm/s的要求。</w:t>
            </w:r>
          </w:p>
          <w:p w14:paraId="2F4F2D49">
            <w:pPr>
              <w:adjustRightInd w:val="0"/>
              <w:snapToGrid w:val="0"/>
              <w:spacing w:line="460" w:lineRule="exact"/>
              <w:ind w:firstLine="482" w:firstLineChars="200"/>
              <w:rPr>
                <w:b/>
                <w:bCs/>
                <w:color w:val="auto"/>
                <w:kern w:val="0"/>
                <w:sz w:val="24"/>
                <w:highlight w:val="none"/>
                <w:lang w:bidi="ar"/>
              </w:rPr>
            </w:pPr>
            <w:r>
              <w:rPr>
                <w:b/>
                <w:bCs/>
                <w:color w:val="auto"/>
                <w:kern w:val="0"/>
                <w:sz w:val="24"/>
                <w:highlight w:val="none"/>
                <w:lang w:bidi="ar"/>
              </w:rPr>
              <w:t>（2）一般防渗区</w:t>
            </w:r>
          </w:p>
          <w:p w14:paraId="449A75F5">
            <w:pPr>
              <w:adjustRightInd w:val="0"/>
              <w:snapToGrid w:val="0"/>
              <w:spacing w:line="460" w:lineRule="exact"/>
              <w:ind w:firstLine="480" w:firstLineChars="200"/>
              <w:rPr>
                <w:color w:val="auto"/>
                <w:kern w:val="0"/>
                <w:sz w:val="24"/>
                <w:highlight w:val="none"/>
                <w:lang w:bidi="ar"/>
              </w:rPr>
            </w:pPr>
            <w:r>
              <w:rPr>
                <w:color w:val="auto"/>
                <w:kern w:val="0"/>
                <w:sz w:val="24"/>
                <w:highlight w:val="none"/>
                <w:lang w:bidi="ar"/>
              </w:rPr>
              <w:t>本项目主要为一般工业固废暂存间和生产车间，采取防腐防渗措施，防渗性能要求应满足《环境影响评价技术导则  地下水环境》（HJ610-2016）中等效粘土防渗层 Mb≥1.5m，K≤1×10-7 cm/s的要求。</w:t>
            </w:r>
          </w:p>
          <w:p w14:paraId="4FA1B4B8">
            <w:pPr>
              <w:adjustRightInd w:val="0"/>
              <w:snapToGrid w:val="0"/>
              <w:spacing w:line="460" w:lineRule="exact"/>
              <w:ind w:firstLine="482" w:firstLineChars="200"/>
              <w:rPr>
                <w:b/>
                <w:bCs/>
                <w:color w:val="auto"/>
                <w:kern w:val="0"/>
                <w:sz w:val="24"/>
                <w:highlight w:val="none"/>
                <w:lang w:bidi="ar"/>
              </w:rPr>
            </w:pPr>
            <w:r>
              <w:rPr>
                <w:b/>
                <w:bCs/>
                <w:color w:val="auto"/>
                <w:kern w:val="0"/>
                <w:sz w:val="24"/>
                <w:highlight w:val="none"/>
                <w:lang w:bidi="ar"/>
              </w:rPr>
              <w:t>（3）简单防渗区</w:t>
            </w:r>
          </w:p>
          <w:p w14:paraId="641D296D">
            <w:pPr>
              <w:adjustRightInd w:val="0"/>
              <w:snapToGrid w:val="0"/>
              <w:spacing w:line="460" w:lineRule="exact"/>
              <w:ind w:firstLine="480" w:firstLineChars="200"/>
              <w:rPr>
                <w:color w:val="auto"/>
                <w:kern w:val="0"/>
                <w:sz w:val="24"/>
                <w:highlight w:val="none"/>
                <w:lang w:bidi="ar"/>
              </w:rPr>
            </w:pPr>
            <w:r>
              <w:rPr>
                <w:color w:val="auto"/>
                <w:kern w:val="0"/>
                <w:sz w:val="24"/>
                <w:highlight w:val="none"/>
                <w:lang w:bidi="ar"/>
              </w:rPr>
              <w:t>简单防渗区主要为做好地面硬化，主要为办公楼和其他区域，厂区已做好地面硬化。</w:t>
            </w:r>
          </w:p>
          <w:p w14:paraId="742BCE67">
            <w:pPr>
              <w:adjustRightInd w:val="0"/>
              <w:snapToGrid w:val="0"/>
              <w:spacing w:line="460" w:lineRule="exact"/>
              <w:ind w:firstLine="480" w:firstLineChars="200"/>
              <w:rPr>
                <w:color w:val="auto"/>
                <w:kern w:val="0"/>
                <w:sz w:val="24"/>
                <w:highlight w:val="none"/>
                <w:lang w:bidi="ar"/>
              </w:rPr>
            </w:pPr>
            <w:r>
              <w:rPr>
                <w:color w:val="auto"/>
                <w:kern w:val="0"/>
                <w:sz w:val="24"/>
                <w:highlight w:val="none"/>
                <w:lang w:bidi="ar"/>
              </w:rPr>
              <w:t>采取上述措施后，项目对地下水和土壤基本不会造成明显影响。</w:t>
            </w:r>
          </w:p>
          <w:p w14:paraId="00C793AB">
            <w:pPr>
              <w:adjustRightInd w:val="0"/>
              <w:snapToGrid w:val="0"/>
              <w:spacing w:line="460" w:lineRule="exact"/>
              <w:rPr>
                <w:b/>
                <w:bCs/>
                <w:color w:val="auto"/>
                <w:kern w:val="0"/>
                <w:sz w:val="24"/>
                <w:highlight w:val="none"/>
                <w:lang w:bidi="ar"/>
              </w:rPr>
            </w:pPr>
            <w:r>
              <w:rPr>
                <w:b/>
                <w:bCs/>
                <w:color w:val="auto"/>
                <w:kern w:val="0"/>
                <w:sz w:val="24"/>
                <w:highlight w:val="none"/>
                <w:lang w:bidi="ar"/>
              </w:rPr>
              <w:t>4.2.6环境风险</w:t>
            </w:r>
          </w:p>
          <w:p w14:paraId="204802CF">
            <w:pPr>
              <w:adjustRightInd w:val="0"/>
              <w:snapToGrid w:val="0"/>
              <w:spacing w:line="460" w:lineRule="exact"/>
              <w:ind w:firstLine="482" w:firstLineChars="200"/>
              <w:rPr>
                <w:b/>
                <w:bCs/>
                <w:color w:val="auto"/>
                <w:kern w:val="0"/>
                <w:sz w:val="24"/>
                <w:highlight w:val="none"/>
                <w:lang w:bidi="ar"/>
              </w:rPr>
            </w:pPr>
            <w:r>
              <w:rPr>
                <w:b/>
                <w:bCs/>
                <w:color w:val="auto"/>
                <w:kern w:val="0"/>
                <w:sz w:val="24"/>
                <w:highlight w:val="none"/>
                <w:lang w:bidi="ar"/>
              </w:rPr>
              <w:t>（1）环境风险物质</w:t>
            </w:r>
          </w:p>
          <w:p w14:paraId="28713EEA">
            <w:pPr>
              <w:adjustRightInd w:val="0"/>
              <w:snapToGrid w:val="0"/>
              <w:spacing w:line="460" w:lineRule="exact"/>
              <w:ind w:firstLine="480" w:firstLineChars="200"/>
              <w:rPr>
                <w:color w:val="auto"/>
                <w:kern w:val="0"/>
                <w:sz w:val="24"/>
                <w:highlight w:val="none"/>
                <w:lang w:bidi="ar"/>
              </w:rPr>
            </w:pPr>
            <w:r>
              <w:rPr>
                <w:color w:val="auto"/>
                <w:kern w:val="0"/>
                <w:sz w:val="24"/>
                <w:highlight w:val="none"/>
                <w:lang w:bidi="ar"/>
              </w:rPr>
              <w:t>本项目原料为新鲜葛根，生产过程中不涉及易燃易爆和有毒有害危险物质。</w:t>
            </w:r>
          </w:p>
          <w:p w14:paraId="05CAFCBD">
            <w:pPr>
              <w:adjustRightInd w:val="0"/>
              <w:snapToGrid w:val="0"/>
              <w:spacing w:line="460" w:lineRule="exact"/>
              <w:ind w:firstLine="482" w:firstLineChars="200"/>
              <w:rPr>
                <w:b/>
                <w:bCs/>
                <w:color w:val="auto"/>
                <w:kern w:val="0"/>
                <w:sz w:val="24"/>
                <w:highlight w:val="none"/>
                <w:lang w:bidi="ar"/>
              </w:rPr>
            </w:pPr>
            <w:r>
              <w:rPr>
                <w:b/>
                <w:bCs/>
                <w:color w:val="auto"/>
                <w:kern w:val="0"/>
                <w:sz w:val="24"/>
                <w:highlight w:val="none"/>
                <w:lang w:bidi="ar"/>
              </w:rPr>
              <w:t>（2）风险防范应急措施</w:t>
            </w:r>
          </w:p>
          <w:p w14:paraId="24CF5991">
            <w:pPr>
              <w:adjustRightInd w:val="0"/>
              <w:snapToGrid w:val="0"/>
              <w:spacing w:line="460" w:lineRule="exact"/>
              <w:ind w:firstLine="480" w:firstLineChars="200"/>
              <w:rPr>
                <w:color w:val="auto"/>
                <w:kern w:val="0"/>
                <w:sz w:val="24"/>
                <w:highlight w:val="none"/>
                <w:lang w:bidi="ar"/>
              </w:rPr>
            </w:pPr>
            <w:r>
              <w:rPr>
                <w:color w:val="auto"/>
                <w:kern w:val="0"/>
                <w:sz w:val="24"/>
                <w:highlight w:val="none"/>
                <w:lang w:bidi="ar"/>
              </w:rPr>
              <w:t>本项目生产过程中产生生产废水，废水管道可视化，并对废水处理设施区域进行重点防渗。</w:t>
            </w:r>
          </w:p>
          <w:p w14:paraId="78CA5209">
            <w:pPr>
              <w:adjustRightInd w:val="0"/>
              <w:snapToGrid w:val="0"/>
              <w:spacing w:line="460" w:lineRule="exact"/>
              <w:ind w:firstLine="480" w:firstLineChars="200"/>
              <w:rPr>
                <w:color w:val="auto"/>
                <w:kern w:val="0"/>
                <w:sz w:val="24"/>
                <w:highlight w:val="none"/>
                <w:lang w:bidi="ar"/>
              </w:rPr>
            </w:pPr>
            <w:r>
              <w:rPr>
                <w:color w:val="auto"/>
                <w:kern w:val="0"/>
                <w:sz w:val="24"/>
                <w:highlight w:val="none"/>
                <w:lang w:bidi="ar"/>
              </w:rPr>
              <w:t>建议企业建立健全的管理制度，全面落实安全生产责任制。</w:t>
            </w:r>
            <w:r>
              <w:rPr>
                <w:rFonts w:hint="eastAsia"/>
                <w:color w:val="auto"/>
                <w:kern w:val="0"/>
                <w:sz w:val="24"/>
                <w:highlight w:val="none"/>
                <w:lang w:bidi="ar"/>
              </w:rPr>
              <w:t>认真做好</w:t>
            </w:r>
            <w:r>
              <w:rPr>
                <w:color w:val="auto"/>
                <w:kern w:val="0"/>
                <w:sz w:val="24"/>
                <w:highlight w:val="none"/>
                <w:lang w:bidi="ar"/>
              </w:rPr>
              <w:t>安全检查记录，对发现的异常情况、安全隐患必须及时报告并在符合安全条件的情况下立即整改。</w:t>
            </w:r>
          </w:p>
          <w:p w14:paraId="0638DBA9">
            <w:pPr>
              <w:adjustRightInd w:val="0"/>
              <w:snapToGrid w:val="0"/>
              <w:spacing w:line="460" w:lineRule="exact"/>
              <w:ind w:firstLine="480" w:firstLineChars="200"/>
              <w:rPr>
                <w:rFonts w:ascii="宋体" w:hAnsi="宋体" w:cs="宋体"/>
                <w:color w:val="auto"/>
                <w:kern w:val="0"/>
                <w:sz w:val="24"/>
                <w:highlight w:val="none"/>
                <w:lang w:bidi="ar"/>
              </w:rPr>
            </w:pPr>
            <w:r>
              <w:rPr>
                <w:color w:val="auto"/>
                <w:kern w:val="0"/>
                <w:sz w:val="24"/>
                <w:highlight w:val="none"/>
                <w:lang w:bidi="ar"/>
              </w:rPr>
              <w:t>综上所述采取了相应的风险防范措施后，项目环境风险水平可接受。</w:t>
            </w:r>
          </w:p>
        </w:tc>
      </w:tr>
    </w:tbl>
    <w:p w14:paraId="256EAC55">
      <w:pPr>
        <w:adjustRightInd w:val="0"/>
        <w:snapToGrid w:val="0"/>
        <w:spacing w:line="360" w:lineRule="auto"/>
        <w:rPr>
          <w:rFonts w:ascii="宋体" w:cs="宋体"/>
          <w:b/>
          <w:color w:val="auto"/>
          <w:kern w:val="0"/>
          <w:sz w:val="28"/>
          <w:szCs w:val="28"/>
          <w:highlight w:val="none"/>
        </w:rPr>
        <w:sectPr>
          <w:pgSz w:w="11907" w:h="16840"/>
          <w:pgMar w:top="1701" w:right="1531" w:bottom="2127" w:left="1531" w:header="851" w:footer="851" w:gutter="0"/>
          <w:cols w:space="720" w:num="1"/>
          <w:docGrid w:linePitch="312" w:charSpace="0"/>
        </w:sectPr>
      </w:pPr>
    </w:p>
    <w:p w14:paraId="4F1002BC">
      <w:pPr>
        <w:pStyle w:val="1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1" w:name="_Hlk54167917"/>
      <w:r>
        <w:rPr>
          <w:rFonts w:hint="eastAsia" w:ascii="黑体" w:hAnsi="黑体" w:eastAsia="黑体"/>
          <w:snapToGrid w:val="0"/>
          <w:color w:val="auto"/>
          <w:sz w:val="30"/>
          <w:szCs w:val="30"/>
          <w:highlight w:val="none"/>
        </w:rPr>
        <w:t>环境保护措施监督检查清单</w:t>
      </w:r>
      <w:bookmarkEnd w:id="1"/>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505"/>
        <w:gridCol w:w="1890"/>
        <w:gridCol w:w="1872"/>
      </w:tblGrid>
      <w:tr w14:paraId="18FF4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14:paraId="2C8DEAA4">
            <w:pPr>
              <w:adjustRightInd w:val="0"/>
              <w:snapToGrid w:val="0"/>
              <w:ind w:firstLine="840"/>
              <w:rPr>
                <w:rFonts w:ascii="宋体" w:hAnsi="宋体" w:cs="宋体"/>
                <w:color w:val="auto"/>
                <w:szCs w:val="21"/>
                <w:highlight w:val="none"/>
              </w:rPr>
            </w:pPr>
            <w:r>
              <w:rPr>
                <w:rFonts w:hint="eastAsia" w:ascii="宋体" w:hAnsi="宋体" w:cs="宋体"/>
                <w:color w:val="auto"/>
                <w:szCs w:val="21"/>
                <w:highlight w:val="none"/>
              </w:rPr>
              <w:t>内容</w:t>
            </w:r>
          </w:p>
          <w:p w14:paraId="7AA2C969">
            <w:pPr>
              <w:adjustRightInd w:val="0"/>
              <w:snapToGrid w:val="0"/>
              <w:rPr>
                <w:rFonts w:ascii="宋体" w:hAnsi="宋体" w:cs="宋体"/>
                <w:color w:val="auto"/>
                <w:szCs w:val="21"/>
                <w:highlight w:val="none"/>
              </w:rPr>
            </w:pPr>
            <w:r>
              <w:rPr>
                <w:rFonts w:hint="eastAsia" w:ascii="宋体" w:hAnsi="宋体" w:cs="宋体"/>
                <w:color w:val="auto"/>
                <w:szCs w:val="21"/>
                <w:highlight w:val="none"/>
              </w:rPr>
              <w:t>要素</w:t>
            </w:r>
          </w:p>
        </w:tc>
        <w:tc>
          <w:tcPr>
            <w:tcW w:w="1755" w:type="dxa"/>
            <w:vAlign w:val="center"/>
          </w:tcPr>
          <w:p w14:paraId="6E044245">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排放口（编号、</w:t>
            </w:r>
          </w:p>
          <w:p w14:paraId="1558EBF0">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名称）/污染源</w:t>
            </w:r>
          </w:p>
        </w:tc>
        <w:tc>
          <w:tcPr>
            <w:tcW w:w="1505" w:type="dxa"/>
            <w:vAlign w:val="center"/>
          </w:tcPr>
          <w:p w14:paraId="4DFA68A6">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污染物项目</w:t>
            </w:r>
          </w:p>
        </w:tc>
        <w:tc>
          <w:tcPr>
            <w:tcW w:w="1890" w:type="dxa"/>
            <w:vAlign w:val="center"/>
          </w:tcPr>
          <w:p w14:paraId="6A231204">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环境保护措施</w:t>
            </w:r>
          </w:p>
        </w:tc>
        <w:tc>
          <w:tcPr>
            <w:tcW w:w="1872" w:type="dxa"/>
            <w:vAlign w:val="center"/>
          </w:tcPr>
          <w:p w14:paraId="1EB655CC">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执行标准</w:t>
            </w:r>
          </w:p>
        </w:tc>
      </w:tr>
      <w:tr w14:paraId="36E62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14:paraId="764D2CB3">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大气环境</w:t>
            </w:r>
          </w:p>
        </w:tc>
        <w:tc>
          <w:tcPr>
            <w:tcW w:w="1755" w:type="dxa"/>
            <w:vAlign w:val="center"/>
          </w:tcPr>
          <w:p w14:paraId="17BD3C34">
            <w:pPr>
              <w:adjustRightInd w:val="0"/>
              <w:snapToGrid w:val="0"/>
              <w:jc w:val="center"/>
              <w:rPr>
                <w:color w:val="auto"/>
                <w:kern w:val="0"/>
                <w:sz w:val="24"/>
                <w:highlight w:val="none"/>
              </w:rPr>
            </w:pPr>
            <w:r>
              <w:rPr>
                <w:rFonts w:hint="eastAsia"/>
                <w:color w:val="auto"/>
                <w:kern w:val="0"/>
                <w:szCs w:val="21"/>
                <w:highlight w:val="none"/>
              </w:rPr>
              <w:t>包装工序废气</w:t>
            </w:r>
          </w:p>
        </w:tc>
        <w:tc>
          <w:tcPr>
            <w:tcW w:w="1505" w:type="dxa"/>
            <w:vAlign w:val="center"/>
          </w:tcPr>
          <w:p w14:paraId="0674BB35">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颗粒物</w:t>
            </w:r>
          </w:p>
        </w:tc>
        <w:tc>
          <w:tcPr>
            <w:tcW w:w="1890" w:type="dxa"/>
            <w:vAlign w:val="center"/>
          </w:tcPr>
          <w:p w14:paraId="1CE85A30">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封闭车间内自然沉降后定期清扫。</w:t>
            </w:r>
          </w:p>
        </w:tc>
        <w:tc>
          <w:tcPr>
            <w:tcW w:w="1872" w:type="dxa"/>
            <w:vAlign w:val="center"/>
          </w:tcPr>
          <w:p w14:paraId="27CAE2F4">
            <w:pPr>
              <w:adjustRightInd w:val="0"/>
              <w:snapToGrid w:val="0"/>
              <w:jc w:val="center"/>
              <w:rPr>
                <w:rFonts w:ascii="宋体" w:hAnsi="宋体" w:cs="宋体"/>
                <w:color w:val="auto"/>
                <w:szCs w:val="21"/>
                <w:highlight w:val="none"/>
              </w:rPr>
            </w:pPr>
            <w:r>
              <w:rPr>
                <w:rFonts w:hint="eastAsia"/>
                <w:color w:val="auto"/>
                <w:kern w:val="0"/>
                <w:szCs w:val="21"/>
                <w:highlight w:val="none"/>
              </w:rPr>
              <w:t>《</w:t>
            </w:r>
            <w:r>
              <w:rPr>
                <w:color w:val="auto"/>
                <w:kern w:val="0"/>
                <w:szCs w:val="21"/>
                <w:highlight w:val="none"/>
              </w:rPr>
              <w:t>大气污染物综合排放标准》（DB 50/418-2016）</w:t>
            </w:r>
          </w:p>
        </w:tc>
      </w:tr>
      <w:tr w14:paraId="204AD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78" w:type="dxa"/>
            <w:vMerge w:val="continue"/>
            <w:vAlign w:val="center"/>
          </w:tcPr>
          <w:p w14:paraId="70F8E949">
            <w:pPr>
              <w:adjustRightInd w:val="0"/>
              <w:snapToGrid w:val="0"/>
              <w:jc w:val="center"/>
              <w:rPr>
                <w:rFonts w:ascii="宋体" w:hAnsi="宋体" w:cs="宋体"/>
                <w:color w:val="auto"/>
                <w:szCs w:val="21"/>
                <w:highlight w:val="none"/>
              </w:rPr>
            </w:pPr>
          </w:p>
        </w:tc>
        <w:tc>
          <w:tcPr>
            <w:tcW w:w="1755" w:type="dxa"/>
            <w:vAlign w:val="center"/>
          </w:tcPr>
          <w:p w14:paraId="42240ED2">
            <w:pPr>
              <w:adjustRightInd w:val="0"/>
              <w:snapToGrid w:val="0"/>
              <w:jc w:val="center"/>
              <w:rPr>
                <w:color w:val="auto"/>
                <w:kern w:val="0"/>
                <w:szCs w:val="21"/>
                <w:highlight w:val="none"/>
              </w:rPr>
            </w:pPr>
            <w:r>
              <w:rPr>
                <w:rFonts w:hint="eastAsia"/>
                <w:color w:val="auto"/>
                <w:kern w:val="0"/>
                <w:szCs w:val="21"/>
                <w:highlight w:val="none"/>
              </w:rPr>
              <w:t>废气处理</w:t>
            </w:r>
          </w:p>
        </w:tc>
        <w:tc>
          <w:tcPr>
            <w:tcW w:w="1505" w:type="dxa"/>
            <w:vAlign w:val="center"/>
          </w:tcPr>
          <w:p w14:paraId="7F3B8102">
            <w:pPr>
              <w:adjustRightInd w:val="0"/>
              <w:snapToGrid w:val="0"/>
              <w:jc w:val="center"/>
              <w:rPr>
                <w:rFonts w:ascii="宋体" w:hAnsi="宋体" w:cs="宋体"/>
                <w:color w:val="auto"/>
                <w:szCs w:val="21"/>
                <w:highlight w:val="none"/>
              </w:rPr>
            </w:pPr>
            <w:r>
              <w:rPr>
                <w:rFonts w:hint="eastAsia" w:hAnsi="宋体"/>
                <w:color w:val="auto"/>
                <w:szCs w:val="21"/>
                <w:highlight w:val="none"/>
              </w:rPr>
              <w:t>氨、硫化氢、臭气浓度</w:t>
            </w:r>
          </w:p>
        </w:tc>
        <w:tc>
          <w:tcPr>
            <w:tcW w:w="1890" w:type="dxa"/>
            <w:vAlign w:val="center"/>
          </w:tcPr>
          <w:p w14:paraId="7B1E05D7">
            <w:pPr>
              <w:adjustRightInd w:val="0"/>
              <w:snapToGrid w:val="0"/>
              <w:jc w:val="center"/>
              <w:rPr>
                <w:rFonts w:ascii="宋体" w:hAnsi="宋体" w:cs="宋体"/>
                <w:color w:val="auto"/>
                <w:szCs w:val="21"/>
                <w:highlight w:val="none"/>
              </w:rPr>
            </w:pPr>
            <w:r>
              <w:rPr>
                <w:rFonts w:hint="eastAsia" w:hAnsi="宋体"/>
                <w:color w:val="auto"/>
                <w:szCs w:val="21"/>
                <w:highlight w:val="none"/>
              </w:rPr>
              <w:t>设施加盖，臭气经专用管道引入绿化带排放</w:t>
            </w:r>
          </w:p>
        </w:tc>
        <w:tc>
          <w:tcPr>
            <w:tcW w:w="1872" w:type="dxa"/>
            <w:vAlign w:val="center"/>
          </w:tcPr>
          <w:p w14:paraId="50B5B6EF">
            <w:pPr>
              <w:adjustRightInd w:val="0"/>
              <w:snapToGrid w:val="0"/>
              <w:jc w:val="center"/>
              <w:rPr>
                <w:rFonts w:ascii="宋体" w:hAnsi="宋体" w:cs="宋体"/>
                <w:color w:val="auto"/>
                <w:szCs w:val="21"/>
                <w:highlight w:val="none"/>
              </w:rPr>
            </w:pPr>
            <w:r>
              <w:rPr>
                <w:rFonts w:hAnsi="宋体"/>
                <w:color w:val="auto"/>
                <w:szCs w:val="21"/>
                <w:highlight w:val="none"/>
              </w:rPr>
              <w:t>《恶臭污染物排放标准》（GB14554-93）</w:t>
            </w:r>
            <w:r>
              <w:rPr>
                <w:rFonts w:hint="eastAsia" w:hAnsi="宋体"/>
                <w:color w:val="auto"/>
                <w:szCs w:val="21"/>
                <w:highlight w:val="none"/>
              </w:rPr>
              <w:t>中无组织排放标准限值</w:t>
            </w:r>
          </w:p>
        </w:tc>
      </w:tr>
      <w:tr w14:paraId="27671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14:paraId="7685C29D">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地表水环境</w:t>
            </w:r>
          </w:p>
        </w:tc>
        <w:tc>
          <w:tcPr>
            <w:tcW w:w="1755" w:type="dxa"/>
            <w:vAlign w:val="center"/>
          </w:tcPr>
          <w:p w14:paraId="4A63D414">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生产废水</w:t>
            </w:r>
          </w:p>
        </w:tc>
        <w:tc>
          <w:tcPr>
            <w:tcW w:w="1505" w:type="dxa"/>
            <w:vAlign w:val="center"/>
          </w:tcPr>
          <w:p w14:paraId="5C9C6A39">
            <w:pPr>
              <w:adjustRightInd w:val="0"/>
              <w:snapToGrid w:val="0"/>
              <w:jc w:val="center"/>
              <w:rPr>
                <w:rFonts w:ascii="宋体" w:hAnsi="宋体" w:cs="宋体"/>
                <w:color w:val="auto"/>
                <w:szCs w:val="21"/>
                <w:highlight w:val="none"/>
              </w:rPr>
            </w:pPr>
            <w:r>
              <w:rPr>
                <w:bCs/>
                <w:color w:val="auto"/>
                <w:spacing w:val="-10"/>
                <w:szCs w:val="21"/>
                <w:highlight w:val="none"/>
              </w:rPr>
              <w:t>pH、</w:t>
            </w:r>
            <w:r>
              <w:rPr>
                <w:color w:val="auto"/>
                <w:szCs w:val="21"/>
                <w:highlight w:val="none"/>
              </w:rPr>
              <w:t>COD、BOD</w:t>
            </w:r>
            <w:r>
              <w:rPr>
                <w:color w:val="auto"/>
                <w:szCs w:val="21"/>
                <w:highlight w:val="none"/>
                <w:vertAlign w:val="subscript"/>
              </w:rPr>
              <w:t>5</w:t>
            </w:r>
            <w:r>
              <w:rPr>
                <w:color w:val="auto"/>
                <w:szCs w:val="21"/>
                <w:highlight w:val="none"/>
              </w:rPr>
              <w:t>、</w:t>
            </w:r>
            <w:r>
              <w:rPr>
                <w:rFonts w:hint="eastAsia"/>
                <w:color w:val="auto"/>
                <w:szCs w:val="21"/>
                <w:highlight w:val="none"/>
              </w:rPr>
              <w:t>氨氮</w:t>
            </w:r>
            <w:r>
              <w:rPr>
                <w:color w:val="auto"/>
                <w:szCs w:val="21"/>
                <w:highlight w:val="none"/>
              </w:rPr>
              <w:t>、SS、</w:t>
            </w:r>
            <w:r>
              <w:rPr>
                <w:rFonts w:hint="eastAsia"/>
                <w:color w:val="auto"/>
                <w:szCs w:val="21"/>
                <w:highlight w:val="none"/>
              </w:rPr>
              <w:t>总氮、总磷</w:t>
            </w:r>
          </w:p>
        </w:tc>
        <w:tc>
          <w:tcPr>
            <w:tcW w:w="1890" w:type="dxa"/>
            <w:vAlign w:val="center"/>
          </w:tcPr>
          <w:p w14:paraId="2B3D4AEC">
            <w:pPr>
              <w:adjustRightInd w:val="0"/>
              <w:snapToGrid w:val="0"/>
              <w:jc w:val="center"/>
              <w:rPr>
                <w:rFonts w:ascii="宋体" w:hAnsi="宋体" w:cs="宋体"/>
                <w:color w:val="auto"/>
                <w:szCs w:val="21"/>
                <w:highlight w:val="none"/>
              </w:rPr>
            </w:pPr>
            <w:r>
              <w:rPr>
                <w:rFonts w:hint="eastAsia"/>
                <w:color w:val="auto"/>
                <w:kern w:val="0"/>
                <w:szCs w:val="21"/>
                <w:highlight w:val="none"/>
              </w:rPr>
              <w:t>新建设计处理能力为15m</w:t>
            </w:r>
            <w:r>
              <w:rPr>
                <w:color w:val="auto"/>
                <w:kern w:val="0"/>
                <w:szCs w:val="21"/>
                <w:highlight w:val="none"/>
                <w:vertAlign w:val="superscript"/>
              </w:rPr>
              <w:t>3</w:t>
            </w:r>
            <w:r>
              <w:rPr>
                <w:rFonts w:hint="eastAsia"/>
                <w:color w:val="auto"/>
                <w:kern w:val="0"/>
                <w:szCs w:val="21"/>
                <w:highlight w:val="none"/>
              </w:rPr>
              <w:t>/d的污水处理设施，生产废水经处理达到</w:t>
            </w:r>
            <w:r>
              <w:rPr>
                <w:color w:val="auto"/>
                <w:kern w:val="0"/>
                <w:szCs w:val="21"/>
                <w:highlight w:val="none"/>
              </w:rPr>
              <w:t>《淀粉工业水污染物排放限值》</w:t>
            </w:r>
            <w:r>
              <w:rPr>
                <w:rFonts w:hint="eastAsia"/>
                <w:color w:val="auto"/>
                <w:kern w:val="0"/>
                <w:szCs w:val="21"/>
                <w:highlight w:val="none"/>
              </w:rPr>
              <w:t>（GB25461-2010）表2中的间接排放标准后排入龙市</w:t>
            </w:r>
            <w:r>
              <w:rPr>
                <w:color w:val="auto"/>
                <w:kern w:val="0"/>
                <w:szCs w:val="21"/>
                <w:highlight w:val="none"/>
              </w:rPr>
              <w:t>镇</w:t>
            </w:r>
            <w:r>
              <w:rPr>
                <w:rFonts w:hint="eastAsia"/>
                <w:color w:val="auto"/>
                <w:kern w:val="0"/>
                <w:szCs w:val="21"/>
                <w:highlight w:val="none"/>
              </w:rPr>
              <w:t>工业污水处理厂处理达标后排放</w:t>
            </w:r>
          </w:p>
        </w:tc>
        <w:tc>
          <w:tcPr>
            <w:tcW w:w="1872" w:type="dxa"/>
            <w:vAlign w:val="center"/>
          </w:tcPr>
          <w:p w14:paraId="3F0CA0C0">
            <w:pPr>
              <w:adjustRightInd w:val="0"/>
              <w:snapToGrid w:val="0"/>
              <w:jc w:val="center"/>
              <w:rPr>
                <w:color w:val="auto"/>
                <w:kern w:val="0"/>
                <w:szCs w:val="21"/>
                <w:highlight w:val="none"/>
              </w:rPr>
            </w:pPr>
            <w:r>
              <w:rPr>
                <w:rFonts w:hint="eastAsia"/>
                <w:color w:val="auto"/>
                <w:kern w:val="0"/>
                <w:szCs w:val="21"/>
                <w:highlight w:val="none"/>
              </w:rPr>
              <w:t>本项目执行</w:t>
            </w:r>
            <w:r>
              <w:rPr>
                <w:color w:val="auto"/>
                <w:kern w:val="0"/>
                <w:szCs w:val="21"/>
                <w:highlight w:val="none"/>
              </w:rPr>
              <w:t>《淀粉工业水污染物排放限值》</w:t>
            </w:r>
            <w:r>
              <w:rPr>
                <w:rFonts w:hint="eastAsia"/>
                <w:color w:val="auto"/>
                <w:kern w:val="0"/>
                <w:szCs w:val="21"/>
                <w:highlight w:val="none"/>
              </w:rPr>
              <w:t>（GB25461-2010）表2中的间接排放标准；</w:t>
            </w:r>
          </w:p>
          <w:p w14:paraId="3704EDC8">
            <w:pPr>
              <w:adjustRightInd w:val="0"/>
              <w:snapToGrid w:val="0"/>
              <w:jc w:val="center"/>
              <w:rPr>
                <w:color w:val="auto"/>
                <w:kern w:val="0"/>
                <w:szCs w:val="21"/>
                <w:highlight w:val="none"/>
              </w:rPr>
            </w:pPr>
            <w:r>
              <w:rPr>
                <w:rFonts w:hint="eastAsia"/>
                <w:color w:val="auto"/>
                <w:kern w:val="0"/>
                <w:szCs w:val="21"/>
                <w:highlight w:val="none"/>
              </w:rPr>
              <w:t>龙市</w:t>
            </w:r>
            <w:r>
              <w:rPr>
                <w:color w:val="auto"/>
                <w:kern w:val="0"/>
                <w:szCs w:val="21"/>
                <w:highlight w:val="none"/>
              </w:rPr>
              <w:t>镇</w:t>
            </w:r>
            <w:r>
              <w:rPr>
                <w:rFonts w:hint="eastAsia"/>
                <w:color w:val="auto"/>
                <w:kern w:val="0"/>
                <w:szCs w:val="21"/>
                <w:highlight w:val="none"/>
              </w:rPr>
              <w:t>工业污水处理厂执行《城镇污水处理厂污染物排放标准》（GB18918－2002）一级A标准</w:t>
            </w:r>
          </w:p>
        </w:tc>
      </w:tr>
      <w:tr w14:paraId="48E48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78" w:type="dxa"/>
            <w:vMerge w:val="continue"/>
            <w:vAlign w:val="center"/>
          </w:tcPr>
          <w:p w14:paraId="4E168B54">
            <w:pPr>
              <w:adjustRightInd w:val="0"/>
              <w:snapToGrid w:val="0"/>
              <w:jc w:val="center"/>
              <w:rPr>
                <w:rFonts w:ascii="宋体" w:hAnsi="宋体" w:cs="宋体"/>
                <w:color w:val="auto"/>
                <w:szCs w:val="21"/>
                <w:highlight w:val="none"/>
              </w:rPr>
            </w:pPr>
          </w:p>
        </w:tc>
        <w:tc>
          <w:tcPr>
            <w:tcW w:w="1755" w:type="dxa"/>
            <w:vAlign w:val="center"/>
          </w:tcPr>
          <w:p w14:paraId="20249F87">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生活污水</w:t>
            </w:r>
          </w:p>
        </w:tc>
        <w:tc>
          <w:tcPr>
            <w:tcW w:w="1505" w:type="dxa"/>
            <w:vAlign w:val="center"/>
          </w:tcPr>
          <w:p w14:paraId="58CC1F6C">
            <w:pPr>
              <w:adjustRightInd w:val="0"/>
              <w:snapToGrid w:val="0"/>
              <w:jc w:val="center"/>
              <w:rPr>
                <w:rFonts w:ascii="宋体" w:hAnsi="宋体" w:cs="宋体"/>
                <w:color w:val="auto"/>
                <w:szCs w:val="21"/>
                <w:highlight w:val="none"/>
              </w:rPr>
            </w:pPr>
            <w:r>
              <w:rPr>
                <w:bCs/>
                <w:color w:val="auto"/>
                <w:spacing w:val="-10"/>
                <w:szCs w:val="21"/>
                <w:highlight w:val="none"/>
              </w:rPr>
              <w:t>pH、</w:t>
            </w:r>
            <w:r>
              <w:rPr>
                <w:color w:val="auto"/>
                <w:szCs w:val="21"/>
                <w:highlight w:val="none"/>
              </w:rPr>
              <w:t>COD、BOD</w:t>
            </w:r>
            <w:r>
              <w:rPr>
                <w:color w:val="auto"/>
                <w:szCs w:val="21"/>
                <w:highlight w:val="none"/>
                <w:vertAlign w:val="subscript"/>
              </w:rPr>
              <w:t>5</w:t>
            </w:r>
            <w:r>
              <w:rPr>
                <w:color w:val="auto"/>
                <w:szCs w:val="21"/>
                <w:highlight w:val="none"/>
              </w:rPr>
              <w:t>、</w:t>
            </w:r>
            <w:r>
              <w:rPr>
                <w:rFonts w:hint="eastAsia"/>
                <w:color w:val="auto"/>
                <w:szCs w:val="21"/>
                <w:highlight w:val="none"/>
              </w:rPr>
              <w:t>氨氮</w:t>
            </w:r>
            <w:r>
              <w:rPr>
                <w:color w:val="auto"/>
                <w:szCs w:val="21"/>
                <w:highlight w:val="none"/>
              </w:rPr>
              <w:t>、SS、</w:t>
            </w:r>
            <w:r>
              <w:rPr>
                <w:rFonts w:hint="eastAsia"/>
                <w:color w:val="auto"/>
                <w:szCs w:val="21"/>
                <w:highlight w:val="none"/>
              </w:rPr>
              <w:t>总氮、总磷</w:t>
            </w:r>
          </w:p>
        </w:tc>
        <w:tc>
          <w:tcPr>
            <w:tcW w:w="1890" w:type="dxa"/>
            <w:vAlign w:val="center"/>
          </w:tcPr>
          <w:p w14:paraId="16FCD011">
            <w:pPr>
              <w:pStyle w:val="9"/>
              <w:rPr>
                <w:rFonts w:hAnsi="宋体" w:cs="宋体"/>
                <w:color w:val="auto"/>
                <w:szCs w:val="21"/>
                <w:highlight w:val="none"/>
              </w:rPr>
            </w:pPr>
            <w:r>
              <w:rPr>
                <w:rFonts w:hint="eastAsia" w:ascii="Times New Roman" w:hAnsi="Times New Roman"/>
                <w:color w:val="auto"/>
                <w:kern w:val="0"/>
                <w:szCs w:val="21"/>
                <w:highlight w:val="none"/>
              </w:rPr>
              <w:t>依托厨鼎食品公司现有生活污水处理措施收集，经已建化粪池收集预处理后经高浓度专用管道接入龙市</w:t>
            </w:r>
            <w:r>
              <w:rPr>
                <w:rFonts w:ascii="Times New Roman" w:hAnsi="Times New Roman"/>
                <w:color w:val="auto"/>
                <w:kern w:val="0"/>
                <w:szCs w:val="21"/>
                <w:highlight w:val="none"/>
              </w:rPr>
              <w:t>镇</w:t>
            </w:r>
            <w:r>
              <w:rPr>
                <w:rFonts w:hint="eastAsia" w:ascii="Times New Roman" w:hAnsi="Times New Roman"/>
                <w:color w:val="auto"/>
                <w:kern w:val="0"/>
                <w:szCs w:val="21"/>
                <w:highlight w:val="none"/>
              </w:rPr>
              <w:t>工业污水处理厂。</w:t>
            </w:r>
          </w:p>
        </w:tc>
        <w:tc>
          <w:tcPr>
            <w:tcW w:w="1872" w:type="dxa"/>
            <w:vAlign w:val="center"/>
          </w:tcPr>
          <w:p w14:paraId="018AB8AC">
            <w:pPr>
              <w:adjustRightInd w:val="0"/>
              <w:snapToGrid w:val="0"/>
              <w:jc w:val="center"/>
              <w:rPr>
                <w:rFonts w:ascii="宋体" w:hAnsi="宋体" w:cs="宋体"/>
                <w:color w:val="auto"/>
                <w:szCs w:val="21"/>
                <w:highlight w:val="none"/>
              </w:rPr>
            </w:pPr>
            <w:r>
              <w:rPr>
                <w:rFonts w:hint="eastAsia"/>
                <w:color w:val="auto"/>
                <w:szCs w:val="21"/>
                <w:highlight w:val="none"/>
              </w:rPr>
              <w:t>龙市</w:t>
            </w:r>
            <w:r>
              <w:rPr>
                <w:color w:val="auto"/>
                <w:szCs w:val="21"/>
                <w:highlight w:val="none"/>
              </w:rPr>
              <w:t>镇</w:t>
            </w:r>
            <w:r>
              <w:rPr>
                <w:rFonts w:hint="eastAsia"/>
                <w:color w:val="auto"/>
                <w:szCs w:val="21"/>
                <w:highlight w:val="none"/>
              </w:rPr>
              <w:t>工业污水处理厂接管标准</w:t>
            </w:r>
          </w:p>
        </w:tc>
      </w:tr>
      <w:tr w14:paraId="5E2B5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14:paraId="03BA523E">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声环境</w:t>
            </w:r>
          </w:p>
        </w:tc>
        <w:tc>
          <w:tcPr>
            <w:tcW w:w="1755" w:type="dxa"/>
            <w:vAlign w:val="center"/>
          </w:tcPr>
          <w:p w14:paraId="021941BD">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设备噪声</w:t>
            </w:r>
          </w:p>
        </w:tc>
        <w:tc>
          <w:tcPr>
            <w:tcW w:w="1505" w:type="dxa"/>
            <w:vAlign w:val="center"/>
          </w:tcPr>
          <w:p w14:paraId="4339EF89">
            <w:pPr>
              <w:adjustRightInd w:val="0"/>
              <w:snapToGrid w:val="0"/>
              <w:jc w:val="center"/>
              <w:rPr>
                <w:rFonts w:ascii="宋体" w:hAnsi="宋体" w:cs="宋体"/>
                <w:color w:val="auto"/>
                <w:szCs w:val="21"/>
                <w:highlight w:val="none"/>
              </w:rPr>
            </w:pPr>
            <w:r>
              <w:rPr>
                <w:color w:val="auto"/>
                <w:szCs w:val="21"/>
                <w:highlight w:val="none"/>
              </w:rPr>
              <w:t>等效A声级</w:t>
            </w:r>
          </w:p>
        </w:tc>
        <w:tc>
          <w:tcPr>
            <w:tcW w:w="1890" w:type="dxa"/>
            <w:vAlign w:val="center"/>
          </w:tcPr>
          <w:p w14:paraId="78A70C8E">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合理布置、选用低噪声设备、基础减振、建筑隔声等</w:t>
            </w:r>
          </w:p>
        </w:tc>
        <w:tc>
          <w:tcPr>
            <w:tcW w:w="1872" w:type="dxa"/>
            <w:vAlign w:val="center"/>
          </w:tcPr>
          <w:p w14:paraId="50B6E2BC">
            <w:pPr>
              <w:adjustRightInd w:val="0"/>
              <w:snapToGrid w:val="0"/>
              <w:jc w:val="center"/>
              <w:rPr>
                <w:rFonts w:ascii="宋体" w:hAnsi="宋体" w:cs="宋体"/>
                <w:color w:val="auto"/>
                <w:szCs w:val="21"/>
                <w:highlight w:val="none"/>
              </w:rPr>
            </w:pPr>
            <w:r>
              <w:rPr>
                <w:rFonts w:hAnsi="宋体"/>
                <w:color w:val="auto"/>
                <w:szCs w:val="21"/>
                <w:highlight w:val="none"/>
              </w:rPr>
              <w:t>《工业企业厂界环境噪声排放标准》</w:t>
            </w:r>
            <w:r>
              <w:rPr>
                <w:color w:val="auto"/>
                <w:szCs w:val="21"/>
                <w:highlight w:val="none"/>
              </w:rPr>
              <w:t>(GB12348-2008)</w:t>
            </w:r>
            <w:r>
              <w:rPr>
                <w:rFonts w:hint="eastAsia"/>
                <w:color w:val="auto"/>
                <w:szCs w:val="21"/>
                <w:highlight w:val="none"/>
              </w:rPr>
              <w:t>3</w:t>
            </w:r>
            <w:r>
              <w:rPr>
                <w:rFonts w:hAnsi="宋体"/>
                <w:color w:val="auto"/>
                <w:szCs w:val="21"/>
                <w:highlight w:val="none"/>
              </w:rPr>
              <w:t>类标准</w:t>
            </w:r>
          </w:p>
        </w:tc>
      </w:tr>
      <w:tr w14:paraId="1423D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778" w:type="dxa"/>
            <w:vAlign w:val="center"/>
          </w:tcPr>
          <w:p w14:paraId="1D38FBB2">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电磁辐射</w:t>
            </w:r>
          </w:p>
        </w:tc>
        <w:tc>
          <w:tcPr>
            <w:tcW w:w="1755" w:type="dxa"/>
            <w:vAlign w:val="center"/>
          </w:tcPr>
          <w:p w14:paraId="35BCC386">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w:t>
            </w:r>
          </w:p>
        </w:tc>
        <w:tc>
          <w:tcPr>
            <w:tcW w:w="1505" w:type="dxa"/>
            <w:vAlign w:val="center"/>
          </w:tcPr>
          <w:p w14:paraId="5CFF1C00">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w:t>
            </w:r>
          </w:p>
        </w:tc>
        <w:tc>
          <w:tcPr>
            <w:tcW w:w="1890" w:type="dxa"/>
            <w:vAlign w:val="center"/>
          </w:tcPr>
          <w:p w14:paraId="575A99B5">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w:t>
            </w:r>
          </w:p>
        </w:tc>
        <w:tc>
          <w:tcPr>
            <w:tcW w:w="1872" w:type="dxa"/>
            <w:vAlign w:val="center"/>
          </w:tcPr>
          <w:p w14:paraId="1CE58D0F">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w:t>
            </w:r>
          </w:p>
        </w:tc>
      </w:tr>
      <w:tr w14:paraId="24746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78" w:type="dxa"/>
            <w:vAlign w:val="center"/>
          </w:tcPr>
          <w:p w14:paraId="3A4A5C4B">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固体废物</w:t>
            </w:r>
          </w:p>
        </w:tc>
        <w:tc>
          <w:tcPr>
            <w:tcW w:w="7022" w:type="dxa"/>
            <w:gridSpan w:val="4"/>
            <w:vAlign w:val="center"/>
          </w:tcPr>
          <w:p w14:paraId="3E06C0C1">
            <w:pPr>
              <w:adjustRightInd w:val="0"/>
              <w:snapToGrid w:val="0"/>
              <w:rPr>
                <w:rFonts w:ascii="宋体" w:hAnsi="宋体" w:cs="宋体"/>
                <w:color w:val="auto"/>
                <w:szCs w:val="21"/>
                <w:highlight w:val="none"/>
              </w:rPr>
            </w:pPr>
            <w:r>
              <w:rPr>
                <w:rFonts w:hint="eastAsia" w:ascii="宋体" w:hAnsi="宋体" w:cs="宋体"/>
                <w:color w:val="auto"/>
                <w:szCs w:val="21"/>
                <w:highlight w:val="none"/>
              </w:rPr>
              <w:t>本项目设置10m</w:t>
            </w:r>
            <w:r>
              <w:rPr>
                <w:rFonts w:hint="eastAsia" w:ascii="宋体" w:hAnsi="宋体" w:cs="宋体"/>
                <w:color w:val="auto"/>
                <w:szCs w:val="21"/>
                <w:highlight w:val="none"/>
                <w:vertAlign w:val="superscript"/>
              </w:rPr>
              <w:t>2</w:t>
            </w:r>
            <w:r>
              <w:rPr>
                <w:rFonts w:hint="eastAsia" w:ascii="宋体" w:hAnsi="宋体" w:cs="宋体"/>
                <w:color w:val="auto"/>
                <w:szCs w:val="21"/>
                <w:highlight w:val="none"/>
              </w:rPr>
              <w:t>的一般工业固废暂存间，内设固废收集箱。</w:t>
            </w:r>
          </w:p>
          <w:p w14:paraId="534123BB">
            <w:pPr>
              <w:adjustRightInd w:val="0"/>
              <w:snapToGrid w:val="0"/>
              <w:rPr>
                <w:rFonts w:ascii="宋体" w:hAnsi="宋体" w:cs="宋体"/>
                <w:color w:val="auto"/>
                <w:szCs w:val="21"/>
                <w:highlight w:val="none"/>
              </w:rPr>
            </w:pPr>
            <w:r>
              <w:rPr>
                <w:rFonts w:hint="eastAsia" w:ascii="宋体" w:hAnsi="宋体" w:cs="宋体"/>
                <w:color w:val="auto"/>
                <w:szCs w:val="21"/>
                <w:highlight w:val="none"/>
              </w:rPr>
              <w:t>本项目产生的不合格葛根及葛根渣、清洗废水沉淀的泥沙等交由重庆市合川区钵耳山高粱种植农民专业合作社综合利用，用于农业生产、土壤改良、农作物种植等，产生的不合格葛根及葛根渣等做到日产日清，防止暂存时间过长产生异味气体造成二次污染。</w:t>
            </w:r>
          </w:p>
          <w:p w14:paraId="1A141E51">
            <w:pPr>
              <w:adjustRightInd w:val="0"/>
              <w:snapToGrid w:val="0"/>
              <w:rPr>
                <w:rFonts w:ascii="宋体" w:hAnsi="宋体" w:cs="宋体"/>
                <w:color w:val="auto"/>
                <w:szCs w:val="21"/>
                <w:highlight w:val="none"/>
              </w:rPr>
            </w:pPr>
            <w:r>
              <w:rPr>
                <w:rFonts w:hint="eastAsia" w:ascii="宋体" w:hAnsi="宋体" w:cs="宋体"/>
                <w:color w:val="auto"/>
                <w:szCs w:val="21"/>
                <w:highlight w:val="none"/>
              </w:rPr>
              <w:t>废包装经收集后出售给废品回收单位。</w:t>
            </w:r>
          </w:p>
          <w:p w14:paraId="211AB080">
            <w:pPr>
              <w:adjustRightInd w:val="0"/>
              <w:snapToGrid w:val="0"/>
              <w:rPr>
                <w:color w:val="auto"/>
                <w:kern w:val="0"/>
                <w:szCs w:val="21"/>
                <w:highlight w:val="none"/>
              </w:rPr>
            </w:pPr>
            <w:r>
              <w:rPr>
                <w:rFonts w:hint="eastAsia"/>
                <w:color w:val="auto"/>
                <w:kern w:val="0"/>
                <w:szCs w:val="21"/>
                <w:highlight w:val="none"/>
              </w:rPr>
              <w:t>按照《一般工业固体废物管理台账制定指南（试行）》（生态环境部公告2021年第82号）要求建立分类管理台账，如实规范记录一般固体废物的种类、数量、流向、贮存、利用及处置等信息，并对台账记录信息真实性、完整性和规范性负责。台账保存期限不少于5年，实现固体废物处置可追溯、可查询。按照《环境保护图形标志－固体废物贮存（处置）场》（GB15562.2）等要求设置图形标志。</w:t>
            </w:r>
          </w:p>
          <w:p w14:paraId="47A7483D">
            <w:pPr>
              <w:adjustRightInd w:val="0"/>
              <w:snapToGrid w:val="0"/>
              <w:rPr>
                <w:color w:val="auto"/>
                <w:kern w:val="0"/>
                <w:szCs w:val="21"/>
                <w:highlight w:val="none"/>
              </w:rPr>
            </w:pPr>
            <w:r>
              <w:rPr>
                <w:rFonts w:hint="eastAsia"/>
                <w:color w:val="auto"/>
                <w:szCs w:val="21"/>
                <w:highlight w:val="none"/>
              </w:rPr>
              <w:t>生活垃圾依托厨鼎食品公司生活垃圾收集措施，</w:t>
            </w:r>
            <w:r>
              <w:rPr>
                <w:rFonts w:hint="eastAsia" w:ascii="宋体" w:hAnsi="宋体" w:cs="宋体"/>
                <w:color w:val="auto"/>
                <w:kern w:val="0"/>
                <w:szCs w:val="21"/>
                <w:highlight w:val="none"/>
                <w:lang w:bidi="ar"/>
              </w:rPr>
              <w:t>统一交由环卫部门清运。</w:t>
            </w:r>
          </w:p>
        </w:tc>
      </w:tr>
      <w:tr w14:paraId="5F12A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778" w:type="dxa"/>
            <w:vAlign w:val="center"/>
          </w:tcPr>
          <w:p w14:paraId="0CA61360">
            <w:pPr>
              <w:adjustRightInd w:val="0"/>
              <w:snapToGrid w:val="0"/>
              <w:jc w:val="center"/>
              <w:rPr>
                <w:color w:val="auto"/>
                <w:kern w:val="0"/>
                <w:szCs w:val="21"/>
                <w:highlight w:val="none"/>
              </w:rPr>
            </w:pPr>
            <w:r>
              <w:rPr>
                <w:rFonts w:hint="eastAsia"/>
                <w:color w:val="auto"/>
                <w:kern w:val="0"/>
                <w:szCs w:val="21"/>
                <w:highlight w:val="none"/>
              </w:rPr>
              <w:t>土壤及地下水</w:t>
            </w:r>
          </w:p>
          <w:p w14:paraId="7DEA7C84">
            <w:pPr>
              <w:adjustRightInd w:val="0"/>
              <w:snapToGrid w:val="0"/>
              <w:jc w:val="center"/>
              <w:rPr>
                <w:color w:val="auto"/>
                <w:kern w:val="0"/>
                <w:szCs w:val="21"/>
                <w:highlight w:val="none"/>
              </w:rPr>
            </w:pPr>
            <w:r>
              <w:rPr>
                <w:rFonts w:hint="eastAsia"/>
                <w:color w:val="auto"/>
                <w:kern w:val="0"/>
                <w:szCs w:val="21"/>
                <w:highlight w:val="none"/>
              </w:rPr>
              <w:t>污染防治措施</w:t>
            </w:r>
          </w:p>
        </w:tc>
        <w:tc>
          <w:tcPr>
            <w:tcW w:w="7022" w:type="dxa"/>
            <w:gridSpan w:val="4"/>
            <w:vAlign w:val="center"/>
          </w:tcPr>
          <w:p w14:paraId="2849317A">
            <w:pPr>
              <w:adjustRightInd w:val="0"/>
              <w:snapToGrid w:val="0"/>
              <w:jc w:val="center"/>
              <w:rPr>
                <w:color w:val="auto"/>
                <w:kern w:val="0"/>
                <w:szCs w:val="21"/>
                <w:highlight w:val="none"/>
              </w:rPr>
            </w:pPr>
            <w:r>
              <w:rPr>
                <w:rFonts w:hint="eastAsia"/>
                <w:color w:val="auto"/>
                <w:kern w:val="0"/>
                <w:szCs w:val="21"/>
                <w:highlight w:val="none"/>
              </w:rPr>
              <w:t>废水处理设施区域采取重点防渗，一般固废暂存间和生产车间为一般防渗区，正常情况下无土壤及地下水污染途径，不会对土壤及地下水环境产生影响。</w:t>
            </w:r>
          </w:p>
        </w:tc>
      </w:tr>
      <w:tr w14:paraId="5C1BDA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778" w:type="dxa"/>
            <w:vAlign w:val="center"/>
          </w:tcPr>
          <w:p w14:paraId="39C20B76">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生态保护措施</w:t>
            </w:r>
          </w:p>
        </w:tc>
        <w:tc>
          <w:tcPr>
            <w:tcW w:w="7022" w:type="dxa"/>
            <w:gridSpan w:val="4"/>
            <w:vAlign w:val="center"/>
          </w:tcPr>
          <w:p w14:paraId="7955A3F4">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w:t>
            </w:r>
          </w:p>
        </w:tc>
      </w:tr>
      <w:tr w14:paraId="1C181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778" w:type="dxa"/>
            <w:vAlign w:val="center"/>
          </w:tcPr>
          <w:p w14:paraId="5948460F">
            <w:pPr>
              <w:adjustRightInd w:val="0"/>
              <w:snapToGrid w:val="0"/>
              <w:jc w:val="center"/>
              <w:rPr>
                <w:color w:val="auto"/>
                <w:kern w:val="0"/>
                <w:szCs w:val="21"/>
                <w:highlight w:val="none"/>
              </w:rPr>
            </w:pPr>
            <w:r>
              <w:rPr>
                <w:rFonts w:hint="eastAsia"/>
                <w:color w:val="auto"/>
                <w:kern w:val="0"/>
                <w:szCs w:val="21"/>
                <w:highlight w:val="none"/>
              </w:rPr>
              <w:t>环境风险</w:t>
            </w:r>
          </w:p>
          <w:p w14:paraId="2421AAEF">
            <w:pPr>
              <w:adjustRightInd w:val="0"/>
              <w:snapToGrid w:val="0"/>
              <w:jc w:val="center"/>
              <w:rPr>
                <w:color w:val="auto"/>
                <w:kern w:val="0"/>
                <w:szCs w:val="21"/>
                <w:highlight w:val="none"/>
              </w:rPr>
            </w:pPr>
            <w:r>
              <w:rPr>
                <w:rFonts w:hint="eastAsia"/>
                <w:color w:val="auto"/>
                <w:kern w:val="0"/>
                <w:szCs w:val="21"/>
                <w:highlight w:val="none"/>
              </w:rPr>
              <w:t>防范措施</w:t>
            </w:r>
          </w:p>
        </w:tc>
        <w:tc>
          <w:tcPr>
            <w:tcW w:w="7022" w:type="dxa"/>
            <w:gridSpan w:val="4"/>
            <w:vAlign w:val="center"/>
          </w:tcPr>
          <w:p w14:paraId="699C1EEB">
            <w:pPr>
              <w:adjustRightInd w:val="0"/>
              <w:snapToGrid w:val="0"/>
              <w:jc w:val="center"/>
              <w:rPr>
                <w:color w:val="auto"/>
                <w:kern w:val="0"/>
                <w:szCs w:val="21"/>
                <w:highlight w:val="none"/>
              </w:rPr>
            </w:pPr>
            <w:r>
              <w:rPr>
                <w:color w:val="auto"/>
                <w:kern w:val="0"/>
                <w:szCs w:val="21"/>
                <w:highlight w:val="none"/>
              </w:rPr>
              <w:t>废水收集沟和废水处理设施</w:t>
            </w:r>
            <w:r>
              <w:rPr>
                <w:rFonts w:hint="eastAsia"/>
                <w:color w:val="auto"/>
                <w:kern w:val="0"/>
                <w:szCs w:val="21"/>
                <w:highlight w:val="none"/>
              </w:rPr>
              <w:t>区域</w:t>
            </w:r>
            <w:r>
              <w:rPr>
                <w:color w:val="auto"/>
                <w:kern w:val="0"/>
                <w:szCs w:val="21"/>
                <w:highlight w:val="none"/>
              </w:rPr>
              <w:t>需进行重点防渗处理</w:t>
            </w:r>
            <w:r>
              <w:rPr>
                <w:rFonts w:hint="eastAsia"/>
                <w:color w:val="auto"/>
                <w:kern w:val="0"/>
                <w:szCs w:val="21"/>
                <w:highlight w:val="none"/>
              </w:rPr>
              <w:t>，生产废水收集管网可视化</w:t>
            </w:r>
            <w:r>
              <w:rPr>
                <w:color w:val="auto"/>
                <w:kern w:val="0"/>
                <w:szCs w:val="21"/>
                <w:highlight w:val="none"/>
              </w:rPr>
              <w:t>。</w:t>
            </w:r>
          </w:p>
        </w:tc>
      </w:tr>
      <w:tr w14:paraId="6EB64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14:paraId="1DC671BC">
            <w:pPr>
              <w:adjustRightInd w:val="0"/>
              <w:snapToGrid w:val="0"/>
              <w:jc w:val="center"/>
              <w:rPr>
                <w:rFonts w:ascii="宋体" w:hAnsi="宋体" w:cs="宋体"/>
                <w:color w:val="auto"/>
                <w:spacing w:val="-8"/>
                <w:szCs w:val="21"/>
                <w:highlight w:val="none"/>
              </w:rPr>
            </w:pPr>
            <w:r>
              <w:rPr>
                <w:rFonts w:hint="eastAsia" w:ascii="宋体" w:hAnsi="宋体" w:cs="宋体"/>
                <w:color w:val="auto"/>
                <w:spacing w:val="-8"/>
                <w:szCs w:val="21"/>
                <w:highlight w:val="none"/>
              </w:rPr>
              <w:t>其他环境</w:t>
            </w:r>
          </w:p>
          <w:p w14:paraId="039EAF04">
            <w:pPr>
              <w:adjustRightInd w:val="0"/>
              <w:snapToGrid w:val="0"/>
              <w:jc w:val="center"/>
              <w:rPr>
                <w:rFonts w:ascii="宋体" w:hAnsi="宋体" w:cs="宋体"/>
                <w:color w:val="auto"/>
                <w:spacing w:val="-8"/>
                <w:szCs w:val="21"/>
                <w:highlight w:val="none"/>
              </w:rPr>
            </w:pPr>
            <w:r>
              <w:rPr>
                <w:rFonts w:hint="eastAsia" w:ascii="宋体" w:hAnsi="宋体" w:cs="宋体"/>
                <w:color w:val="auto"/>
                <w:spacing w:val="-8"/>
                <w:szCs w:val="21"/>
                <w:highlight w:val="none"/>
              </w:rPr>
              <w:t>管理要求</w:t>
            </w:r>
          </w:p>
        </w:tc>
        <w:tc>
          <w:tcPr>
            <w:tcW w:w="7022" w:type="dxa"/>
            <w:gridSpan w:val="4"/>
            <w:vAlign w:val="center"/>
          </w:tcPr>
          <w:p w14:paraId="241DA6F0">
            <w:pPr>
              <w:adjustRightInd w:val="0"/>
              <w:snapToGrid w:val="0"/>
              <w:rPr>
                <w:color w:val="auto"/>
                <w:szCs w:val="21"/>
                <w:highlight w:val="none"/>
              </w:rPr>
            </w:pPr>
            <w:r>
              <w:rPr>
                <w:rFonts w:hint="eastAsia"/>
                <w:color w:val="auto"/>
                <w:szCs w:val="21"/>
                <w:highlight w:val="none"/>
              </w:rPr>
              <w:t>建立环境管理机构，健全环境保护制度，按环保主管部门有关规定办理相关手续：</w:t>
            </w:r>
          </w:p>
          <w:p w14:paraId="3E2DF1F2">
            <w:pPr>
              <w:adjustRightInd w:val="0"/>
              <w:snapToGrid w:val="0"/>
              <w:rPr>
                <w:color w:val="auto"/>
                <w:szCs w:val="21"/>
                <w:highlight w:val="none"/>
              </w:rPr>
            </w:pPr>
            <w:r>
              <w:rPr>
                <w:rFonts w:hint="eastAsia"/>
                <w:color w:val="auto"/>
                <w:szCs w:val="21"/>
                <w:highlight w:val="none"/>
              </w:rPr>
              <w:t>（1）根据“三同时”要求进行竣工环境保护验收。</w:t>
            </w:r>
          </w:p>
          <w:p w14:paraId="45A2029E">
            <w:pPr>
              <w:adjustRightInd w:val="0"/>
              <w:snapToGrid w:val="0"/>
              <w:rPr>
                <w:color w:val="auto"/>
                <w:kern w:val="0"/>
                <w:szCs w:val="21"/>
                <w:highlight w:val="none"/>
              </w:rPr>
            </w:pPr>
            <w:r>
              <w:rPr>
                <w:rFonts w:hint="eastAsia"/>
                <w:color w:val="auto"/>
                <w:szCs w:val="21"/>
                <w:highlight w:val="none"/>
              </w:rPr>
              <w:t>（2）</w:t>
            </w:r>
            <w:r>
              <w:rPr>
                <w:rFonts w:hint="eastAsia"/>
                <w:color w:val="auto"/>
                <w:kern w:val="0"/>
                <w:szCs w:val="21"/>
                <w:highlight w:val="none"/>
              </w:rPr>
              <w:t>根据《固定污染源排污许可分类管理名录（2019年版）》，本项目为登记管理，项目建成投产前应按相应要求进行排污许可登记。</w:t>
            </w:r>
          </w:p>
          <w:p w14:paraId="37B4FB92">
            <w:pPr>
              <w:adjustRightInd w:val="0"/>
              <w:snapToGrid w:val="0"/>
              <w:rPr>
                <w:rFonts w:ascii="宋体" w:hAnsi="宋体" w:cs="宋体"/>
                <w:color w:val="auto"/>
                <w:szCs w:val="21"/>
                <w:highlight w:val="none"/>
              </w:rPr>
            </w:pPr>
          </w:p>
        </w:tc>
      </w:tr>
    </w:tbl>
    <w:p w14:paraId="5A0704CF">
      <w:pPr>
        <w:pStyle w:val="15"/>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4129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5" w:hRule="atLeast"/>
          <w:jc w:val="center"/>
        </w:trPr>
        <w:tc>
          <w:tcPr>
            <w:tcW w:w="8865" w:type="dxa"/>
          </w:tcPr>
          <w:p w14:paraId="03A6DE3B">
            <w:pPr>
              <w:widowControl/>
              <w:spacing w:line="460" w:lineRule="exact"/>
              <w:ind w:firstLine="480" w:firstLineChars="200"/>
              <w:jc w:val="left"/>
              <w:rPr>
                <w:rFonts w:ascii="宋体" w:cs="宋体"/>
                <w:color w:val="auto"/>
                <w:sz w:val="24"/>
                <w:highlight w:val="none"/>
              </w:rPr>
            </w:pPr>
            <w:r>
              <w:rPr>
                <w:rFonts w:hint="eastAsia" w:ascii="宋体" w:hAnsi="宋体" w:cs="宋体"/>
                <w:color w:val="auto"/>
                <w:kern w:val="0"/>
                <w:sz w:val="24"/>
                <w:highlight w:val="none"/>
              </w:rPr>
              <w:t>综上所述，</w:t>
            </w:r>
            <w:r>
              <w:rPr>
                <w:rFonts w:hint="eastAsia" w:ascii="宋体" w:hAnsi="宋体" w:cs="宋体"/>
                <w:bCs/>
                <w:color w:val="auto"/>
                <w:sz w:val="24"/>
                <w:highlight w:val="none"/>
              </w:rPr>
              <w:t>重庆市村里姑娘农业发展有限公司“年产</w:t>
            </w:r>
            <w:r>
              <w:rPr>
                <w:bCs/>
                <w:color w:val="auto"/>
                <w:sz w:val="24"/>
                <w:highlight w:val="none"/>
              </w:rPr>
              <w:t>90</w:t>
            </w:r>
            <w:r>
              <w:rPr>
                <w:rFonts w:hint="eastAsia" w:ascii="宋体" w:hAnsi="宋体" w:cs="宋体"/>
                <w:bCs/>
                <w:color w:val="auto"/>
                <w:sz w:val="24"/>
                <w:highlight w:val="none"/>
              </w:rPr>
              <w:t>吨葛根粉”</w:t>
            </w:r>
            <w:r>
              <w:rPr>
                <w:rFonts w:hint="eastAsia" w:ascii="宋体" w:hAnsi="宋体" w:cs="宋体"/>
                <w:color w:val="auto"/>
                <w:kern w:val="0"/>
                <w:sz w:val="24"/>
                <w:highlight w:val="none"/>
              </w:rPr>
              <w:t>项目建设符合国家、重庆市、合川区现行产业政策，符合合川区龙市镇工业组团土地利用规划。项目产生污染物能够达标排放，建成后对周围环境影响较小。从环境保护角度分析，本项目</w:t>
            </w:r>
            <w:r>
              <w:rPr>
                <w:rFonts w:ascii="宋体" w:hAnsi="宋体" w:cs="宋体"/>
                <w:color w:val="auto"/>
                <w:kern w:val="0"/>
                <w:sz w:val="24"/>
                <w:highlight w:val="none"/>
              </w:rPr>
              <w:t>建设</w:t>
            </w:r>
            <w:r>
              <w:rPr>
                <w:rFonts w:hint="eastAsia" w:ascii="宋体" w:hAnsi="宋体" w:cs="宋体"/>
                <w:color w:val="auto"/>
                <w:kern w:val="0"/>
                <w:sz w:val="24"/>
                <w:highlight w:val="none"/>
              </w:rPr>
              <w:t>可行。</w:t>
            </w:r>
          </w:p>
        </w:tc>
      </w:tr>
    </w:tbl>
    <w:p w14:paraId="2D135094">
      <w:pPr>
        <w:rPr>
          <w:rFonts w:ascii="宋体"/>
          <w:color w:val="auto"/>
          <w:highlight w:val="none"/>
        </w:rPr>
        <w:sectPr>
          <w:pgSz w:w="11906" w:h="16838"/>
          <w:pgMar w:top="1701" w:right="1531" w:bottom="1701" w:left="1531" w:header="851" w:footer="851" w:gutter="0"/>
          <w:cols w:space="720" w:num="1"/>
          <w:docGrid w:linePitch="312" w:charSpace="0"/>
        </w:sectPr>
      </w:pPr>
    </w:p>
    <w:p w14:paraId="2714C77A">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624" w:lineRule="auto"/>
        <w:textAlignment w:val="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63DE2FC7">
      <w:pPr>
        <w:pStyle w:val="15"/>
        <w:adjustRightInd w:val="0"/>
        <w:snapToGrid w:val="0"/>
        <w:spacing w:before="0" w:beforeAutospacing="0" w:after="0" w:afterAutospacing="0" w:line="552" w:lineRule="auto"/>
        <w:jc w:val="center"/>
        <w:outlineLvl w:val="0"/>
        <w:rPr>
          <w:rFonts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1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271"/>
        <w:gridCol w:w="1847"/>
        <w:gridCol w:w="1276"/>
        <w:gridCol w:w="1557"/>
        <w:gridCol w:w="1590"/>
        <w:gridCol w:w="1680"/>
        <w:gridCol w:w="1935"/>
        <w:gridCol w:w="1044"/>
      </w:tblGrid>
      <w:tr w14:paraId="524AE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5555EA9C">
            <w:pPr>
              <w:pStyle w:val="36"/>
              <w:spacing w:beforeLines="0" w:afterLines="0" w:line="240" w:lineRule="auto"/>
              <w:jc w:val="righ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项目</w:t>
            </w:r>
          </w:p>
          <w:p w14:paraId="1C21198D">
            <w:pPr>
              <w:pStyle w:val="36"/>
              <w:spacing w:beforeLines="0" w:afterLines="0" w:line="240" w:lineRule="auto"/>
              <w:jc w:val="lef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分类</w:t>
            </w:r>
          </w:p>
        </w:tc>
        <w:tc>
          <w:tcPr>
            <w:tcW w:w="1271" w:type="dxa"/>
            <w:tcMar>
              <w:left w:w="28" w:type="dxa"/>
              <w:right w:w="28" w:type="dxa"/>
            </w:tcMar>
            <w:vAlign w:val="center"/>
          </w:tcPr>
          <w:p w14:paraId="2967EC0C">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污染物名称</w:t>
            </w:r>
          </w:p>
        </w:tc>
        <w:tc>
          <w:tcPr>
            <w:tcW w:w="1847" w:type="dxa"/>
            <w:tcMar>
              <w:left w:w="28" w:type="dxa"/>
              <w:right w:w="28" w:type="dxa"/>
            </w:tcMar>
            <w:vAlign w:val="center"/>
          </w:tcPr>
          <w:p w14:paraId="091142E2">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34FBC78B">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排放量（固体废物产生量）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1 \* GB3 \* MERGEFORMAT </w:instrText>
            </w:r>
            <w:r>
              <w:rPr>
                <w:rFonts w:ascii="Times New Roman" w:eastAsia="黑体"/>
                <w:snapToGrid w:val="0"/>
                <w:color w:val="auto"/>
                <w:spacing w:val="-6"/>
                <w:kern w:val="21"/>
                <w:szCs w:val="21"/>
                <w:highlight w:val="none"/>
              </w:rPr>
              <w:fldChar w:fldCharType="separate"/>
            </w:r>
            <w:r>
              <w:rPr>
                <w:rFonts w:ascii="Times New Roman" w:eastAsia="黑体"/>
                <w:color w:val="auto"/>
                <w:kern w:val="2"/>
                <w:szCs w:val="21"/>
                <w:highlight w:val="none"/>
              </w:rPr>
              <w:t>①</w:t>
            </w:r>
            <w:r>
              <w:rPr>
                <w:rFonts w:ascii="Times New Roman" w:eastAsia="黑体"/>
                <w:snapToGrid w:val="0"/>
                <w:color w:val="auto"/>
                <w:spacing w:val="-6"/>
                <w:kern w:val="21"/>
                <w:szCs w:val="21"/>
                <w:highlight w:val="none"/>
              </w:rPr>
              <w:fldChar w:fldCharType="end"/>
            </w:r>
          </w:p>
        </w:tc>
        <w:tc>
          <w:tcPr>
            <w:tcW w:w="1276" w:type="dxa"/>
            <w:tcMar>
              <w:left w:w="28" w:type="dxa"/>
              <w:right w:w="28" w:type="dxa"/>
            </w:tcMar>
            <w:vAlign w:val="center"/>
          </w:tcPr>
          <w:p w14:paraId="078F060E">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676CD9A7">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许可排放量</w:t>
            </w:r>
          </w:p>
          <w:p w14:paraId="4CE73DF8">
            <w:pPr>
              <w:pStyle w:val="36"/>
              <w:spacing w:beforeLines="0" w:afterLines="0"/>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2 \* GB3 \* MERGEFORMAT </w:instrText>
            </w:r>
            <w:r>
              <w:rPr>
                <w:rFonts w:ascii="Times New Roman" w:eastAsia="黑体"/>
                <w:snapToGrid w:val="0"/>
                <w:color w:val="auto"/>
                <w:spacing w:val="-6"/>
                <w:kern w:val="21"/>
                <w:szCs w:val="21"/>
                <w:highlight w:val="none"/>
              </w:rPr>
              <w:fldChar w:fldCharType="separate"/>
            </w:r>
            <w:r>
              <w:rPr>
                <w:rFonts w:ascii="Times New Roman" w:eastAsia="黑体"/>
                <w:snapToGrid w:val="0"/>
                <w:color w:val="auto"/>
                <w:spacing w:val="-6"/>
                <w:kern w:val="21"/>
                <w:szCs w:val="21"/>
                <w:highlight w:val="none"/>
              </w:rPr>
              <w:t>②</w:t>
            </w:r>
            <w:r>
              <w:rPr>
                <w:rFonts w:ascii="Times New Roman" w:eastAsia="黑体"/>
                <w:snapToGrid w:val="0"/>
                <w:color w:val="auto"/>
                <w:spacing w:val="-6"/>
                <w:kern w:val="21"/>
                <w:szCs w:val="21"/>
                <w:highlight w:val="none"/>
              </w:rPr>
              <w:fldChar w:fldCharType="end"/>
            </w:r>
          </w:p>
        </w:tc>
        <w:tc>
          <w:tcPr>
            <w:tcW w:w="1557" w:type="dxa"/>
            <w:tcMar>
              <w:left w:w="28" w:type="dxa"/>
              <w:right w:w="28" w:type="dxa"/>
            </w:tcMar>
            <w:vAlign w:val="center"/>
          </w:tcPr>
          <w:p w14:paraId="1A3F22DD">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在建工程</w:t>
            </w:r>
          </w:p>
          <w:p w14:paraId="582FEE61">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排放量（固体废物产生量）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3 \* GB3 \* MERGEFORMAT </w:instrText>
            </w:r>
            <w:r>
              <w:rPr>
                <w:rFonts w:ascii="Times New Roman" w:eastAsia="黑体"/>
                <w:snapToGrid w:val="0"/>
                <w:color w:val="auto"/>
                <w:spacing w:val="-6"/>
                <w:kern w:val="21"/>
                <w:szCs w:val="21"/>
                <w:highlight w:val="none"/>
              </w:rPr>
              <w:fldChar w:fldCharType="separate"/>
            </w:r>
            <w:r>
              <w:rPr>
                <w:rFonts w:ascii="Times New Roman" w:eastAsia="黑体"/>
                <w:color w:val="auto"/>
                <w:kern w:val="2"/>
                <w:szCs w:val="21"/>
                <w:highlight w:val="none"/>
              </w:rPr>
              <w:t>③</w:t>
            </w:r>
            <w:r>
              <w:rPr>
                <w:rFonts w:ascii="Times New Roman" w:eastAsia="黑体"/>
                <w:snapToGrid w:val="0"/>
                <w:color w:val="auto"/>
                <w:spacing w:val="-6"/>
                <w:kern w:val="21"/>
                <w:szCs w:val="21"/>
                <w:highlight w:val="none"/>
              </w:rPr>
              <w:fldChar w:fldCharType="end"/>
            </w:r>
          </w:p>
        </w:tc>
        <w:tc>
          <w:tcPr>
            <w:tcW w:w="1590" w:type="dxa"/>
            <w:tcMar>
              <w:left w:w="28" w:type="dxa"/>
              <w:right w:w="28" w:type="dxa"/>
            </w:tcMar>
            <w:vAlign w:val="center"/>
          </w:tcPr>
          <w:p w14:paraId="127A82E8">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本项目</w:t>
            </w:r>
          </w:p>
          <w:p w14:paraId="33895A6E">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排放量（固体废物产生量）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4 \* GB3 \* MERGEFORMAT </w:instrText>
            </w:r>
            <w:r>
              <w:rPr>
                <w:rFonts w:ascii="Times New Roman" w:eastAsia="黑体"/>
                <w:snapToGrid w:val="0"/>
                <w:color w:val="auto"/>
                <w:spacing w:val="-6"/>
                <w:kern w:val="21"/>
                <w:szCs w:val="21"/>
                <w:highlight w:val="none"/>
              </w:rPr>
              <w:fldChar w:fldCharType="separate"/>
            </w:r>
            <w:r>
              <w:rPr>
                <w:rFonts w:ascii="Times New Roman" w:eastAsia="黑体"/>
                <w:color w:val="auto"/>
                <w:kern w:val="2"/>
                <w:szCs w:val="21"/>
                <w:highlight w:val="none"/>
              </w:rPr>
              <w:t>④</w:t>
            </w:r>
            <w:r>
              <w:rPr>
                <w:rFonts w:ascii="Times New Roman" w:eastAsia="黑体"/>
                <w:snapToGrid w:val="0"/>
                <w:color w:val="auto"/>
                <w:spacing w:val="-6"/>
                <w:kern w:val="21"/>
                <w:szCs w:val="21"/>
                <w:highlight w:val="none"/>
              </w:rPr>
              <w:fldChar w:fldCharType="end"/>
            </w:r>
          </w:p>
        </w:tc>
        <w:tc>
          <w:tcPr>
            <w:tcW w:w="1680" w:type="dxa"/>
            <w:tcMar>
              <w:left w:w="28" w:type="dxa"/>
              <w:right w:w="28" w:type="dxa"/>
            </w:tcMar>
            <w:vAlign w:val="center"/>
          </w:tcPr>
          <w:p w14:paraId="484B4D7A">
            <w:pPr>
              <w:pStyle w:val="36"/>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以新带老削减量</w:t>
            </w:r>
          </w:p>
          <w:p w14:paraId="3DD5955A">
            <w:pPr>
              <w:pStyle w:val="36"/>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（新建项目不填）</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5 \* GB3 \* MERGEFORMAT </w:instrText>
            </w:r>
            <w:r>
              <w:rPr>
                <w:rFonts w:ascii="Times New Roman" w:eastAsia="黑体"/>
                <w:snapToGrid w:val="0"/>
                <w:color w:val="auto"/>
                <w:spacing w:val="-16"/>
                <w:kern w:val="21"/>
                <w:szCs w:val="21"/>
                <w:highlight w:val="none"/>
              </w:rPr>
              <w:fldChar w:fldCharType="separate"/>
            </w:r>
            <w:r>
              <w:rPr>
                <w:rFonts w:ascii="Times New Roman" w:eastAsia="黑体"/>
                <w:color w:val="auto"/>
                <w:kern w:val="2"/>
                <w:szCs w:val="21"/>
                <w:highlight w:val="none"/>
              </w:rPr>
              <w:t>⑤</w:t>
            </w:r>
            <w:r>
              <w:rPr>
                <w:rFonts w:ascii="Times New Roman" w:eastAsia="黑体"/>
                <w:snapToGrid w:val="0"/>
                <w:color w:val="auto"/>
                <w:spacing w:val="-16"/>
                <w:kern w:val="21"/>
                <w:szCs w:val="21"/>
                <w:highlight w:val="none"/>
              </w:rPr>
              <w:fldChar w:fldCharType="end"/>
            </w:r>
          </w:p>
        </w:tc>
        <w:tc>
          <w:tcPr>
            <w:tcW w:w="1935" w:type="dxa"/>
            <w:tcMar>
              <w:left w:w="28" w:type="dxa"/>
              <w:right w:w="28" w:type="dxa"/>
            </w:tcMar>
            <w:vAlign w:val="center"/>
          </w:tcPr>
          <w:p w14:paraId="7D337FC8">
            <w:pPr>
              <w:pStyle w:val="36"/>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本项目建成后</w:t>
            </w:r>
          </w:p>
          <w:p w14:paraId="4256B855">
            <w:pPr>
              <w:pStyle w:val="36"/>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全厂排放量（固体废物产生量）</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6 \* GB3 \* MERGEFORMAT </w:instrText>
            </w:r>
            <w:r>
              <w:rPr>
                <w:rFonts w:ascii="Times New Roman" w:eastAsia="黑体"/>
                <w:snapToGrid w:val="0"/>
                <w:color w:val="auto"/>
                <w:spacing w:val="-16"/>
                <w:kern w:val="21"/>
                <w:szCs w:val="21"/>
                <w:highlight w:val="none"/>
              </w:rPr>
              <w:fldChar w:fldCharType="separate"/>
            </w:r>
            <w:r>
              <w:rPr>
                <w:rFonts w:ascii="Times New Roman" w:eastAsia="黑体"/>
                <w:color w:val="auto"/>
                <w:kern w:val="2"/>
                <w:szCs w:val="21"/>
                <w:highlight w:val="none"/>
              </w:rPr>
              <w:t>⑥</w:t>
            </w:r>
            <w:r>
              <w:rPr>
                <w:rFonts w:ascii="Times New Roman" w:eastAsia="黑体"/>
                <w:snapToGrid w:val="0"/>
                <w:color w:val="auto"/>
                <w:spacing w:val="-16"/>
                <w:kern w:val="21"/>
                <w:szCs w:val="21"/>
                <w:highlight w:val="none"/>
              </w:rPr>
              <w:fldChar w:fldCharType="end"/>
            </w:r>
          </w:p>
        </w:tc>
        <w:tc>
          <w:tcPr>
            <w:tcW w:w="1044" w:type="dxa"/>
            <w:tcMar>
              <w:left w:w="28" w:type="dxa"/>
              <w:right w:w="28" w:type="dxa"/>
            </w:tcMar>
            <w:vAlign w:val="center"/>
          </w:tcPr>
          <w:p w14:paraId="1159AE1F">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变化量</w:t>
            </w:r>
          </w:p>
          <w:p w14:paraId="716BB7CF">
            <w:pPr>
              <w:pStyle w:val="36"/>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7 \* GB3 \* MERGEFORMAT </w:instrText>
            </w:r>
            <w:r>
              <w:rPr>
                <w:rFonts w:ascii="Times New Roman" w:eastAsia="黑体"/>
                <w:snapToGrid w:val="0"/>
                <w:color w:val="auto"/>
                <w:spacing w:val="-6"/>
                <w:kern w:val="21"/>
                <w:szCs w:val="21"/>
                <w:highlight w:val="none"/>
              </w:rPr>
              <w:fldChar w:fldCharType="separate"/>
            </w:r>
            <w:r>
              <w:rPr>
                <w:rFonts w:ascii="Times New Roman" w:eastAsia="黑体"/>
                <w:color w:val="auto"/>
                <w:kern w:val="2"/>
                <w:szCs w:val="21"/>
                <w:highlight w:val="none"/>
              </w:rPr>
              <w:t>⑦</w:t>
            </w:r>
            <w:r>
              <w:rPr>
                <w:rFonts w:ascii="Times New Roman" w:eastAsia="黑体"/>
                <w:snapToGrid w:val="0"/>
                <w:color w:val="auto"/>
                <w:spacing w:val="-6"/>
                <w:kern w:val="21"/>
                <w:szCs w:val="21"/>
                <w:highlight w:val="none"/>
              </w:rPr>
              <w:fldChar w:fldCharType="end"/>
            </w:r>
          </w:p>
        </w:tc>
      </w:tr>
      <w:tr w14:paraId="4A565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88" w:type="dxa"/>
            <w:vMerge w:val="restart"/>
            <w:vAlign w:val="center"/>
          </w:tcPr>
          <w:p w14:paraId="47FB7BFB">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废气</w:t>
            </w:r>
          </w:p>
        </w:tc>
        <w:tc>
          <w:tcPr>
            <w:tcW w:w="1271" w:type="dxa"/>
            <w:vAlign w:val="center"/>
          </w:tcPr>
          <w:p w14:paraId="7EC626D0">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847" w:type="dxa"/>
            <w:vAlign w:val="center"/>
          </w:tcPr>
          <w:p w14:paraId="7F592524">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07B8586F">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6819ABF5">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4AFC123B">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680" w:type="dxa"/>
            <w:vAlign w:val="center"/>
          </w:tcPr>
          <w:p w14:paraId="0A5FA3BF">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77A9C07E">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044" w:type="dxa"/>
            <w:vAlign w:val="center"/>
          </w:tcPr>
          <w:p w14:paraId="677788B7">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r>
      <w:tr w14:paraId="0B514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738C4CE1">
            <w:pPr>
              <w:pStyle w:val="36"/>
              <w:spacing w:beforeLines="0" w:afterLines="0" w:line="240" w:lineRule="auto"/>
              <w:rPr>
                <w:rFonts w:ascii="Times New Roman"/>
                <w:snapToGrid w:val="0"/>
                <w:color w:val="auto"/>
                <w:kern w:val="21"/>
                <w:szCs w:val="21"/>
                <w:highlight w:val="none"/>
              </w:rPr>
            </w:pPr>
          </w:p>
        </w:tc>
        <w:tc>
          <w:tcPr>
            <w:tcW w:w="1271" w:type="dxa"/>
            <w:vAlign w:val="center"/>
          </w:tcPr>
          <w:p w14:paraId="673CF6DC">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847" w:type="dxa"/>
            <w:vAlign w:val="center"/>
          </w:tcPr>
          <w:p w14:paraId="05681D08">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339258AC">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1482C877">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549F8688">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680" w:type="dxa"/>
            <w:vAlign w:val="center"/>
          </w:tcPr>
          <w:p w14:paraId="781FBED1">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2D188D0F">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044" w:type="dxa"/>
            <w:vAlign w:val="center"/>
          </w:tcPr>
          <w:p w14:paraId="0C1E2CA3">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r>
      <w:tr w14:paraId="366B8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88" w:type="dxa"/>
            <w:vMerge w:val="restart"/>
            <w:vAlign w:val="center"/>
          </w:tcPr>
          <w:p w14:paraId="425B1AC3">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废水</w:t>
            </w:r>
          </w:p>
        </w:tc>
        <w:tc>
          <w:tcPr>
            <w:tcW w:w="1271" w:type="dxa"/>
            <w:vAlign w:val="center"/>
          </w:tcPr>
          <w:p w14:paraId="2181E7EB">
            <w:pPr>
              <w:adjustRightInd w:val="0"/>
              <w:snapToGrid w:val="0"/>
              <w:jc w:val="center"/>
              <w:rPr>
                <w:snapToGrid w:val="0"/>
                <w:color w:val="auto"/>
                <w:kern w:val="21"/>
                <w:szCs w:val="21"/>
                <w:highlight w:val="none"/>
              </w:rPr>
            </w:pPr>
            <w:r>
              <w:rPr>
                <w:color w:val="auto"/>
                <w:szCs w:val="21"/>
                <w:highlight w:val="none"/>
              </w:rPr>
              <w:t>COD</w:t>
            </w:r>
          </w:p>
        </w:tc>
        <w:tc>
          <w:tcPr>
            <w:tcW w:w="1847" w:type="dxa"/>
            <w:vAlign w:val="center"/>
          </w:tcPr>
          <w:p w14:paraId="35AA8963">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7C3FB9BA">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5D4E06C4">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42B3DF9C">
            <w:pPr>
              <w:widowControl/>
              <w:jc w:val="center"/>
              <w:textAlignment w:val="center"/>
              <w:rPr>
                <w:snapToGrid w:val="0"/>
                <w:color w:val="auto"/>
                <w:kern w:val="21"/>
                <w:szCs w:val="21"/>
                <w:highlight w:val="none"/>
              </w:rPr>
            </w:pPr>
            <w:r>
              <w:rPr>
                <w:color w:val="auto"/>
                <w:kern w:val="0"/>
                <w:szCs w:val="21"/>
                <w:highlight w:val="none"/>
                <w:lang w:bidi="ar"/>
              </w:rPr>
              <w:t>0.074</w:t>
            </w:r>
          </w:p>
        </w:tc>
        <w:tc>
          <w:tcPr>
            <w:tcW w:w="1680" w:type="dxa"/>
            <w:vAlign w:val="center"/>
          </w:tcPr>
          <w:p w14:paraId="06ABAAF8">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58A8B0D5">
            <w:pPr>
              <w:widowControl/>
              <w:jc w:val="center"/>
              <w:textAlignment w:val="center"/>
              <w:rPr>
                <w:color w:val="auto"/>
                <w:highlight w:val="none"/>
              </w:rPr>
            </w:pPr>
            <w:r>
              <w:rPr>
                <w:color w:val="auto"/>
                <w:kern w:val="0"/>
                <w:szCs w:val="21"/>
                <w:highlight w:val="none"/>
                <w:lang w:bidi="ar"/>
              </w:rPr>
              <w:t>0.074</w:t>
            </w:r>
          </w:p>
        </w:tc>
        <w:tc>
          <w:tcPr>
            <w:tcW w:w="1044" w:type="dxa"/>
            <w:vAlign w:val="center"/>
          </w:tcPr>
          <w:p w14:paraId="61D0BAB2">
            <w:pPr>
              <w:widowControl/>
              <w:jc w:val="center"/>
              <w:textAlignment w:val="center"/>
              <w:rPr>
                <w:color w:val="auto"/>
                <w:highlight w:val="none"/>
              </w:rPr>
            </w:pPr>
            <w:r>
              <w:rPr>
                <w:color w:val="auto"/>
                <w:kern w:val="0"/>
                <w:szCs w:val="21"/>
                <w:highlight w:val="none"/>
                <w:lang w:bidi="ar"/>
              </w:rPr>
              <w:t>+0.074</w:t>
            </w:r>
          </w:p>
        </w:tc>
      </w:tr>
      <w:tr w14:paraId="3E58B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88" w:type="dxa"/>
            <w:vMerge w:val="continue"/>
            <w:vAlign w:val="center"/>
          </w:tcPr>
          <w:p w14:paraId="0FDDF180">
            <w:pPr>
              <w:pStyle w:val="36"/>
              <w:spacing w:beforeLines="0" w:afterLines="0" w:line="240" w:lineRule="auto"/>
              <w:rPr>
                <w:rFonts w:ascii="Times New Roman"/>
                <w:color w:val="auto"/>
                <w:highlight w:val="none"/>
              </w:rPr>
            </w:pPr>
          </w:p>
        </w:tc>
        <w:tc>
          <w:tcPr>
            <w:tcW w:w="1271" w:type="dxa"/>
            <w:vAlign w:val="center"/>
          </w:tcPr>
          <w:p w14:paraId="48C02180">
            <w:pPr>
              <w:adjustRightInd w:val="0"/>
              <w:snapToGrid w:val="0"/>
              <w:jc w:val="center"/>
              <w:rPr>
                <w:snapToGrid w:val="0"/>
                <w:color w:val="auto"/>
                <w:kern w:val="21"/>
                <w:szCs w:val="21"/>
                <w:highlight w:val="none"/>
              </w:rPr>
            </w:pPr>
            <w:r>
              <w:rPr>
                <w:color w:val="auto"/>
                <w:szCs w:val="21"/>
                <w:highlight w:val="none"/>
              </w:rPr>
              <w:t>BOD</w:t>
            </w:r>
            <w:r>
              <w:rPr>
                <w:color w:val="auto"/>
                <w:szCs w:val="21"/>
                <w:highlight w:val="none"/>
                <w:vertAlign w:val="subscript"/>
              </w:rPr>
              <w:t>5</w:t>
            </w:r>
          </w:p>
        </w:tc>
        <w:tc>
          <w:tcPr>
            <w:tcW w:w="1847" w:type="dxa"/>
            <w:vAlign w:val="center"/>
          </w:tcPr>
          <w:p w14:paraId="043D4C6B">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25FD1893">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611AEF6B">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38E9E1DE">
            <w:pPr>
              <w:widowControl/>
              <w:jc w:val="center"/>
              <w:textAlignment w:val="center"/>
              <w:rPr>
                <w:snapToGrid w:val="0"/>
                <w:color w:val="auto"/>
                <w:kern w:val="21"/>
                <w:szCs w:val="21"/>
                <w:highlight w:val="none"/>
              </w:rPr>
            </w:pPr>
            <w:r>
              <w:rPr>
                <w:color w:val="auto"/>
                <w:kern w:val="0"/>
                <w:szCs w:val="21"/>
                <w:highlight w:val="none"/>
                <w:lang w:bidi="ar"/>
              </w:rPr>
              <w:t>0.015</w:t>
            </w:r>
          </w:p>
        </w:tc>
        <w:tc>
          <w:tcPr>
            <w:tcW w:w="1680" w:type="dxa"/>
            <w:vAlign w:val="center"/>
          </w:tcPr>
          <w:p w14:paraId="53A9B229">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0ED2A9F9">
            <w:pPr>
              <w:widowControl/>
              <w:jc w:val="center"/>
              <w:textAlignment w:val="center"/>
              <w:rPr>
                <w:color w:val="auto"/>
                <w:highlight w:val="none"/>
              </w:rPr>
            </w:pPr>
            <w:r>
              <w:rPr>
                <w:color w:val="auto"/>
                <w:kern w:val="0"/>
                <w:szCs w:val="21"/>
                <w:highlight w:val="none"/>
                <w:lang w:bidi="ar"/>
              </w:rPr>
              <w:t>0.015</w:t>
            </w:r>
          </w:p>
        </w:tc>
        <w:tc>
          <w:tcPr>
            <w:tcW w:w="1044" w:type="dxa"/>
            <w:vAlign w:val="center"/>
          </w:tcPr>
          <w:p w14:paraId="7AF833C8">
            <w:pPr>
              <w:widowControl/>
              <w:jc w:val="center"/>
              <w:textAlignment w:val="center"/>
              <w:rPr>
                <w:color w:val="auto"/>
                <w:highlight w:val="none"/>
              </w:rPr>
            </w:pPr>
            <w:r>
              <w:rPr>
                <w:color w:val="auto"/>
                <w:kern w:val="0"/>
                <w:szCs w:val="21"/>
                <w:highlight w:val="none"/>
                <w:lang w:bidi="ar"/>
              </w:rPr>
              <w:t>+0.015</w:t>
            </w:r>
          </w:p>
        </w:tc>
      </w:tr>
      <w:tr w14:paraId="0390E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14:paraId="11B65A27">
            <w:pPr>
              <w:pStyle w:val="36"/>
              <w:spacing w:beforeLines="0" w:afterLines="0" w:line="240" w:lineRule="auto"/>
              <w:rPr>
                <w:rFonts w:ascii="Times New Roman"/>
                <w:snapToGrid w:val="0"/>
                <w:color w:val="auto"/>
                <w:kern w:val="21"/>
                <w:szCs w:val="21"/>
                <w:highlight w:val="none"/>
              </w:rPr>
            </w:pPr>
          </w:p>
        </w:tc>
        <w:tc>
          <w:tcPr>
            <w:tcW w:w="1271" w:type="dxa"/>
            <w:vAlign w:val="center"/>
          </w:tcPr>
          <w:p w14:paraId="1212D91D">
            <w:pPr>
              <w:adjustRightInd w:val="0"/>
              <w:snapToGrid w:val="0"/>
              <w:jc w:val="center"/>
              <w:rPr>
                <w:snapToGrid w:val="0"/>
                <w:color w:val="auto"/>
                <w:kern w:val="21"/>
                <w:szCs w:val="21"/>
                <w:highlight w:val="none"/>
              </w:rPr>
            </w:pPr>
            <w:r>
              <w:rPr>
                <w:color w:val="auto"/>
                <w:szCs w:val="21"/>
                <w:highlight w:val="none"/>
              </w:rPr>
              <w:t>SS</w:t>
            </w:r>
          </w:p>
        </w:tc>
        <w:tc>
          <w:tcPr>
            <w:tcW w:w="1847" w:type="dxa"/>
            <w:vAlign w:val="center"/>
          </w:tcPr>
          <w:p w14:paraId="029BC0E1">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555E7916">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35FB7543">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11E9D6E9">
            <w:pPr>
              <w:widowControl/>
              <w:jc w:val="center"/>
              <w:textAlignment w:val="center"/>
              <w:rPr>
                <w:snapToGrid w:val="0"/>
                <w:color w:val="auto"/>
                <w:kern w:val="21"/>
                <w:szCs w:val="21"/>
                <w:highlight w:val="none"/>
              </w:rPr>
            </w:pPr>
            <w:r>
              <w:rPr>
                <w:color w:val="auto"/>
                <w:kern w:val="0"/>
                <w:szCs w:val="21"/>
                <w:highlight w:val="none"/>
                <w:lang w:bidi="ar"/>
              </w:rPr>
              <w:t>0.015</w:t>
            </w:r>
          </w:p>
        </w:tc>
        <w:tc>
          <w:tcPr>
            <w:tcW w:w="1680" w:type="dxa"/>
            <w:vAlign w:val="center"/>
          </w:tcPr>
          <w:p w14:paraId="7402EDE3">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11A8A02F">
            <w:pPr>
              <w:widowControl/>
              <w:jc w:val="center"/>
              <w:textAlignment w:val="center"/>
              <w:rPr>
                <w:color w:val="auto"/>
                <w:highlight w:val="none"/>
              </w:rPr>
            </w:pPr>
            <w:r>
              <w:rPr>
                <w:color w:val="auto"/>
                <w:kern w:val="0"/>
                <w:szCs w:val="21"/>
                <w:highlight w:val="none"/>
                <w:lang w:bidi="ar"/>
              </w:rPr>
              <w:t>0.015</w:t>
            </w:r>
          </w:p>
        </w:tc>
        <w:tc>
          <w:tcPr>
            <w:tcW w:w="1044" w:type="dxa"/>
            <w:vAlign w:val="center"/>
          </w:tcPr>
          <w:p w14:paraId="7B11FF8F">
            <w:pPr>
              <w:widowControl/>
              <w:jc w:val="center"/>
              <w:textAlignment w:val="center"/>
              <w:rPr>
                <w:color w:val="auto"/>
                <w:highlight w:val="none"/>
              </w:rPr>
            </w:pPr>
            <w:r>
              <w:rPr>
                <w:color w:val="auto"/>
                <w:kern w:val="0"/>
                <w:szCs w:val="21"/>
                <w:highlight w:val="none"/>
                <w:lang w:bidi="ar"/>
              </w:rPr>
              <w:t>+0.015</w:t>
            </w:r>
          </w:p>
        </w:tc>
      </w:tr>
      <w:tr w14:paraId="2CB15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88" w:type="dxa"/>
            <w:vMerge w:val="continue"/>
            <w:vAlign w:val="center"/>
          </w:tcPr>
          <w:p w14:paraId="7E071075">
            <w:pPr>
              <w:pStyle w:val="36"/>
              <w:spacing w:beforeLines="0" w:afterLines="0" w:line="240" w:lineRule="auto"/>
              <w:rPr>
                <w:rFonts w:ascii="Times New Roman"/>
                <w:snapToGrid w:val="0"/>
                <w:color w:val="auto"/>
                <w:kern w:val="21"/>
                <w:szCs w:val="21"/>
                <w:highlight w:val="none"/>
              </w:rPr>
            </w:pPr>
          </w:p>
        </w:tc>
        <w:tc>
          <w:tcPr>
            <w:tcW w:w="1271" w:type="dxa"/>
            <w:vAlign w:val="center"/>
          </w:tcPr>
          <w:p w14:paraId="4F16E43E">
            <w:pPr>
              <w:adjustRightInd w:val="0"/>
              <w:snapToGrid w:val="0"/>
              <w:jc w:val="center"/>
              <w:rPr>
                <w:snapToGrid w:val="0"/>
                <w:color w:val="auto"/>
                <w:kern w:val="21"/>
                <w:szCs w:val="21"/>
                <w:highlight w:val="none"/>
              </w:rPr>
            </w:pPr>
            <w:r>
              <w:rPr>
                <w:color w:val="auto"/>
                <w:szCs w:val="21"/>
                <w:highlight w:val="none"/>
              </w:rPr>
              <w:t>氨氮</w:t>
            </w:r>
          </w:p>
        </w:tc>
        <w:tc>
          <w:tcPr>
            <w:tcW w:w="1847" w:type="dxa"/>
            <w:vAlign w:val="center"/>
          </w:tcPr>
          <w:p w14:paraId="425CFFCD">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2A20F961">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0F3BA456">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32CA06A3">
            <w:pPr>
              <w:widowControl/>
              <w:jc w:val="center"/>
              <w:textAlignment w:val="center"/>
              <w:rPr>
                <w:snapToGrid w:val="0"/>
                <w:color w:val="auto"/>
                <w:kern w:val="21"/>
                <w:szCs w:val="21"/>
                <w:highlight w:val="none"/>
              </w:rPr>
            </w:pPr>
            <w:r>
              <w:rPr>
                <w:color w:val="auto"/>
                <w:kern w:val="0"/>
                <w:szCs w:val="21"/>
                <w:highlight w:val="none"/>
                <w:lang w:bidi="ar"/>
              </w:rPr>
              <w:t>0.007</w:t>
            </w:r>
          </w:p>
        </w:tc>
        <w:tc>
          <w:tcPr>
            <w:tcW w:w="1680" w:type="dxa"/>
            <w:vAlign w:val="center"/>
          </w:tcPr>
          <w:p w14:paraId="23F3163B">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7D04F34D">
            <w:pPr>
              <w:widowControl/>
              <w:jc w:val="center"/>
              <w:textAlignment w:val="center"/>
              <w:rPr>
                <w:color w:val="auto"/>
                <w:highlight w:val="none"/>
              </w:rPr>
            </w:pPr>
            <w:r>
              <w:rPr>
                <w:color w:val="auto"/>
                <w:kern w:val="0"/>
                <w:szCs w:val="21"/>
                <w:highlight w:val="none"/>
                <w:lang w:bidi="ar"/>
              </w:rPr>
              <w:t>0.007</w:t>
            </w:r>
          </w:p>
        </w:tc>
        <w:tc>
          <w:tcPr>
            <w:tcW w:w="1044" w:type="dxa"/>
            <w:vAlign w:val="center"/>
          </w:tcPr>
          <w:p w14:paraId="38C0B1D4">
            <w:pPr>
              <w:widowControl/>
              <w:jc w:val="center"/>
              <w:textAlignment w:val="center"/>
              <w:rPr>
                <w:color w:val="auto"/>
                <w:highlight w:val="none"/>
              </w:rPr>
            </w:pPr>
            <w:r>
              <w:rPr>
                <w:color w:val="auto"/>
                <w:kern w:val="0"/>
                <w:szCs w:val="21"/>
                <w:highlight w:val="none"/>
                <w:lang w:bidi="ar"/>
              </w:rPr>
              <w:t>+0.007</w:t>
            </w:r>
          </w:p>
        </w:tc>
      </w:tr>
      <w:tr w14:paraId="24407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88" w:type="dxa"/>
            <w:vMerge w:val="continue"/>
            <w:vAlign w:val="center"/>
          </w:tcPr>
          <w:p w14:paraId="1FADBD6B">
            <w:pPr>
              <w:pStyle w:val="36"/>
              <w:spacing w:beforeLines="0" w:afterLines="0" w:line="240" w:lineRule="auto"/>
              <w:rPr>
                <w:rFonts w:ascii="Times New Roman"/>
                <w:color w:val="auto"/>
                <w:highlight w:val="none"/>
              </w:rPr>
            </w:pPr>
          </w:p>
        </w:tc>
        <w:tc>
          <w:tcPr>
            <w:tcW w:w="1271" w:type="dxa"/>
            <w:vAlign w:val="center"/>
          </w:tcPr>
          <w:p w14:paraId="3BB65A44">
            <w:pPr>
              <w:adjustRightInd w:val="0"/>
              <w:snapToGrid w:val="0"/>
              <w:jc w:val="center"/>
              <w:rPr>
                <w:snapToGrid w:val="0"/>
                <w:color w:val="auto"/>
                <w:kern w:val="21"/>
                <w:szCs w:val="21"/>
                <w:highlight w:val="none"/>
              </w:rPr>
            </w:pPr>
            <w:r>
              <w:rPr>
                <w:color w:val="auto"/>
                <w:szCs w:val="21"/>
                <w:highlight w:val="none"/>
              </w:rPr>
              <w:t>总氮</w:t>
            </w:r>
          </w:p>
        </w:tc>
        <w:tc>
          <w:tcPr>
            <w:tcW w:w="1847" w:type="dxa"/>
            <w:vAlign w:val="center"/>
          </w:tcPr>
          <w:p w14:paraId="06D7642F">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11141BAC">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3BC37F85">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4B8FB306">
            <w:pPr>
              <w:widowControl/>
              <w:jc w:val="center"/>
              <w:textAlignment w:val="center"/>
              <w:rPr>
                <w:snapToGrid w:val="0"/>
                <w:color w:val="auto"/>
                <w:kern w:val="21"/>
                <w:szCs w:val="21"/>
                <w:highlight w:val="none"/>
              </w:rPr>
            </w:pPr>
            <w:r>
              <w:rPr>
                <w:color w:val="auto"/>
                <w:kern w:val="0"/>
                <w:szCs w:val="21"/>
                <w:highlight w:val="none"/>
                <w:lang w:bidi="ar"/>
              </w:rPr>
              <w:t>0.022</w:t>
            </w:r>
          </w:p>
        </w:tc>
        <w:tc>
          <w:tcPr>
            <w:tcW w:w="1680" w:type="dxa"/>
            <w:vAlign w:val="center"/>
          </w:tcPr>
          <w:p w14:paraId="7FFA2D56">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0A5ECE90">
            <w:pPr>
              <w:widowControl/>
              <w:jc w:val="center"/>
              <w:textAlignment w:val="center"/>
              <w:rPr>
                <w:color w:val="auto"/>
                <w:highlight w:val="none"/>
              </w:rPr>
            </w:pPr>
            <w:r>
              <w:rPr>
                <w:color w:val="auto"/>
                <w:kern w:val="0"/>
                <w:szCs w:val="21"/>
                <w:highlight w:val="none"/>
                <w:lang w:bidi="ar"/>
              </w:rPr>
              <w:t>0.022</w:t>
            </w:r>
          </w:p>
        </w:tc>
        <w:tc>
          <w:tcPr>
            <w:tcW w:w="1044" w:type="dxa"/>
            <w:vAlign w:val="center"/>
          </w:tcPr>
          <w:p w14:paraId="309864A8">
            <w:pPr>
              <w:widowControl/>
              <w:jc w:val="center"/>
              <w:textAlignment w:val="center"/>
              <w:rPr>
                <w:color w:val="auto"/>
                <w:highlight w:val="none"/>
              </w:rPr>
            </w:pPr>
            <w:r>
              <w:rPr>
                <w:color w:val="auto"/>
                <w:kern w:val="0"/>
                <w:szCs w:val="21"/>
                <w:highlight w:val="none"/>
                <w:lang w:bidi="ar"/>
              </w:rPr>
              <w:t>+0.022</w:t>
            </w:r>
          </w:p>
        </w:tc>
      </w:tr>
      <w:tr w14:paraId="1CBAA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vAlign w:val="center"/>
          </w:tcPr>
          <w:p w14:paraId="11700041">
            <w:pPr>
              <w:widowControl/>
              <w:spacing w:line="300" w:lineRule="exact"/>
              <w:jc w:val="center"/>
              <w:rPr>
                <w:color w:val="auto"/>
                <w:highlight w:val="none"/>
              </w:rPr>
            </w:pPr>
          </w:p>
        </w:tc>
        <w:tc>
          <w:tcPr>
            <w:tcW w:w="1271" w:type="dxa"/>
            <w:vAlign w:val="center"/>
          </w:tcPr>
          <w:p w14:paraId="3D8D1491">
            <w:pPr>
              <w:widowControl/>
              <w:spacing w:line="300" w:lineRule="exact"/>
              <w:jc w:val="center"/>
              <w:rPr>
                <w:color w:val="auto"/>
                <w:szCs w:val="21"/>
                <w:highlight w:val="none"/>
              </w:rPr>
            </w:pPr>
            <w:r>
              <w:rPr>
                <w:color w:val="auto"/>
                <w:szCs w:val="21"/>
                <w:highlight w:val="none"/>
              </w:rPr>
              <w:t>总磷</w:t>
            </w:r>
          </w:p>
        </w:tc>
        <w:tc>
          <w:tcPr>
            <w:tcW w:w="1847" w:type="dxa"/>
            <w:vAlign w:val="center"/>
          </w:tcPr>
          <w:p w14:paraId="1EAF15D0">
            <w:pPr>
              <w:widowControl/>
              <w:spacing w:line="300" w:lineRule="exact"/>
              <w:jc w:val="center"/>
              <w:rPr>
                <w:color w:val="auto"/>
                <w:szCs w:val="21"/>
                <w:highlight w:val="none"/>
              </w:rPr>
            </w:pPr>
            <w:r>
              <w:rPr>
                <w:color w:val="auto"/>
                <w:szCs w:val="21"/>
                <w:highlight w:val="none"/>
              </w:rPr>
              <w:t>/</w:t>
            </w:r>
          </w:p>
        </w:tc>
        <w:tc>
          <w:tcPr>
            <w:tcW w:w="1276" w:type="dxa"/>
            <w:vAlign w:val="center"/>
          </w:tcPr>
          <w:p w14:paraId="4A3CB54F">
            <w:pPr>
              <w:widowControl/>
              <w:spacing w:line="300" w:lineRule="exact"/>
              <w:jc w:val="center"/>
              <w:rPr>
                <w:color w:val="auto"/>
                <w:szCs w:val="21"/>
                <w:highlight w:val="none"/>
              </w:rPr>
            </w:pPr>
            <w:r>
              <w:rPr>
                <w:color w:val="auto"/>
                <w:szCs w:val="21"/>
                <w:highlight w:val="none"/>
              </w:rPr>
              <w:t>/</w:t>
            </w:r>
          </w:p>
        </w:tc>
        <w:tc>
          <w:tcPr>
            <w:tcW w:w="1557" w:type="dxa"/>
            <w:vAlign w:val="center"/>
          </w:tcPr>
          <w:p w14:paraId="1A8728D1">
            <w:pPr>
              <w:widowControl/>
              <w:spacing w:line="300" w:lineRule="exact"/>
              <w:jc w:val="center"/>
              <w:rPr>
                <w:color w:val="auto"/>
                <w:szCs w:val="21"/>
                <w:highlight w:val="none"/>
              </w:rPr>
            </w:pPr>
            <w:r>
              <w:rPr>
                <w:color w:val="auto"/>
                <w:szCs w:val="21"/>
                <w:highlight w:val="none"/>
              </w:rPr>
              <w:t>/</w:t>
            </w:r>
          </w:p>
        </w:tc>
        <w:tc>
          <w:tcPr>
            <w:tcW w:w="1590" w:type="dxa"/>
            <w:vAlign w:val="center"/>
          </w:tcPr>
          <w:p w14:paraId="498FD098">
            <w:pPr>
              <w:widowControl/>
              <w:jc w:val="center"/>
              <w:textAlignment w:val="center"/>
              <w:rPr>
                <w:color w:val="auto"/>
                <w:szCs w:val="21"/>
                <w:highlight w:val="none"/>
              </w:rPr>
            </w:pPr>
            <w:r>
              <w:rPr>
                <w:color w:val="auto"/>
                <w:kern w:val="0"/>
                <w:szCs w:val="21"/>
                <w:highlight w:val="none"/>
                <w:lang w:bidi="ar"/>
              </w:rPr>
              <w:t>0.001</w:t>
            </w:r>
          </w:p>
        </w:tc>
        <w:tc>
          <w:tcPr>
            <w:tcW w:w="1680" w:type="dxa"/>
            <w:vAlign w:val="center"/>
          </w:tcPr>
          <w:p w14:paraId="468254B6">
            <w:pPr>
              <w:widowControl/>
              <w:spacing w:line="300" w:lineRule="exact"/>
              <w:jc w:val="center"/>
              <w:rPr>
                <w:color w:val="auto"/>
                <w:szCs w:val="21"/>
                <w:highlight w:val="none"/>
              </w:rPr>
            </w:pPr>
            <w:r>
              <w:rPr>
                <w:color w:val="auto"/>
                <w:szCs w:val="21"/>
                <w:highlight w:val="none"/>
              </w:rPr>
              <w:t>/</w:t>
            </w:r>
          </w:p>
        </w:tc>
        <w:tc>
          <w:tcPr>
            <w:tcW w:w="1935" w:type="dxa"/>
            <w:vAlign w:val="center"/>
          </w:tcPr>
          <w:p w14:paraId="1D1D1FBF">
            <w:pPr>
              <w:widowControl/>
              <w:jc w:val="center"/>
              <w:textAlignment w:val="center"/>
              <w:rPr>
                <w:color w:val="auto"/>
                <w:highlight w:val="none"/>
              </w:rPr>
            </w:pPr>
            <w:r>
              <w:rPr>
                <w:color w:val="auto"/>
                <w:kern w:val="0"/>
                <w:szCs w:val="21"/>
                <w:highlight w:val="none"/>
                <w:lang w:bidi="ar"/>
              </w:rPr>
              <w:t>0.001</w:t>
            </w:r>
          </w:p>
        </w:tc>
        <w:tc>
          <w:tcPr>
            <w:tcW w:w="1044" w:type="dxa"/>
            <w:vAlign w:val="center"/>
          </w:tcPr>
          <w:p w14:paraId="53215D04">
            <w:pPr>
              <w:widowControl/>
              <w:jc w:val="center"/>
              <w:textAlignment w:val="center"/>
              <w:rPr>
                <w:color w:val="auto"/>
                <w:highlight w:val="none"/>
              </w:rPr>
            </w:pPr>
            <w:r>
              <w:rPr>
                <w:color w:val="auto"/>
                <w:kern w:val="0"/>
                <w:szCs w:val="21"/>
                <w:highlight w:val="none"/>
                <w:lang w:bidi="ar"/>
              </w:rPr>
              <w:t>+0.001</w:t>
            </w:r>
          </w:p>
        </w:tc>
      </w:tr>
      <w:tr w14:paraId="38A19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588" w:type="dxa"/>
            <w:vMerge w:val="restart"/>
            <w:vAlign w:val="center"/>
          </w:tcPr>
          <w:p w14:paraId="28A22AB0">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一般工业</w:t>
            </w:r>
          </w:p>
          <w:p w14:paraId="6EDFB554">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固体废物</w:t>
            </w:r>
          </w:p>
        </w:tc>
        <w:tc>
          <w:tcPr>
            <w:tcW w:w="1271" w:type="dxa"/>
            <w:vAlign w:val="center"/>
          </w:tcPr>
          <w:p w14:paraId="6605AB68">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生产废渣</w:t>
            </w:r>
          </w:p>
        </w:tc>
        <w:tc>
          <w:tcPr>
            <w:tcW w:w="1847" w:type="dxa"/>
            <w:vAlign w:val="center"/>
          </w:tcPr>
          <w:p w14:paraId="11C23BD6">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7934ED79">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1519D1EE">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6B23DB81">
            <w:pPr>
              <w:widowControl/>
              <w:spacing w:line="300" w:lineRule="exact"/>
              <w:jc w:val="center"/>
              <w:rPr>
                <w:snapToGrid w:val="0"/>
                <w:color w:val="auto"/>
                <w:kern w:val="21"/>
                <w:szCs w:val="21"/>
                <w:highlight w:val="none"/>
              </w:rPr>
            </w:pPr>
            <w:r>
              <w:rPr>
                <w:snapToGrid w:val="0"/>
                <w:color w:val="auto"/>
                <w:kern w:val="21"/>
                <w:szCs w:val="21"/>
                <w:highlight w:val="none"/>
              </w:rPr>
              <w:t>306.96</w:t>
            </w:r>
            <w:r>
              <w:rPr>
                <w:rFonts w:hint="eastAsia"/>
                <w:snapToGrid w:val="0"/>
                <w:color w:val="auto"/>
                <w:kern w:val="21"/>
                <w:szCs w:val="21"/>
                <w:highlight w:val="none"/>
              </w:rPr>
              <w:t>0</w:t>
            </w:r>
          </w:p>
        </w:tc>
        <w:tc>
          <w:tcPr>
            <w:tcW w:w="1680" w:type="dxa"/>
            <w:vAlign w:val="center"/>
          </w:tcPr>
          <w:p w14:paraId="04DCCC1C">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2641F73B">
            <w:pPr>
              <w:pStyle w:val="36"/>
              <w:spacing w:before="24" w:after="24"/>
              <w:rPr>
                <w:rFonts w:ascii="Times New Roman"/>
                <w:color w:val="auto"/>
                <w:highlight w:val="none"/>
              </w:rPr>
            </w:pPr>
            <w:r>
              <w:rPr>
                <w:rFonts w:ascii="Times New Roman"/>
                <w:color w:val="auto"/>
                <w:highlight w:val="none"/>
              </w:rPr>
              <w:t>306.96</w:t>
            </w:r>
            <w:r>
              <w:rPr>
                <w:rFonts w:hint="eastAsia" w:ascii="Times New Roman"/>
                <w:color w:val="auto"/>
                <w:highlight w:val="none"/>
              </w:rPr>
              <w:t>0</w:t>
            </w:r>
          </w:p>
        </w:tc>
        <w:tc>
          <w:tcPr>
            <w:tcW w:w="1044" w:type="dxa"/>
            <w:vAlign w:val="center"/>
          </w:tcPr>
          <w:p w14:paraId="1321BF7F">
            <w:pPr>
              <w:pStyle w:val="36"/>
              <w:spacing w:before="24" w:after="24"/>
              <w:rPr>
                <w:rFonts w:ascii="Times New Roman"/>
                <w:color w:val="auto"/>
                <w:highlight w:val="none"/>
              </w:rPr>
            </w:pPr>
            <w:r>
              <w:rPr>
                <w:rFonts w:ascii="Times New Roman"/>
                <w:color w:val="auto"/>
                <w:highlight w:val="none"/>
              </w:rPr>
              <w:t>+306.96</w:t>
            </w:r>
            <w:r>
              <w:rPr>
                <w:rFonts w:hint="eastAsia" w:ascii="Times New Roman"/>
                <w:color w:val="auto"/>
                <w:highlight w:val="none"/>
              </w:rPr>
              <w:t>0</w:t>
            </w:r>
          </w:p>
        </w:tc>
      </w:tr>
      <w:tr w14:paraId="71F59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588" w:type="dxa"/>
            <w:vMerge w:val="continue"/>
            <w:vAlign w:val="center"/>
          </w:tcPr>
          <w:p w14:paraId="7B577E86">
            <w:pPr>
              <w:pStyle w:val="36"/>
              <w:spacing w:before="24" w:after="24"/>
              <w:rPr>
                <w:rFonts w:ascii="Times New Roman"/>
                <w:color w:val="auto"/>
                <w:highlight w:val="none"/>
              </w:rPr>
            </w:pPr>
          </w:p>
        </w:tc>
        <w:tc>
          <w:tcPr>
            <w:tcW w:w="1271" w:type="dxa"/>
            <w:vAlign w:val="center"/>
          </w:tcPr>
          <w:p w14:paraId="7D25D74E">
            <w:pPr>
              <w:pStyle w:val="36"/>
              <w:spacing w:before="24" w:after="24"/>
              <w:rPr>
                <w:rFonts w:ascii="Times New Roman"/>
                <w:snapToGrid w:val="0"/>
                <w:color w:val="auto"/>
                <w:kern w:val="21"/>
                <w:szCs w:val="21"/>
                <w:highlight w:val="none"/>
              </w:rPr>
            </w:pPr>
            <w:r>
              <w:rPr>
                <w:rFonts w:ascii="Times New Roman"/>
                <w:snapToGrid w:val="0"/>
                <w:color w:val="auto"/>
                <w:kern w:val="21"/>
                <w:szCs w:val="21"/>
                <w:highlight w:val="none"/>
              </w:rPr>
              <w:t>污水处理产生固废</w:t>
            </w:r>
          </w:p>
        </w:tc>
        <w:tc>
          <w:tcPr>
            <w:tcW w:w="1847" w:type="dxa"/>
            <w:vAlign w:val="center"/>
          </w:tcPr>
          <w:p w14:paraId="12312534">
            <w:pPr>
              <w:pStyle w:val="36"/>
              <w:spacing w:before="24" w:after="24"/>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5BFFF242">
            <w:pPr>
              <w:pStyle w:val="36"/>
              <w:spacing w:before="24" w:after="24"/>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16F7CF87">
            <w:pPr>
              <w:pStyle w:val="36"/>
              <w:spacing w:before="24" w:after="24"/>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069E905C">
            <w:pPr>
              <w:pStyle w:val="36"/>
              <w:spacing w:before="24" w:after="24"/>
              <w:rPr>
                <w:rFonts w:ascii="Times New Roman"/>
                <w:snapToGrid w:val="0"/>
                <w:color w:val="auto"/>
                <w:kern w:val="21"/>
                <w:szCs w:val="21"/>
                <w:highlight w:val="none"/>
              </w:rPr>
            </w:pPr>
            <w:r>
              <w:rPr>
                <w:rFonts w:ascii="Times New Roman"/>
                <w:snapToGrid w:val="0"/>
                <w:color w:val="auto"/>
                <w:kern w:val="21"/>
                <w:szCs w:val="21"/>
                <w:highlight w:val="none"/>
              </w:rPr>
              <w:t>32.215</w:t>
            </w:r>
          </w:p>
        </w:tc>
        <w:tc>
          <w:tcPr>
            <w:tcW w:w="1680" w:type="dxa"/>
            <w:vAlign w:val="center"/>
          </w:tcPr>
          <w:p w14:paraId="4500C874">
            <w:pPr>
              <w:pStyle w:val="36"/>
              <w:spacing w:before="24" w:after="24"/>
              <w:rPr>
                <w:rFonts w:ascii="Times New Roman"/>
                <w:snapToGrid w:val="0"/>
                <w:color w:val="auto"/>
                <w:kern w:val="21"/>
                <w:szCs w:val="21"/>
                <w:highlight w:val="none"/>
              </w:rPr>
            </w:pPr>
          </w:p>
        </w:tc>
        <w:tc>
          <w:tcPr>
            <w:tcW w:w="1935" w:type="dxa"/>
            <w:vAlign w:val="center"/>
          </w:tcPr>
          <w:p w14:paraId="27120E4B">
            <w:pPr>
              <w:pStyle w:val="36"/>
              <w:spacing w:before="24" w:after="24"/>
              <w:rPr>
                <w:rFonts w:ascii="Times New Roman"/>
                <w:snapToGrid w:val="0"/>
                <w:color w:val="auto"/>
                <w:kern w:val="21"/>
                <w:szCs w:val="21"/>
                <w:highlight w:val="none"/>
              </w:rPr>
            </w:pPr>
            <w:r>
              <w:rPr>
                <w:rFonts w:ascii="Times New Roman"/>
                <w:snapToGrid w:val="0"/>
                <w:color w:val="auto"/>
                <w:kern w:val="21"/>
                <w:szCs w:val="21"/>
                <w:highlight w:val="none"/>
              </w:rPr>
              <w:t>32.215</w:t>
            </w:r>
          </w:p>
        </w:tc>
        <w:tc>
          <w:tcPr>
            <w:tcW w:w="1044" w:type="dxa"/>
            <w:vAlign w:val="center"/>
          </w:tcPr>
          <w:p w14:paraId="0D5FDF8A">
            <w:pPr>
              <w:pStyle w:val="36"/>
              <w:spacing w:before="24" w:after="24"/>
              <w:rPr>
                <w:rFonts w:ascii="Times New Roman"/>
                <w:snapToGrid w:val="0"/>
                <w:color w:val="auto"/>
                <w:kern w:val="21"/>
                <w:szCs w:val="21"/>
                <w:highlight w:val="none"/>
              </w:rPr>
            </w:pPr>
            <w:r>
              <w:rPr>
                <w:rFonts w:ascii="Times New Roman"/>
                <w:snapToGrid w:val="0"/>
                <w:color w:val="auto"/>
                <w:kern w:val="21"/>
                <w:szCs w:val="21"/>
                <w:highlight w:val="none"/>
              </w:rPr>
              <w:t>+32.215</w:t>
            </w:r>
          </w:p>
        </w:tc>
      </w:tr>
      <w:tr w14:paraId="2D07C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88" w:type="dxa"/>
            <w:vMerge w:val="continue"/>
            <w:vAlign w:val="center"/>
          </w:tcPr>
          <w:p w14:paraId="1C7C5B7E">
            <w:pPr>
              <w:pStyle w:val="36"/>
              <w:spacing w:beforeLines="0" w:afterLines="0" w:line="240" w:lineRule="auto"/>
              <w:rPr>
                <w:rFonts w:ascii="Times New Roman"/>
                <w:snapToGrid w:val="0"/>
                <w:color w:val="auto"/>
                <w:kern w:val="21"/>
                <w:szCs w:val="21"/>
                <w:highlight w:val="none"/>
              </w:rPr>
            </w:pPr>
          </w:p>
        </w:tc>
        <w:tc>
          <w:tcPr>
            <w:tcW w:w="1271" w:type="dxa"/>
            <w:vAlign w:val="center"/>
          </w:tcPr>
          <w:p w14:paraId="530469D4">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废包装</w:t>
            </w:r>
          </w:p>
        </w:tc>
        <w:tc>
          <w:tcPr>
            <w:tcW w:w="1847" w:type="dxa"/>
            <w:vAlign w:val="center"/>
          </w:tcPr>
          <w:p w14:paraId="761B81BE">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4C814A0D">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661DBBF6">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6E215796">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0.100</w:t>
            </w:r>
          </w:p>
        </w:tc>
        <w:tc>
          <w:tcPr>
            <w:tcW w:w="1680" w:type="dxa"/>
            <w:vAlign w:val="center"/>
          </w:tcPr>
          <w:p w14:paraId="334CF401">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163A97FF">
            <w:pPr>
              <w:pStyle w:val="36"/>
              <w:spacing w:before="24" w:after="24"/>
              <w:rPr>
                <w:rFonts w:ascii="Times New Roman"/>
                <w:color w:val="auto"/>
                <w:highlight w:val="none"/>
              </w:rPr>
            </w:pPr>
            <w:r>
              <w:rPr>
                <w:rFonts w:ascii="Times New Roman"/>
                <w:color w:val="auto"/>
                <w:highlight w:val="none"/>
              </w:rPr>
              <w:t>0.100</w:t>
            </w:r>
          </w:p>
        </w:tc>
        <w:tc>
          <w:tcPr>
            <w:tcW w:w="1044" w:type="dxa"/>
            <w:vAlign w:val="center"/>
          </w:tcPr>
          <w:p w14:paraId="52972807">
            <w:pPr>
              <w:pStyle w:val="36"/>
              <w:spacing w:before="24" w:after="24"/>
              <w:rPr>
                <w:rFonts w:ascii="Times New Roman"/>
                <w:color w:val="auto"/>
                <w:highlight w:val="none"/>
              </w:rPr>
            </w:pPr>
            <w:r>
              <w:rPr>
                <w:rFonts w:ascii="Times New Roman"/>
                <w:color w:val="auto"/>
                <w:highlight w:val="none"/>
              </w:rPr>
              <w:t>+0.100</w:t>
            </w:r>
          </w:p>
        </w:tc>
      </w:tr>
      <w:tr w14:paraId="5FA87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78F1A813">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危险废物</w:t>
            </w:r>
          </w:p>
        </w:tc>
        <w:tc>
          <w:tcPr>
            <w:tcW w:w="1271" w:type="dxa"/>
            <w:vAlign w:val="center"/>
          </w:tcPr>
          <w:p w14:paraId="3C4ED661">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847" w:type="dxa"/>
            <w:vAlign w:val="center"/>
          </w:tcPr>
          <w:p w14:paraId="66187DE8">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57914F14">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6EEED51D">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55CE4823">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680" w:type="dxa"/>
            <w:vAlign w:val="center"/>
          </w:tcPr>
          <w:p w14:paraId="75266580">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7E85F828">
            <w:pPr>
              <w:pStyle w:val="36"/>
              <w:spacing w:before="24" w:after="24"/>
              <w:rPr>
                <w:rFonts w:ascii="Times New Roman"/>
                <w:color w:val="auto"/>
                <w:highlight w:val="none"/>
              </w:rPr>
            </w:pPr>
            <w:r>
              <w:rPr>
                <w:rFonts w:ascii="Times New Roman"/>
                <w:color w:val="auto"/>
                <w:highlight w:val="none"/>
              </w:rPr>
              <w:t>/</w:t>
            </w:r>
          </w:p>
        </w:tc>
        <w:tc>
          <w:tcPr>
            <w:tcW w:w="1044" w:type="dxa"/>
            <w:vAlign w:val="center"/>
          </w:tcPr>
          <w:p w14:paraId="28D15823">
            <w:pPr>
              <w:pStyle w:val="36"/>
              <w:spacing w:before="24" w:after="24"/>
              <w:rPr>
                <w:rFonts w:ascii="Times New Roman"/>
                <w:color w:val="auto"/>
                <w:highlight w:val="none"/>
              </w:rPr>
            </w:pPr>
            <w:r>
              <w:rPr>
                <w:rFonts w:ascii="Times New Roman"/>
                <w:color w:val="auto"/>
                <w:highlight w:val="none"/>
              </w:rPr>
              <w:t>/</w:t>
            </w:r>
          </w:p>
        </w:tc>
      </w:tr>
      <w:tr w14:paraId="51AD8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vAlign w:val="center"/>
          </w:tcPr>
          <w:p w14:paraId="2065CCB7">
            <w:pPr>
              <w:pStyle w:val="36"/>
              <w:spacing w:beforeLines="0" w:afterLines="0" w:line="240" w:lineRule="auto"/>
              <w:rPr>
                <w:rFonts w:ascii="Times New Roman"/>
                <w:snapToGrid w:val="0"/>
                <w:color w:val="auto"/>
                <w:kern w:val="21"/>
                <w:szCs w:val="21"/>
                <w:highlight w:val="none"/>
              </w:rPr>
            </w:pPr>
          </w:p>
        </w:tc>
        <w:tc>
          <w:tcPr>
            <w:tcW w:w="1271" w:type="dxa"/>
            <w:vAlign w:val="center"/>
          </w:tcPr>
          <w:p w14:paraId="222733C1">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847" w:type="dxa"/>
            <w:vAlign w:val="center"/>
          </w:tcPr>
          <w:p w14:paraId="6B0223BA">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5EF20F8E">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7EC6A9FE">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60FDBB50">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680" w:type="dxa"/>
            <w:vAlign w:val="center"/>
          </w:tcPr>
          <w:p w14:paraId="2850A74F">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204EEF60">
            <w:pPr>
              <w:pStyle w:val="36"/>
              <w:spacing w:before="24" w:after="24"/>
              <w:rPr>
                <w:rFonts w:ascii="Times New Roman"/>
                <w:color w:val="auto"/>
                <w:highlight w:val="none"/>
              </w:rPr>
            </w:pPr>
            <w:r>
              <w:rPr>
                <w:rFonts w:ascii="Times New Roman"/>
                <w:color w:val="auto"/>
                <w:highlight w:val="none"/>
              </w:rPr>
              <w:t>/</w:t>
            </w:r>
          </w:p>
        </w:tc>
        <w:tc>
          <w:tcPr>
            <w:tcW w:w="1044" w:type="dxa"/>
            <w:vAlign w:val="center"/>
          </w:tcPr>
          <w:p w14:paraId="21EF3EF0">
            <w:pPr>
              <w:pStyle w:val="36"/>
              <w:spacing w:before="24" w:after="24"/>
              <w:rPr>
                <w:rFonts w:ascii="Times New Roman"/>
                <w:color w:val="auto"/>
                <w:highlight w:val="none"/>
              </w:rPr>
            </w:pPr>
            <w:r>
              <w:rPr>
                <w:rFonts w:ascii="Times New Roman"/>
                <w:color w:val="auto"/>
                <w:highlight w:val="none"/>
              </w:rPr>
              <w:t>/</w:t>
            </w:r>
          </w:p>
        </w:tc>
      </w:tr>
      <w:tr w14:paraId="58984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88" w:type="dxa"/>
            <w:vAlign w:val="center"/>
          </w:tcPr>
          <w:p w14:paraId="2051F57F">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生活垃圾</w:t>
            </w:r>
          </w:p>
        </w:tc>
        <w:tc>
          <w:tcPr>
            <w:tcW w:w="1271" w:type="dxa"/>
            <w:vAlign w:val="center"/>
          </w:tcPr>
          <w:p w14:paraId="5F42E43C">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生活垃圾</w:t>
            </w:r>
          </w:p>
        </w:tc>
        <w:tc>
          <w:tcPr>
            <w:tcW w:w="1847" w:type="dxa"/>
            <w:vAlign w:val="center"/>
          </w:tcPr>
          <w:p w14:paraId="4E80C023">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276" w:type="dxa"/>
            <w:vAlign w:val="center"/>
          </w:tcPr>
          <w:p w14:paraId="06D6E724">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57" w:type="dxa"/>
            <w:vAlign w:val="center"/>
          </w:tcPr>
          <w:p w14:paraId="3C5CF698">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590" w:type="dxa"/>
            <w:vAlign w:val="center"/>
          </w:tcPr>
          <w:p w14:paraId="00AFA2D1">
            <w:pPr>
              <w:pStyle w:val="36"/>
              <w:spacing w:beforeLines="0" w:afterLines="0" w:line="240" w:lineRule="auto"/>
              <w:rPr>
                <w:rFonts w:ascii="Times New Roman"/>
                <w:snapToGrid w:val="0"/>
                <w:color w:val="auto"/>
                <w:kern w:val="21"/>
                <w:szCs w:val="21"/>
                <w:highlight w:val="none"/>
              </w:rPr>
            </w:pPr>
            <w:r>
              <w:rPr>
                <w:rFonts w:ascii="Times New Roman"/>
                <w:color w:val="auto"/>
                <w:szCs w:val="21"/>
                <w:highlight w:val="none"/>
                <w:lang w:bidi="ar"/>
              </w:rPr>
              <w:t>0.600</w:t>
            </w:r>
          </w:p>
        </w:tc>
        <w:tc>
          <w:tcPr>
            <w:tcW w:w="1680" w:type="dxa"/>
            <w:vAlign w:val="center"/>
          </w:tcPr>
          <w:p w14:paraId="5463B171">
            <w:pPr>
              <w:pStyle w:val="36"/>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1935" w:type="dxa"/>
            <w:vAlign w:val="center"/>
          </w:tcPr>
          <w:p w14:paraId="2C54D1A6">
            <w:pPr>
              <w:pStyle w:val="36"/>
              <w:spacing w:before="24" w:after="24"/>
              <w:rPr>
                <w:rFonts w:ascii="Times New Roman"/>
                <w:color w:val="auto"/>
                <w:highlight w:val="none"/>
              </w:rPr>
            </w:pPr>
            <w:r>
              <w:rPr>
                <w:rFonts w:ascii="Times New Roman"/>
                <w:color w:val="auto"/>
                <w:highlight w:val="none"/>
              </w:rPr>
              <w:t>0.600</w:t>
            </w:r>
          </w:p>
        </w:tc>
        <w:tc>
          <w:tcPr>
            <w:tcW w:w="1044" w:type="dxa"/>
            <w:vAlign w:val="center"/>
          </w:tcPr>
          <w:p w14:paraId="6F8F4FD4">
            <w:pPr>
              <w:pStyle w:val="36"/>
              <w:spacing w:before="24" w:after="24"/>
              <w:rPr>
                <w:rFonts w:ascii="Times New Roman"/>
                <w:color w:val="auto"/>
                <w:highlight w:val="none"/>
              </w:rPr>
            </w:pPr>
            <w:r>
              <w:rPr>
                <w:rFonts w:ascii="Times New Roman"/>
                <w:color w:val="auto"/>
                <w:highlight w:val="none"/>
              </w:rPr>
              <w:t>+0.600</w:t>
            </w:r>
          </w:p>
        </w:tc>
      </w:tr>
    </w:tbl>
    <w:p w14:paraId="4781B29D">
      <w:pPr>
        <w:pStyle w:val="36"/>
        <w:spacing w:before="192" w:beforeLines="80" w:after="24"/>
        <w:jc w:val="left"/>
        <w:rPr>
          <w:rFonts w:ascii="Times New Roman"/>
          <w:snapToGrid w:val="0"/>
          <w:color w:val="auto"/>
          <w:spacing w:val="-6"/>
          <w:kern w:val="21"/>
          <w:szCs w:val="21"/>
          <w:highlight w:val="none"/>
        </w:rPr>
        <w:sectPr>
          <w:footerReference r:id="rId4" w:type="default"/>
          <w:pgSz w:w="16838" w:h="11906" w:orient="landscape"/>
          <w:pgMar w:top="1531" w:right="1701" w:bottom="1531" w:left="1701" w:header="851" w:footer="851" w:gutter="0"/>
          <w:cols w:space="720" w:num="1"/>
          <w:docGrid w:linePitch="312" w:charSpace="0"/>
        </w:sect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 xml:space="preserve"> 单位：t/a</w:t>
      </w:r>
    </w:p>
    <w:p w14:paraId="41B628E0">
      <w:pPr>
        <w:rPr>
          <w:rFonts w:hint="eastAsia"/>
          <w:lang w:eastAsia="zh-CN"/>
        </w:rPr>
      </w:pPr>
      <w:r>
        <w:rPr>
          <w:rFonts w:hint="eastAsia"/>
          <w:lang w:eastAsia="zh-CN"/>
        </w:rPr>
        <w:drawing>
          <wp:anchor distT="0" distB="0" distL="114300" distR="114300" simplePos="0" relativeHeight="251687936" behindDoc="0" locked="0" layoutInCell="1" allowOverlap="1">
            <wp:simplePos x="0" y="0"/>
            <wp:positionH relativeFrom="column">
              <wp:posOffset>-1097915</wp:posOffset>
            </wp:positionH>
            <wp:positionV relativeFrom="paragraph">
              <wp:posOffset>-984885</wp:posOffset>
            </wp:positionV>
            <wp:extent cx="10704830" cy="7569835"/>
            <wp:effectExtent l="0" t="0" r="1270" b="12065"/>
            <wp:wrapTopAndBottom/>
            <wp:docPr id="34" name="图片 34" descr="附图1 本项目地理位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图1 本项目地理位置图_00"/>
                    <pic:cNvPicPr>
                      <a:picLocks noChangeAspect="1"/>
                    </pic:cNvPicPr>
                  </pic:nvPicPr>
                  <pic:blipFill>
                    <a:blip r:embed="rId14"/>
                    <a:stretch>
                      <a:fillRect/>
                    </a:stretch>
                  </pic:blipFill>
                  <pic:spPr>
                    <a:xfrm>
                      <a:off x="0" y="0"/>
                      <a:ext cx="10704830" cy="7569835"/>
                    </a:xfrm>
                    <a:prstGeom prst="rect">
                      <a:avLst/>
                    </a:prstGeom>
                  </pic:spPr>
                </pic:pic>
              </a:graphicData>
            </a:graphic>
          </wp:anchor>
        </w:drawing>
      </w:r>
    </w:p>
    <w:sectPr>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10" w:usb3="00000000" w:csb0="00040001" w:csb1="00000000"/>
  </w:font>
  <w:font w:name="方正小标宋_GBK">
    <w:altName w:val="微软雅黑"/>
    <w:panose1 w:val="00000000000000000000"/>
    <w:charset w:val="00"/>
    <w:family w:val="script"/>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92FF7">
    <w:pPr>
      <w:pStyle w:val="12"/>
      <w:ind w:right="360" w:firstLine="360"/>
      <w:jc w:val="center"/>
    </w:pPr>
  </w:p>
  <w:p w14:paraId="1DD1C5C1">
    <w:pPr>
      <w:pStyle w:val="12"/>
      <w:ind w:right="36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3A7F75">
                          <w:pPr>
                            <w:pStyle w:val="12"/>
                            <w:jc w:val="center"/>
                            <w:rPr>
                              <w:rStyle w:val="21"/>
                              <w:rFonts w:ascii="宋体" w:hAnsi="宋体"/>
                              <w:sz w:val="28"/>
                              <w:szCs w:val="28"/>
                            </w:rPr>
                          </w:pPr>
                          <w:r>
                            <w:rPr>
                              <w:rStyle w:val="21"/>
                              <w:rFonts w:ascii="宋体" w:hAnsi="宋体"/>
                              <w:sz w:val="28"/>
                              <w:szCs w:val="28"/>
                            </w:rPr>
                            <w:fldChar w:fldCharType="begin"/>
                          </w:r>
                          <w:r>
                            <w:rPr>
                              <w:rStyle w:val="21"/>
                              <w:rFonts w:ascii="宋体" w:hAnsi="宋体"/>
                              <w:sz w:val="28"/>
                              <w:szCs w:val="28"/>
                            </w:rPr>
                            <w:instrText xml:space="preserve"> PAGE  \* MERGEFORMAT </w:instrText>
                          </w:r>
                          <w:r>
                            <w:rPr>
                              <w:rStyle w:val="21"/>
                              <w:rFonts w:ascii="宋体" w:hAnsi="宋体"/>
                              <w:sz w:val="28"/>
                              <w:szCs w:val="28"/>
                            </w:rPr>
                            <w:fldChar w:fldCharType="separate"/>
                          </w:r>
                          <w:r>
                            <w:rPr>
                              <w:rStyle w:val="21"/>
                              <w:rFonts w:ascii="宋体" w:hAnsi="宋体"/>
                              <w:sz w:val="28"/>
                              <w:szCs w:val="28"/>
                            </w:rPr>
                            <w:t>32</w:t>
                          </w:r>
                          <w:r>
                            <w:rPr>
                              <w:rStyle w:val="21"/>
                              <w:rFonts w:ascii="宋体" w:hAnsi="宋体"/>
                              <w:sz w:val="28"/>
                              <w:szCs w:val="28"/>
                            </w:rPr>
                            <w:fldChar w:fldCharType="end"/>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epiT7XAQAAswMAAA4AAAAAAAAAAQAgAAAA&#10;HgEAAGRycy9lMm9Eb2MueG1sUEsFBgAAAAAGAAYAWQEAAGcFAAAAAA==&#10;">
              <v:fill on="f" focussize="0,0"/>
              <v:stroke on="f"/>
              <v:imagedata o:title=""/>
              <o:lock v:ext="edit" aspectratio="f"/>
              <v:textbox inset="0mm,0mm,0mm,0mm" style="mso-fit-shape-to-text:t;">
                <w:txbxContent>
                  <w:p w14:paraId="2E3A7F75">
                    <w:pPr>
                      <w:pStyle w:val="12"/>
                      <w:jc w:val="center"/>
                      <w:rPr>
                        <w:rStyle w:val="21"/>
                        <w:rFonts w:ascii="宋体" w:hAnsi="宋体"/>
                        <w:sz w:val="28"/>
                        <w:szCs w:val="28"/>
                      </w:rPr>
                    </w:pPr>
                    <w:r>
                      <w:rPr>
                        <w:rStyle w:val="21"/>
                        <w:rFonts w:ascii="宋体" w:hAnsi="宋体"/>
                        <w:sz w:val="28"/>
                        <w:szCs w:val="28"/>
                      </w:rPr>
                      <w:fldChar w:fldCharType="begin"/>
                    </w:r>
                    <w:r>
                      <w:rPr>
                        <w:rStyle w:val="21"/>
                        <w:rFonts w:ascii="宋体" w:hAnsi="宋体"/>
                        <w:sz w:val="28"/>
                        <w:szCs w:val="28"/>
                      </w:rPr>
                      <w:instrText xml:space="preserve"> PAGE  \* MERGEFORMAT </w:instrText>
                    </w:r>
                    <w:r>
                      <w:rPr>
                        <w:rStyle w:val="21"/>
                        <w:rFonts w:ascii="宋体" w:hAnsi="宋体"/>
                        <w:sz w:val="28"/>
                        <w:szCs w:val="28"/>
                      </w:rPr>
                      <w:fldChar w:fldCharType="separate"/>
                    </w:r>
                    <w:r>
                      <w:rPr>
                        <w:rStyle w:val="21"/>
                        <w:rFonts w:ascii="宋体" w:hAnsi="宋体"/>
                        <w:sz w:val="28"/>
                        <w:szCs w:val="28"/>
                      </w:rPr>
                      <w:t>32</w:t>
                    </w:r>
                    <w:r>
                      <w:rPr>
                        <w:rStyle w:val="21"/>
                        <w:rFonts w:ascii="宋体" w:hAnsi="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69CA6">
    <w:pPr>
      <w:pStyle w:val="12"/>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9F679B">
                          <w:pPr>
                            <w:pStyle w:val="12"/>
                            <w:rPr>
                              <w:rStyle w:val="21"/>
                              <w:rFonts w:ascii="宋体" w:hAnsi="宋体"/>
                              <w:sz w:val="28"/>
                              <w:szCs w:val="28"/>
                            </w:rPr>
                          </w:pPr>
                          <w:r>
                            <w:rPr>
                              <w:rStyle w:val="21"/>
                              <w:rFonts w:ascii="宋体" w:hAnsi="宋体"/>
                              <w:sz w:val="28"/>
                              <w:szCs w:val="28"/>
                            </w:rPr>
                            <w:fldChar w:fldCharType="begin"/>
                          </w:r>
                          <w:r>
                            <w:rPr>
                              <w:rStyle w:val="21"/>
                              <w:rFonts w:ascii="宋体" w:hAnsi="宋体"/>
                              <w:sz w:val="28"/>
                              <w:szCs w:val="28"/>
                            </w:rPr>
                            <w:instrText xml:space="preserve"> PAGE  \* MERGEFORMAT </w:instrText>
                          </w:r>
                          <w:r>
                            <w:rPr>
                              <w:rStyle w:val="21"/>
                              <w:rFonts w:ascii="宋体" w:hAnsi="宋体"/>
                              <w:sz w:val="28"/>
                              <w:szCs w:val="28"/>
                            </w:rPr>
                            <w:fldChar w:fldCharType="separate"/>
                          </w:r>
                          <w:r>
                            <w:rPr>
                              <w:rStyle w:val="21"/>
                              <w:rFonts w:ascii="宋体" w:hAnsi="宋体"/>
                              <w:sz w:val="28"/>
                              <w:szCs w:val="28"/>
                            </w:rPr>
                            <w:t>75</w:t>
                          </w:r>
                          <w:r>
                            <w:rPr>
                              <w:rStyle w:val="21"/>
                              <w:rFonts w:ascii="宋体" w:hAnsi="宋体"/>
                              <w:sz w:val="28"/>
                              <w:szCs w:val="28"/>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t4aXD2AEAALMDAAAOAAAAAAAAAAEAIAAA&#10;AB4BAABkcnMvZTJvRG9jLnhtbFBLBQYAAAAABgAGAFkBAABoBQAAAAA=&#10;">
              <v:fill on="f" focussize="0,0"/>
              <v:stroke on="f"/>
              <v:imagedata o:title=""/>
              <o:lock v:ext="edit" aspectratio="f"/>
              <v:textbox inset="0mm,0mm,0mm,0mm" style="mso-fit-shape-to-text:t;">
                <w:txbxContent>
                  <w:p w14:paraId="5F9F679B">
                    <w:pPr>
                      <w:pStyle w:val="12"/>
                      <w:rPr>
                        <w:rStyle w:val="21"/>
                        <w:rFonts w:ascii="宋体" w:hAnsi="宋体"/>
                        <w:sz w:val="28"/>
                        <w:szCs w:val="28"/>
                      </w:rPr>
                    </w:pPr>
                    <w:r>
                      <w:rPr>
                        <w:rStyle w:val="21"/>
                        <w:rFonts w:ascii="宋体" w:hAnsi="宋体"/>
                        <w:sz w:val="28"/>
                        <w:szCs w:val="28"/>
                      </w:rPr>
                      <w:fldChar w:fldCharType="begin"/>
                    </w:r>
                    <w:r>
                      <w:rPr>
                        <w:rStyle w:val="21"/>
                        <w:rFonts w:ascii="宋体" w:hAnsi="宋体"/>
                        <w:sz w:val="28"/>
                        <w:szCs w:val="28"/>
                      </w:rPr>
                      <w:instrText xml:space="preserve"> PAGE  \* MERGEFORMAT </w:instrText>
                    </w:r>
                    <w:r>
                      <w:rPr>
                        <w:rStyle w:val="21"/>
                        <w:rFonts w:ascii="宋体" w:hAnsi="宋体"/>
                        <w:sz w:val="28"/>
                        <w:szCs w:val="28"/>
                      </w:rPr>
                      <w:fldChar w:fldCharType="separate"/>
                    </w:r>
                    <w:r>
                      <w:rPr>
                        <w:rStyle w:val="21"/>
                        <w:rFonts w:ascii="宋体" w:hAnsi="宋体"/>
                        <w:sz w:val="28"/>
                        <w:szCs w:val="28"/>
                      </w:rPr>
                      <w:t>75</w:t>
                    </w:r>
                    <w:r>
                      <w:rPr>
                        <w:rStyle w:val="21"/>
                        <w:rFonts w:ascii="宋体" w:hAnsi="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FF955"/>
    <w:multiLevelType w:val="singleLevel"/>
    <w:tmpl w:val="A18FF955"/>
    <w:lvl w:ilvl="0" w:tentative="0">
      <w:start w:val="1"/>
      <w:numFmt w:val="decimal"/>
      <w:suff w:val="nothing"/>
      <w:lvlText w:val="（%1）"/>
      <w:lvlJc w:val="left"/>
      <w:rPr>
        <w:rFonts w:hint="default" w:ascii="Times New Roman" w:hAnsi="Times New Roman" w:cs="Times New Roman"/>
      </w:rPr>
    </w:lvl>
  </w:abstractNum>
  <w:abstractNum w:abstractNumId="1">
    <w:nsid w:val="C1323BCD"/>
    <w:multiLevelType w:val="singleLevel"/>
    <w:tmpl w:val="C1323BCD"/>
    <w:lvl w:ilvl="0" w:tentative="0">
      <w:start w:val="2"/>
      <w:numFmt w:val="decimal"/>
      <w:suff w:val="nothing"/>
      <w:lvlText w:val="（%1）"/>
      <w:lvlJc w:val="left"/>
    </w:lvl>
  </w:abstractNum>
  <w:abstractNum w:abstractNumId="2">
    <w:nsid w:val="5E979D6D"/>
    <w:multiLevelType w:val="singleLevel"/>
    <w:tmpl w:val="5E979D6D"/>
    <w:lvl w:ilvl="0" w:tentative="0">
      <w:start w:val="1"/>
      <w:numFmt w:val="decimal"/>
      <w:lvlText w:val="%1."/>
      <w:lvlJc w:val="left"/>
      <w:pPr>
        <w:tabs>
          <w:tab w:val="left" w:pos="312"/>
        </w:tabs>
      </w:pPr>
    </w:lvl>
  </w:abstractNum>
  <w:abstractNum w:abstractNumId="3">
    <w:nsid w:val="6EA8A9F1"/>
    <w:multiLevelType w:val="singleLevel"/>
    <w:tmpl w:val="6EA8A9F1"/>
    <w:lvl w:ilvl="0" w:tentative="0">
      <w:start w:val="1"/>
      <w:numFmt w:val="decimal"/>
      <w:suff w:val="nothing"/>
      <w:lvlText w:val="（%1）"/>
      <w:lvlJc w:val="left"/>
      <w:pPr>
        <w:ind w:left="630"/>
      </w:pPr>
      <w:rPr>
        <w:rFonts w:hint="default" w:ascii="Times New Roman" w:hAnsi="Times New Roman"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zNjg1ZmE2NmMzNTdhNGE0MzhkYzIwYWU3NzkyMTAifQ=="/>
  </w:docVars>
  <w:rsids>
    <w:rsidRoot w:val="00A14947"/>
    <w:rsid w:val="000060B3"/>
    <w:rsid w:val="0004364B"/>
    <w:rsid w:val="00061B1F"/>
    <w:rsid w:val="000733C4"/>
    <w:rsid w:val="00074783"/>
    <w:rsid w:val="0008070B"/>
    <w:rsid w:val="000810AC"/>
    <w:rsid w:val="00081A02"/>
    <w:rsid w:val="000821E8"/>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3CF6"/>
    <w:rsid w:val="002155B8"/>
    <w:rsid w:val="0022339D"/>
    <w:rsid w:val="00224839"/>
    <w:rsid w:val="002249B2"/>
    <w:rsid w:val="00226574"/>
    <w:rsid w:val="002278EC"/>
    <w:rsid w:val="0023280E"/>
    <w:rsid w:val="002377D1"/>
    <w:rsid w:val="0024306A"/>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5565"/>
    <w:rsid w:val="0033684D"/>
    <w:rsid w:val="00337B42"/>
    <w:rsid w:val="00341B42"/>
    <w:rsid w:val="0034348F"/>
    <w:rsid w:val="00356653"/>
    <w:rsid w:val="0035743F"/>
    <w:rsid w:val="00357BE2"/>
    <w:rsid w:val="0036170C"/>
    <w:rsid w:val="00366E0F"/>
    <w:rsid w:val="00376695"/>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7D34"/>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0C5A"/>
    <w:rsid w:val="00831A80"/>
    <w:rsid w:val="00833743"/>
    <w:rsid w:val="008340A4"/>
    <w:rsid w:val="0087135F"/>
    <w:rsid w:val="00872D94"/>
    <w:rsid w:val="0087715C"/>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32"/>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C57F2"/>
    <w:rsid w:val="00ED0639"/>
    <w:rsid w:val="00EF4755"/>
    <w:rsid w:val="00EF7135"/>
    <w:rsid w:val="00F027DB"/>
    <w:rsid w:val="00F14A7A"/>
    <w:rsid w:val="00F22985"/>
    <w:rsid w:val="00F327BE"/>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696BB0"/>
    <w:rsid w:val="019A6D10"/>
    <w:rsid w:val="01A548CD"/>
    <w:rsid w:val="01D86DDC"/>
    <w:rsid w:val="01DE3B64"/>
    <w:rsid w:val="02221AC1"/>
    <w:rsid w:val="024261A6"/>
    <w:rsid w:val="02482798"/>
    <w:rsid w:val="02697903"/>
    <w:rsid w:val="0292407F"/>
    <w:rsid w:val="02F96569"/>
    <w:rsid w:val="02FD5AAB"/>
    <w:rsid w:val="032F672A"/>
    <w:rsid w:val="03305FFE"/>
    <w:rsid w:val="03640A21"/>
    <w:rsid w:val="037E746A"/>
    <w:rsid w:val="03A51639"/>
    <w:rsid w:val="03EA7B21"/>
    <w:rsid w:val="04053B28"/>
    <w:rsid w:val="040845C6"/>
    <w:rsid w:val="045F2658"/>
    <w:rsid w:val="046D65CB"/>
    <w:rsid w:val="04A4088D"/>
    <w:rsid w:val="04A44D21"/>
    <w:rsid w:val="05110868"/>
    <w:rsid w:val="052B0933"/>
    <w:rsid w:val="05557D27"/>
    <w:rsid w:val="057E2D1A"/>
    <w:rsid w:val="05D35133"/>
    <w:rsid w:val="05F07687"/>
    <w:rsid w:val="05F37958"/>
    <w:rsid w:val="05F83EAE"/>
    <w:rsid w:val="060E3F45"/>
    <w:rsid w:val="06367DD0"/>
    <w:rsid w:val="063E7D85"/>
    <w:rsid w:val="06754667"/>
    <w:rsid w:val="06DF3199"/>
    <w:rsid w:val="06E065BB"/>
    <w:rsid w:val="07107BC6"/>
    <w:rsid w:val="07293586"/>
    <w:rsid w:val="07295285"/>
    <w:rsid w:val="07636392"/>
    <w:rsid w:val="07770C56"/>
    <w:rsid w:val="078E48D8"/>
    <w:rsid w:val="07944DAE"/>
    <w:rsid w:val="07AE4FAA"/>
    <w:rsid w:val="07F77D7D"/>
    <w:rsid w:val="08B35707"/>
    <w:rsid w:val="08CE7E81"/>
    <w:rsid w:val="08CE7FF1"/>
    <w:rsid w:val="08F64EA8"/>
    <w:rsid w:val="092217DD"/>
    <w:rsid w:val="092522B9"/>
    <w:rsid w:val="093A7294"/>
    <w:rsid w:val="097E2BD8"/>
    <w:rsid w:val="09A92667"/>
    <w:rsid w:val="09C35E1E"/>
    <w:rsid w:val="0A002AA2"/>
    <w:rsid w:val="0A066E85"/>
    <w:rsid w:val="0A263993"/>
    <w:rsid w:val="0A2D3AC2"/>
    <w:rsid w:val="0A39645A"/>
    <w:rsid w:val="0A686E3A"/>
    <w:rsid w:val="0AA755DF"/>
    <w:rsid w:val="0B107FFC"/>
    <w:rsid w:val="0B120D44"/>
    <w:rsid w:val="0B167975"/>
    <w:rsid w:val="0B5A5D47"/>
    <w:rsid w:val="0BC36FD1"/>
    <w:rsid w:val="0BC639A4"/>
    <w:rsid w:val="0BD27BF6"/>
    <w:rsid w:val="0BDC7947"/>
    <w:rsid w:val="0BDF4F58"/>
    <w:rsid w:val="0C354116"/>
    <w:rsid w:val="0C3B3C7D"/>
    <w:rsid w:val="0C8427D5"/>
    <w:rsid w:val="0CAB2EAE"/>
    <w:rsid w:val="0CC130D3"/>
    <w:rsid w:val="0CDE36E5"/>
    <w:rsid w:val="0D492377"/>
    <w:rsid w:val="0D621C7D"/>
    <w:rsid w:val="0D6E554D"/>
    <w:rsid w:val="0D8B6C53"/>
    <w:rsid w:val="0E3D5069"/>
    <w:rsid w:val="0E4307AF"/>
    <w:rsid w:val="0E483555"/>
    <w:rsid w:val="0E6D6359"/>
    <w:rsid w:val="0E73034D"/>
    <w:rsid w:val="0EA531FC"/>
    <w:rsid w:val="0EAD69A2"/>
    <w:rsid w:val="0ED939EE"/>
    <w:rsid w:val="0F13775A"/>
    <w:rsid w:val="0F5F45FE"/>
    <w:rsid w:val="0F9A112B"/>
    <w:rsid w:val="0FA83AEC"/>
    <w:rsid w:val="0FDE04A8"/>
    <w:rsid w:val="0FDE1AE9"/>
    <w:rsid w:val="0FE227C9"/>
    <w:rsid w:val="10335C69"/>
    <w:rsid w:val="1044045D"/>
    <w:rsid w:val="10540208"/>
    <w:rsid w:val="1054157E"/>
    <w:rsid w:val="106D2F64"/>
    <w:rsid w:val="107613FD"/>
    <w:rsid w:val="107A60D8"/>
    <w:rsid w:val="10901B69"/>
    <w:rsid w:val="10B63710"/>
    <w:rsid w:val="10C61DEF"/>
    <w:rsid w:val="10F10820"/>
    <w:rsid w:val="111C2F7A"/>
    <w:rsid w:val="113B2DD9"/>
    <w:rsid w:val="11665CA1"/>
    <w:rsid w:val="117562F5"/>
    <w:rsid w:val="11F65ABF"/>
    <w:rsid w:val="126F6B43"/>
    <w:rsid w:val="12B64CC2"/>
    <w:rsid w:val="12D559AE"/>
    <w:rsid w:val="1334538D"/>
    <w:rsid w:val="138C1229"/>
    <w:rsid w:val="13914BDD"/>
    <w:rsid w:val="13951726"/>
    <w:rsid w:val="13BB6320"/>
    <w:rsid w:val="14396509"/>
    <w:rsid w:val="145D3E90"/>
    <w:rsid w:val="14DD2C3C"/>
    <w:rsid w:val="16087E1D"/>
    <w:rsid w:val="17514A69"/>
    <w:rsid w:val="17701D14"/>
    <w:rsid w:val="17735226"/>
    <w:rsid w:val="1780423D"/>
    <w:rsid w:val="179F64A3"/>
    <w:rsid w:val="17AD5DE0"/>
    <w:rsid w:val="189F624C"/>
    <w:rsid w:val="18B14ADA"/>
    <w:rsid w:val="18B84674"/>
    <w:rsid w:val="19106A4A"/>
    <w:rsid w:val="195404FB"/>
    <w:rsid w:val="198520A7"/>
    <w:rsid w:val="198A0FE7"/>
    <w:rsid w:val="19951D98"/>
    <w:rsid w:val="1A1C66C0"/>
    <w:rsid w:val="1A3A275D"/>
    <w:rsid w:val="1A42393B"/>
    <w:rsid w:val="1AAD45DE"/>
    <w:rsid w:val="1AAD645B"/>
    <w:rsid w:val="1B046F80"/>
    <w:rsid w:val="1B3161A2"/>
    <w:rsid w:val="1B3267B5"/>
    <w:rsid w:val="1B353CED"/>
    <w:rsid w:val="1B40161D"/>
    <w:rsid w:val="1B441859"/>
    <w:rsid w:val="1B6606B1"/>
    <w:rsid w:val="1B9F3AAA"/>
    <w:rsid w:val="1C005C35"/>
    <w:rsid w:val="1C3B1844"/>
    <w:rsid w:val="1C5E7925"/>
    <w:rsid w:val="1C6F7A66"/>
    <w:rsid w:val="1CA95F9E"/>
    <w:rsid w:val="1CFD070F"/>
    <w:rsid w:val="1D1B1D2E"/>
    <w:rsid w:val="1D1D3752"/>
    <w:rsid w:val="1D1D4C55"/>
    <w:rsid w:val="1D313C7F"/>
    <w:rsid w:val="1D4D2BC7"/>
    <w:rsid w:val="1D5F6196"/>
    <w:rsid w:val="1D6132A5"/>
    <w:rsid w:val="1D633EEE"/>
    <w:rsid w:val="1D672FAC"/>
    <w:rsid w:val="1D8E56D5"/>
    <w:rsid w:val="1DA90739"/>
    <w:rsid w:val="1DF3687A"/>
    <w:rsid w:val="1E250819"/>
    <w:rsid w:val="1E62123C"/>
    <w:rsid w:val="1E735576"/>
    <w:rsid w:val="1E7361D3"/>
    <w:rsid w:val="1E7917D2"/>
    <w:rsid w:val="1E7A43DA"/>
    <w:rsid w:val="1E8A7C12"/>
    <w:rsid w:val="1E8B29AF"/>
    <w:rsid w:val="1EA01E32"/>
    <w:rsid w:val="1EE05B76"/>
    <w:rsid w:val="1EE479C0"/>
    <w:rsid w:val="1F08589F"/>
    <w:rsid w:val="1F5F1CED"/>
    <w:rsid w:val="1F9E2816"/>
    <w:rsid w:val="1FE7539E"/>
    <w:rsid w:val="20254CE5"/>
    <w:rsid w:val="20671BE0"/>
    <w:rsid w:val="20963CB8"/>
    <w:rsid w:val="20A81A1B"/>
    <w:rsid w:val="20B07FB6"/>
    <w:rsid w:val="20B646FB"/>
    <w:rsid w:val="20DA1276"/>
    <w:rsid w:val="20E53965"/>
    <w:rsid w:val="213B74B1"/>
    <w:rsid w:val="215A2310"/>
    <w:rsid w:val="218A18F1"/>
    <w:rsid w:val="21AF0D0A"/>
    <w:rsid w:val="21BF4158"/>
    <w:rsid w:val="21DE318A"/>
    <w:rsid w:val="21EF5B80"/>
    <w:rsid w:val="220C2760"/>
    <w:rsid w:val="221A178E"/>
    <w:rsid w:val="224A3310"/>
    <w:rsid w:val="22576990"/>
    <w:rsid w:val="2266344C"/>
    <w:rsid w:val="227A44D0"/>
    <w:rsid w:val="22AF37F5"/>
    <w:rsid w:val="22ED455F"/>
    <w:rsid w:val="22F47480"/>
    <w:rsid w:val="23550303"/>
    <w:rsid w:val="235C227E"/>
    <w:rsid w:val="23C30A9D"/>
    <w:rsid w:val="23DE1C48"/>
    <w:rsid w:val="240210CD"/>
    <w:rsid w:val="248F2940"/>
    <w:rsid w:val="24BF09F7"/>
    <w:rsid w:val="24DA3AA7"/>
    <w:rsid w:val="24FB1304"/>
    <w:rsid w:val="252D53FE"/>
    <w:rsid w:val="25300011"/>
    <w:rsid w:val="256A59D6"/>
    <w:rsid w:val="257F3613"/>
    <w:rsid w:val="259F2849"/>
    <w:rsid w:val="25A001BF"/>
    <w:rsid w:val="25EC2D81"/>
    <w:rsid w:val="26085A65"/>
    <w:rsid w:val="268A579C"/>
    <w:rsid w:val="27282EE2"/>
    <w:rsid w:val="277057A2"/>
    <w:rsid w:val="27762352"/>
    <w:rsid w:val="27CE5BA0"/>
    <w:rsid w:val="2802731E"/>
    <w:rsid w:val="282240DD"/>
    <w:rsid w:val="283A37E8"/>
    <w:rsid w:val="2851729C"/>
    <w:rsid w:val="28B36311"/>
    <w:rsid w:val="29064F88"/>
    <w:rsid w:val="29206EB8"/>
    <w:rsid w:val="29595666"/>
    <w:rsid w:val="296016AF"/>
    <w:rsid w:val="296C4D0F"/>
    <w:rsid w:val="296C74E1"/>
    <w:rsid w:val="29874881"/>
    <w:rsid w:val="29910CF5"/>
    <w:rsid w:val="29916F47"/>
    <w:rsid w:val="29E00748"/>
    <w:rsid w:val="29E325E0"/>
    <w:rsid w:val="2A452503"/>
    <w:rsid w:val="2A5862B7"/>
    <w:rsid w:val="2A5F2BA2"/>
    <w:rsid w:val="2AB078A1"/>
    <w:rsid w:val="2ABB5D65"/>
    <w:rsid w:val="2AE50105"/>
    <w:rsid w:val="2B224E37"/>
    <w:rsid w:val="2B4754B4"/>
    <w:rsid w:val="2BA936A8"/>
    <w:rsid w:val="2BD003D5"/>
    <w:rsid w:val="2C23203F"/>
    <w:rsid w:val="2C315A5A"/>
    <w:rsid w:val="2C4B1C25"/>
    <w:rsid w:val="2C69795F"/>
    <w:rsid w:val="2CAB57AD"/>
    <w:rsid w:val="2D934794"/>
    <w:rsid w:val="2D9E56F5"/>
    <w:rsid w:val="2E26464C"/>
    <w:rsid w:val="2E4540EF"/>
    <w:rsid w:val="2E57641F"/>
    <w:rsid w:val="2E6469D8"/>
    <w:rsid w:val="2E667F96"/>
    <w:rsid w:val="2E8226AB"/>
    <w:rsid w:val="2E853986"/>
    <w:rsid w:val="2F2464C0"/>
    <w:rsid w:val="2FBC6BAC"/>
    <w:rsid w:val="2FD065E6"/>
    <w:rsid w:val="2FD96870"/>
    <w:rsid w:val="2FEA3739"/>
    <w:rsid w:val="303B2734"/>
    <w:rsid w:val="30580BC9"/>
    <w:rsid w:val="30801E12"/>
    <w:rsid w:val="30AC6769"/>
    <w:rsid w:val="31087A4A"/>
    <w:rsid w:val="311E2ED7"/>
    <w:rsid w:val="315619EE"/>
    <w:rsid w:val="315C449C"/>
    <w:rsid w:val="31A15D90"/>
    <w:rsid w:val="31B82709"/>
    <w:rsid w:val="31C819E4"/>
    <w:rsid w:val="31D05482"/>
    <w:rsid w:val="320661A0"/>
    <w:rsid w:val="32400B34"/>
    <w:rsid w:val="32655415"/>
    <w:rsid w:val="328C0C14"/>
    <w:rsid w:val="329B0F21"/>
    <w:rsid w:val="329B4993"/>
    <w:rsid w:val="329E6876"/>
    <w:rsid w:val="32A22CBD"/>
    <w:rsid w:val="32AC094E"/>
    <w:rsid w:val="32E92844"/>
    <w:rsid w:val="32EF6838"/>
    <w:rsid w:val="333015F2"/>
    <w:rsid w:val="334B6320"/>
    <w:rsid w:val="33D934D4"/>
    <w:rsid w:val="33DC170E"/>
    <w:rsid w:val="33E443DD"/>
    <w:rsid w:val="33FE2F6A"/>
    <w:rsid w:val="340E07E5"/>
    <w:rsid w:val="340E3BBE"/>
    <w:rsid w:val="34235BF7"/>
    <w:rsid w:val="34250A02"/>
    <w:rsid w:val="343E5F36"/>
    <w:rsid w:val="349620CC"/>
    <w:rsid w:val="35204167"/>
    <w:rsid w:val="35272C81"/>
    <w:rsid w:val="358C5FA8"/>
    <w:rsid w:val="359F42C6"/>
    <w:rsid w:val="35B069A7"/>
    <w:rsid w:val="35C15DF1"/>
    <w:rsid w:val="35C23AAD"/>
    <w:rsid w:val="35C8614C"/>
    <w:rsid w:val="35C870F7"/>
    <w:rsid w:val="35EB2BB9"/>
    <w:rsid w:val="35FD7E84"/>
    <w:rsid w:val="36074A7F"/>
    <w:rsid w:val="360A4A22"/>
    <w:rsid w:val="367B2BDC"/>
    <w:rsid w:val="36923549"/>
    <w:rsid w:val="3699264E"/>
    <w:rsid w:val="36B75FBF"/>
    <w:rsid w:val="36BD0C45"/>
    <w:rsid w:val="37491867"/>
    <w:rsid w:val="37B4089D"/>
    <w:rsid w:val="37CF68AE"/>
    <w:rsid w:val="37E00298"/>
    <w:rsid w:val="38773863"/>
    <w:rsid w:val="3897256D"/>
    <w:rsid w:val="3899028F"/>
    <w:rsid w:val="38B302F9"/>
    <w:rsid w:val="38C574F5"/>
    <w:rsid w:val="38C639F5"/>
    <w:rsid w:val="38F12CD3"/>
    <w:rsid w:val="38F94775"/>
    <w:rsid w:val="392971ED"/>
    <w:rsid w:val="39325651"/>
    <w:rsid w:val="39534219"/>
    <w:rsid w:val="396A22EA"/>
    <w:rsid w:val="3A3667C1"/>
    <w:rsid w:val="3A414072"/>
    <w:rsid w:val="3A5E6BF0"/>
    <w:rsid w:val="3A6246F8"/>
    <w:rsid w:val="3A7B57D6"/>
    <w:rsid w:val="3A82388C"/>
    <w:rsid w:val="3A872856"/>
    <w:rsid w:val="3AE27825"/>
    <w:rsid w:val="3AE576F5"/>
    <w:rsid w:val="3B133C60"/>
    <w:rsid w:val="3B203F5F"/>
    <w:rsid w:val="3B3763D1"/>
    <w:rsid w:val="3BD70828"/>
    <w:rsid w:val="3C2F6E1E"/>
    <w:rsid w:val="3C4F64BA"/>
    <w:rsid w:val="3CDA245A"/>
    <w:rsid w:val="3D1E06B7"/>
    <w:rsid w:val="3D673C2C"/>
    <w:rsid w:val="3E0C3B84"/>
    <w:rsid w:val="3E403623"/>
    <w:rsid w:val="3E475ACB"/>
    <w:rsid w:val="3E5A1BA6"/>
    <w:rsid w:val="3E5A4E8D"/>
    <w:rsid w:val="3EAA332E"/>
    <w:rsid w:val="3EBF3D26"/>
    <w:rsid w:val="3EC56AB2"/>
    <w:rsid w:val="3EDA0523"/>
    <w:rsid w:val="3EF52A56"/>
    <w:rsid w:val="3F0B352A"/>
    <w:rsid w:val="3F1B2DCF"/>
    <w:rsid w:val="3F2420FB"/>
    <w:rsid w:val="3F7722E4"/>
    <w:rsid w:val="3F8B71FB"/>
    <w:rsid w:val="3FA8170D"/>
    <w:rsid w:val="3FCE4043"/>
    <w:rsid w:val="403A59A8"/>
    <w:rsid w:val="40466C07"/>
    <w:rsid w:val="407A6407"/>
    <w:rsid w:val="407B7706"/>
    <w:rsid w:val="40B25CC9"/>
    <w:rsid w:val="40C54E24"/>
    <w:rsid w:val="40D64B0A"/>
    <w:rsid w:val="415B3C6B"/>
    <w:rsid w:val="41A03102"/>
    <w:rsid w:val="41B571BE"/>
    <w:rsid w:val="4200449D"/>
    <w:rsid w:val="422A188F"/>
    <w:rsid w:val="423A3BCC"/>
    <w:rsid w:val="424E57D2"/>
    <w:rsid w:val="429A4C67"/>
    <w:rsid w:val="42A7440F"/>
    <w:rsid w:val="42B26C49"/>
    <w:rsid w:val="432A08FD"/>
    <w:rsid w:val="43316C57"/>
    <w:rsid w:val="43340C18"/>
    <w:rsid w:val="43371B17"/>
    <w:rsid w:val="433A6FE6"/>
    <w:rsid w:val="43480868"/>
    <w:rsid w:val="4350713C"/>
    <w:rsid w:val="436653E0"/>
    <w:rsid w:val="43827635"/>
    <w:rsid w:val="43C4431A"/>
    <w:rsid w:val="440E5CF2"/>
    <w:rsid w:val="441A0734"/>
    <w:rsid w:val="44B951CC"/>
    <w:rsid w:val="44CD14E0"/>
    <w:rsid w:val="44F20B0B"/>
    <w:rsid w:val="450C521B"/>
    <w:rsid w:val="45134739"/>
    <w:rsid w:val="452E5F4C"/>
    <w:rsid w:val="45612018"/>
    <w:rsid w:val="458946E9"/>
    <w:rsid w:val="45A47C0E"/>
    <w:rsid w:val="45B80572"/>
    <w:rsid w:val="45C22200"/>
    <w:rsid w:val="45C87882"/>
    <w:rsid w:val="46577FD6"/>
    <w:rsid w:val="4682613E"/>
    <w:rsid w:val="46D473BF"/>
    <w:rsid w:val="46D955A7"/>
    <w:rsid w:val="46FE24C7"/>
    <w:rsid w:val="47133957"/>
    <w:rsid w:val="47214976"/>
    <w:rsid w:val="473E2065"/>
    <w:rsid w:val="476E453E"/>
    <w:rsid w:val="479E0D55"/>
    <w:rsid w:val="47A07E0C"/>
    <w:rsid w:val="4870272E"/>
    <w:rsid w:val="48DA2D00"/>
    <w:rsid w:val="49267254"/>
    <w:rsid w:val="49690EEF"/>
    <w:rsid w:val="498747FF"/>
    <w:rsid w:val="49CC7DFC"/>
    <w:rsid w:val="49DC7715"/>
    <w:rsid w:val="4A023139"/>
    <w:rsid w:val="4A123808"/>
    <w:rsid w:val="4A312CC3"/>
    <w:rsid w:val="4A69389D"/>
    <w:rsid w:val="4A7B576F"/>
    <w:rsid w:val="4A8F2BD7"/>
    <w:rsid w:val="4A987A10"/>
    <w:rsid w:val="4A9C7CFE"/>
    <w:rsid w:val="4AAD466B"/>
    <w:rsid w:val="4ACB5CA5"/>
    <w:rsid w:val="4AF122B8"/>
    <w:rsid w:val="4AF561A9"/>
    <w:rsid w:val="4B1D24E9"/>
    <w:rsid w:val="4B6757BA"/>
    <w:rsid w:val="4BBA3C84"/>
    <w:rsid w:val="4C2F2498"/>
    <w:rsid w:val="4C4A0649"/>
    <w:rsid w:val="4C7E5ECA"/>
    <w:rsid w:val="4C876AA5"/>
    <w:rsid w:val="4CB70475"/>
    <w:rsid w:val="4CDC00E5"/>
    <w:rsid w:val="4CDC3F00"/>
    <w:rsid w:val="4CF06418"/>
    <w:rsid w:val="4D0E00FB"/>
    <w:rsid w:val="4D176606"/>
    <w:rsid w:val="4D2C504E"/>
    <w:rsid w:val="4D640BE2"/>
    <w:rsid w:val="4DB07878"/>
    <w:rsid w:val="4DEC4FB0"/>
    <w:rsid w:val="4E075D8A"/>
    <w:rsid w:val="4E135294"/>
    <w:rsid w:val="4E684D50"/>
    <w:rsid w:val="4EC00FAD"/>
    <w:rsid w:val="4F0B3D51"/>
    <w:rsid w:val="4F1A1B6C"/>
    <w:rsid w:val="4F615AA1"/>
    <w:rsid w:val="4F9843DC"/>
    <w:rsid w:val="4FAC4AA1"/>
    <w:rsid w:val="4FB82BD0"/>
    <w:rsid w:val="4FC62A8C"/>
    <w:rsid w:val="4FD07F3D"/>
    <w:rsid w:val="4FE20F0D"/>
    <w:rsid w:val="4FE51552"/>
    <w:rsid w:val="501A26E4"/>
    <w:rsid w:val="503A5393"/>
    <w:rsid w:val="50504C4B"/>
    <w:rsid w:val="505773CD"/>
    <w:rsid w:val="506300F4"/>
    <w:rsid w:val="509C6E7C"/>
    <w:rsid w:val="514069D9"/>
    <w:rsid w:val="5162104E"/>
    <w:rsid w:val="52272025"/>
    <w:rsid w:val="52837292"/>
    <w:rsid w:val="529C40E3"/>
    <w:rsid w:val="52B952FC"/>
    <w:rsid w:val="52CD37FF"/>
    <w:rsid w:val="52F75D04"/>
    <w:rsid w:val="533E3670"/>
    <w:rsid w:val="53461AED"/>
    <w:rsid w:val="53A039CC"/>
    <w:rsid w:val="53A1505A"/>
    <w:rsid w:val="54063E08"/>
    <w:rsid w:val="543437E8"/>
    <w:rsid w:val="54790B80"/>
    <w:rsid w:val="5489003F"/>
    <w:rsid w:val="548C41AF"/>
    <w:rsid w:val="54BB2371"/>
    <w:rsid w:val="54F25CEE"/>
    <w:rsid w:val="54F73313"/>
    <w:rsid w:val="54F80955"/>
    <w:rsid w:val="54F95460"/>
    <w:rsid w:val="551128C4"/>
    <w:rsid w:val="555170A7"/>
    <w:rsid w:val="555E131C"/>
    <w:rsid w:val="5587536D"/>
    <w:rsid w:val="559B174B"/>
    <w:rsid w:val="55CE0CF4"/>
    <w:rsid w:val="55DA38A0"/>
    <w:rsid w:val="55F56CC9"/>
    <w:rsid w:val="55FC7D1E"/>
    <w:rsid w:val="55FF4B9F"/>
    <w:rsid w:val="56473BE9"/>
    <w:rsid w:val="565F3DA6"/>
    <w:rsid w:val="56B22A9C"/>
    <w:rsid w:val="570426BF"/>
    <w:rsid w:val="571E7ECD"/>
    <w:rsid w:val="572172AD"/>
    <w:rsid w:val="57AB4780"/>
    <w:rsid w:val="57B11E20"/>
    <w:rsid w:val="57B72A76"/>
    <w:rsid w:val="57BF3C61"/>
    <w:rsid w:val="57C3426C"/>
    <w:rsid w:val="57CB1040"/>
    <w:rsid w:val="57CE1F93"/>
    <w:rsid w:val="57E97DCB"/>
    <w:rsid w:val="582023A5"/>
    <w:rsid w:val="584E7C2E"/>
    <w:rsid w:val="58512081"/>
    <w:rsid w:val="5851771E"/>
    <w:rsid w:val="588743D1"/>
    <w:rsid w:val="5887701A"/>
    <w:rsid w:val="58B451DB"/>
    <w:rsid w:val="591F15CA"/>
    <w:rsid w:val="593C31C7"/>
    <w:rsid w:val="596E46D9"/>
    <w:rsid w:val="59C0439F"/>
    <w:rsid w:val="59E0732E"/>
    <w:rsid w:val="59E50FC6"/>
    <w:rsid w:val="5A5836E3"/>
    <w:rsid w:val="5ABE2233"/>
    <w:rsid w:val="5ACC3916"/>
    <w:rsid w:val="5B0521C9"/>
    <w:rsid w:val="5B0A1934"/>
    <w:rsid w:val="5B345801"/>
    <w:rsid w:val="5B7420A1"/>
    <w:rsid w:val="5B921720"/>
    <w:rsid w:val="5BDF5D95"/>
    <w:rsid w:val="5BFE7528"/>
    <w:rsid w:val="5C833DE0"/>
    <w:rsid w:val="5D064547"/>
    <w:rsid w:val="5D327B1E"/>
    <w:rsid w:val="5D4423AC"/>
    <w:rsid w:val="5E12640B"/>
    <w:rsid w:val="5E2467F1"/>
    <w:rsid w:val="5E307D54"/>
    <w:rsid w:val="5E8B6277"/>
    <w:rsid w:val="5E8C40B8"/>
    <w:rsid w:val="5EA31B57"/>
    <w:rsid w:val="5EBB1D95"/>
    <w:rsid w:val="5F1A2B43"/>
    <w:rsid w:val="5F85487D"/>
    <w:rsid w:val="5FB418A3"/>
    <w:rsid w:val="5FB837BB"/>
    <w:rsid w:val="60222571"/>
    <w:rsid w:val="6082700E"/>
    <w:rsid w:val="60B66CB8"/>
    <w:rsid w:val="60CC405A"/>
    <w:rsid w:val="60DD3D23"/>
    <w:rsid w:val="60DD790C"/>
    <w:rsid w:val="61016185"/>
    <w:rsid w:val="61812554"/>
    <w:rsid w:val="61E20F0A"/>
    <w:rsid w:val="61E215D8"/>
    <w:rsid w:val="621B3775"/>
    <w:rsid w:val="62260CCC"/>
    <w:rsid w:val="62364782"/>
    <w:rsid w:val="6245765D"/>
    <w:rsid w:val="624D21DA"/>
    <w:rsid w:val="624F4CCE"/>
    <w:rsid w:val="6273553D"/>
    <w:rsid w:val="62E06A1A"/>
    <w:rsid w:val="62E91B5F"/>
    <w:rsid w:val="6327307F"/>
    <w:rsid w:val="634C3904"/>
    <w:rsid w:val="635B64F9"/>
    <w:rsid w:val="637A4336"/>
    <w:rsid w:val="6394356A"/>
    <w:rsid w:val="63B35731"/>
    <w:rsid w:val="63C61B2C"/>
    <w:rsid w:val="63D40BE9"/>
    <w:rsid w:val="64102431"/>
    <w:rsid w:val="641954DE"/>
    <w:rsid w:val="641A565B"/>
    <w:rsid w:val="64A5243A"/>
    <w:rsid w:val="64B60D30"/>
    <w:rsid w:val="64C40447"/>
    <w:rsid w:val="64CC0858"/>
    <w:rsid w:val="64F531DE"/>
    <w:rsid w:val="64F8430D"/>
    <w:rsid w:val="65045558"/>
    <w:rsid w:val="6517777B"/>
    <w:rsid w:val="65373578"/>
    <w:rsid w:val="653B59DE"/>
    <w:rsid w:val="653E2DF3"/>
    <w:rsid w:val="654916C7"/>
    <w:rsid w:val="658F650D"/>
    <w:rsid w:val="65CD7FF5"/>
    <w:rsid w:val="65F73152"/>
    <w:rsid w:val="662D5327"/>
    <w:rsid w:val="662D7608"/>
    <w:rsid w:val="665912AA"/>
    <w:rsid w:val="669943E8"/>
    <w:rsid w:val="66A859E7"/>
    <w:rsid w:val="671F124A"/>
    <w:rsid w:val="674C6DED"/>
    <w:rsid w:val="67550FD9"/>
    <w:rsid w:val="67730D83"/>
    <w:rsid w:val="677A33C6"/>
    <w:rsid w:val="6796514D"/>
    <w:rsid w:val="67BF4F48"/>
    <w:rsid w:val="67FC4329"/>
    <w:rsid w:val="67FD0A08"/>
    <w:rsid w:val="681F6961"/>
    <w:rsid w:val="683E7CBF"/>
    <w:rsid w:val="68610A2F"/>
    <w:rsid w:val="68805514"/>
    <w:rsid w:val="68B66349"/>
    <w:rsid w:val="68C90FFB"/>
    <w:rsid w:val="69316E2F"/>
    <w:rsid w:val="69484D17"/>
    <w:rsid w:val="694E2071"/>
    <w:rsid w:val="69766163"/>
    <w:rsid w:val="697A3B33"/>
    <w:rsid w:val="69B779C3"/>
    <w:rsid w:val="69D44760"/>
    <w:rsid w:val="6A520EC7"/>
    <w:rsid w:val="6A9F0D7B"/>
    <w:rsid w:val="6AE12B83"/>
    <w:rsid w:val="6AF87E20"/>
    <w:rsid w:val="6AFC1661"/>
    <w:rsid w:val="6B2C4BED"/>
    <w:rsid w:val="6B322639"/>
    <w:rsid w:val="6B463DC2"/>
    <w:rsid w:val="6B826114"/>
    <w:rsid w:val="6B880DD4"/>
    <w:rsid w:val="6B8E4AB9"/>
    <w:rsid w:val="6BAF2C82"/>
    <w:rsid w:val="6BDD740D"/>
    <w:rsid w:val="6C501D6F"/>
    <w:rsid w:val="6C636C38"/>
    <w:rsid w:val="6CBD4074"/>
    <w:rsid w:val="6CD85C9B"/>
    <w:rsid w:val="6D872F7D"/>
    <w:rsid w:val="6DA363C7"/>
    <w:rsid w:val="6DB34098"/>
    <w:rsid w:val="6DB545B6"/>
    <w:rsid w:val="6DCC7B1B"/>
    <w:rsid w:val="6DE02FB4"/>
    <w:rsid w:val="6E3D0320"/>
    <w:rsid w:val="6E514CED"/>
    <w:rsid w:val="6E79329A"/>
    <w:rsid w:val="6EB563D5"/>
    <w:rsid w:val="6ECD4657"/>
    <w:rsid w:val="6ED92677"/>
    <w:rsid w:val="6EE25212"/>
    <w:rsid w:val="6EF05844"/>
    <w:rsid w:val="6F225983"/>
    <w:rsid w:val="6F3434A8"/>
    <w:rsid w:val="6F667AFB"/>
    <w:rsid w:val="6FB71E2E"/>
    <w:rsid w:val="6FB91A91"/>
    <w:rsid w:val="6FEB33F7"/>
    <w:rsid w:val="6FFC5590"/>
    <w:rsid w:val="706D1DD0"/>
    <w:rsid w:val="70856B87"/>
    <w:rsid w:val="709D448E"/>
    <w:rsid w:val="70D527EE"/>
    <w:rsid w:val="71156478"/>
    <w:rsid w:val="715B5300"/>
    <w:rsid w:val="716B3139"/>
    <w:rsid w:val="717A0E4D"/>
    <w:rsid w:val="718818F0"/>
    <w:rsid w:val="71BB3A25"/>
    <w:rsid w:val="71CD5C10"/>
    <w:rsid w:val="71D27F8A"/>
    <w:rsid w:val="71F87130"/>
    <w:rsid w:val="72553024"/>
    <w:rsid w:val="73122968"/>
    <w:rsid w:val="731F5D5E"/>
    <w:rsid w:val="73AB1B34"/>
    <w:rsid w:val="73B63D66"/>
    <w:rsid w:val="73BF77DA"/>
    <w:rsid w:val="73C03C7E"/>
    <w:rsid w:val="73C51AD5"/>
    <w:rsid w:val="73FF68D6"/>
    <w:rsid w:val="741E793C"/>
    <w:rsid w:val="744073C0"/>
    <w:rsid w:val="744D1707"/>
    <w:rsid w:val="745E3944"/>
    <w:rsid w:val="747B43EC"/>
    <w:rsid w:val="752B5FFF"/>
    <w:rsid w:val="753B4BD6"/>
    <w:rsid w:val="75546F0E"/>
    <w:rsid w:val="759E4617"/>
    <w:rsid w:val="75FE4118"/>
    <w:rsid w:val="7635099D"/>
    <w:rsid w:val="766E5D5E"/>
    <w:rsid w:val="76C11E1A"/>
    <w:rsid w:val="76C27E3F"/>
    <w:rsid w:val="76F32E79"/>
    <w:rsid w:val="77630395"/>
    <w:rsid w:val="77762421"/>
    <w:rsid w:val="77B56B1F"/>
    <w:rsid w:val="77B82B76"/>
    <w:rsid w:val="77DE7359"/>
    <w:rsid w:val="77ED6F6B"/>
    <w:rsid w:val="77F73E31"/>
    <w:rsid w:val="780F09F4"/>
    <w:rsid w:val="78320EC2"/>
    <w:rsid w:val="78370FDE"/>
    <w:rsid w:val="78385702"/>
    <w:rsid w:val="787F24BF"/>
    <w:rsid w:val="78A90480"/>
    <w:rsid w:val="79386064"/>
    <w:rsid w:val="7A353F67"/>
    <w:rsid w:val="7A364017"/>
    <w:rsid w:val="7A501527"/>
    <w:rsid w:val="7A8265E1"/>
    <w:rsid w:val="7B0B63BE"/>
    <w:rsid w:val="7B6320C4"/>
    <w:rsid w:val="7B686D42"/>
    <w:rsid w:val="7B841746"/>
    <w:rsid w:val="7C63281E"/>
    <w:rsid w:val="7C6C5AC7"/>
    <w:rsid w:val="7CC6544B"/>
    <w:rsid w:val="7CEA6554"/>
    <w:rsid w:val="7D0239FF"/>
    <w:rsid w:val="7D1666BD"/>
    <w:rsid w:val="7D3B562F"/>
    <w:rsid w:val="7D5E40CD"/>
    <w:rsid w:val="7DCD56F2"/>
    <w:rsid w:val="7DF374BA"/>
    <w:rsid w:val="7E206D4B"/>
    <w:rsid w:val="7E2E5C88"/>
    <w:rsid w:val="7E303114"/>
    <w:rsid w:val="7E79374F"/>
    <w:rsid w:val="7E961930"/>
    <w:rsid w:val="7EA321D2"/>
    <w:rsid w:val="7EAF5740"/>
    <w:rsid w:val="7EE215BB"/>
    <w:rsid w:val="7EFFF70C"/>
    <w:rsid w:val="7F001CE7"/>
    <w:rsid w:val="7F4E3BBA"/>
    <w:rsid w:val="7F5659A9"/>
    <w:rsid w:val="7F7F3F89"/>
    <w:rsid w:val="7FB63AC1"/>
    <w:rsid w:val="7FC316ED"/>
    <w:rsid w:val="7FCF2B5F"/>
    <w:rsid w:val="7FE47E50"/>
    <w:rsid w:val="7FE758EA"/>
    <w:rsid w:val="AE7740CB"/>
    <w:rsid w:val="DC6BEFE7"/>
    <w:rsid w:val="EDF3E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4"/>
    <w:basedOn w:val="1"/>
    <w:next w:val="1"/>
    <w:qFormat/>
    <w:locked/>
    <w:uiPriority w:val="0"/>
    <w:pPr>
      <w:keepNext/>
      <w:tabs>
        <w:tab w:val="left" w:pos="1245"/>
      </w:tabs>
      <w:outlineLvl w:val="3"/>
    </w:pPr>
    <w:rPr>
      <w:sz w:val="28"/>
      <w:szCs w:val="20"/>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locked/>
    <w:uiPriority w:val="0"/>
    <w:pPr>
      <w:widowControl/>
      <w:spacing w:line="360" w:lineRule="auto"/>
      <w:ind w:firstLine="200" w:firstLineChars="200"/>
      <w:jc w:val="center"/>
    </w:pPr>
    <w:rPr>
      <w:rFonts w:eastAsiaTheme="minorEastAsia" w:cstheme="minorBidi"/>
      <w:bCs/>
      <w:kern w:val="0"/>
      <w:sz w:val="24"/>
      <w:szCs w:val="18"/>
    </w:rPr>
  </w:style>
  <w:style w:type="paragraph" w:styleId="5">
    <w:name w:val="annotation text"/>
    <w:basedOn w:val="1"/>
    <w:link w:val="25"/>
    <w:semiHidden/>
    <w:qFormat/>
    <w:uiPriority w:val="0"/>
    <w:pPr>
      <w:jc w:val="left"/>
    </w:pPr>
    <w:rPr>
      <w:kern w:val="0"/>
      <w:sz w:val="24"/>
      <w:szCs w:val="20"/>
    </w:rPr>
  </w:style>
  <w:style w:type="paragraph" w:styleId="6">
    <w:name w:val="Body Text"/>
    <w:basedOn w:val="1"/>
    <w:next w:val="1"/>
    <w:link w:val="24"/>
    <w:qFormat/>
    <w:uiPriority w:val="0"/>
    <w:pPr>
      <w:widowControl/>
      <w:snapToGrid w:val="0"/>
      <w:spacing w:before="60" w:after="160" w:line="259" w:lineRule="auto"/>
      <w:ind w:right="113"/>
    </w:pPr>
    <w:rPr>
      <w:kern w:val="0"/>
      <w:sz w:val="18"/>
      <w:szCs w:val="20"/>
    </w:rPr>
  </w:style>
  <w:style w:type="paragraph" w:styleId="7">
    <w:name w:val="Body Text Indent"/>
    <w:basedOn w:val="1"/>
    <w:link w:val="26"/>
    <w:qFormat/>
    <w:uiPriority w:val="0"/>
    <w:pPr>
      <w:spacing w:after="120"/>
      <w:ind w:left="420" w:leftChars="200"/>
    </w:pPr>
    <w:rPr>
      <w:kern w:val="0"/>
      <w:sz w:val="24"/>
      <w:szCs w:val="20"/>
    </w:rPr>
  </w:style>
  <w:style w:type="paragraph" w:styleId="8">
    <w:name w:val="Block Text"/>
    <w:basedOn w:val="1"/>
    <w:qFormat/>
    <w:locked/>
    <w:uiPriority w:val="0"/>
    <w:pPr>
      <w:widowControl/>
      <w:spacing w:line="330" w:lineRule="exact"/>
      <w:ind w:left="-57" w:right="-57"/>
      <w:jc w:val="center"/>
    </w:pPr>
    <w:rPr>
      <w:rFonts w:ascii="宋体" w:hAnsi="Calibri"/>
      <w:kern w:val="0"/>
      <w:sz w:val="24"/>
      <w:szCs w:val="20"/>
    </w:rPr>
  </w:style>
  <w:style w:type="paragraph" w:styleId="9">
    <w:name w:val="Plain Text"/>
    <w:basedOn w:val="1"/>
    <w:qFormat/>
    <w:locked/>
    <w:uiPriority w:val="99"/>
    <w:rPr>
      <w:rFonts w:ascii="宋体" w:hAnsi="Courier New"/>
      <w:szCs w:val="20"/>
    </w:rPr>
  </w:style>
  <w:style w:type="paragraph" w:styleId="10">
    <w:name w:val="Date"/>
    <w:basedOn w:val="1"/>
    <w:next w:val="1"/>
    <w:link w:val="27"/>
    <w:qFormat/>
    <w:uiPriority w:val="0"/>
    <w:pPr>
      <w:ind w:left="100" w:leftChars="2500"/>
    </w:pPr>
    <w:rPr>
      <w:kern w:val="0"/>
      <w:sz w:val="24"/>
      <w:szCs w:val="20"/>
    </w:rPr>
  </w:style>
  <w:style w:type="paragraph" w:styleId="11">
    <w:name w:val="Balloon Text"/>
    <w:basedOn w:val="1"/>
    <w:link w:val="28"/>
    <w:semiHidden/>
    <w:qFormat/>
    <w:uiPriority w:val="0"/>
    <w:rPr>
      <w:kern w:val="0"/>
      <w:sz w:val="18"/>
      <w:szCs w:val="20"/>
    </w:rPr>
  </w:style>
  <w:style w:type="paragraph" w:styleId="12">
    <w:name w:val="footer"/>
    <w:basedOn w:val="1"/>
    <w:link w:val="29"/>
    <w:qFormat/>
    <w:uiPriority w:val="99"/>
    <w:pPr>
      <w:tabs>
        <w:tab w:val="center" w:pos="4153"/>
        <w:tab w:val="right" w:pos="8306"/>
      </w:tabs>
      <w:snapToGrid w:val="0"/>
      <w:jc w:val="left"/>
    </w:pPr>
    <w:rPr>
      <w:kern w:val="0"/>
      <w:sz w:val="18"/>
      <w:szCs w:val="20"/>
    </w:rPr>
  </w:style>
  <w:style w:type="paragraph" w:styleId="13">
    <w:name w:val="header"/>
    <w:basedOn w:val="1"/>
    <w:link w:val="30"/>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table of figures"/>
    <w:basedOn w:val="1"/>
    <w:next w:val="1"/>
    <w:qFormat/>
    <w:locked/>
    <w:uiPriority w:val="0"/>
    <w:pPr>
      <w:ind w:left="200" w:leftChars="200" w:hanging="200" w:hangingChars="200"/>
    </w:pPr>
  </w:style>
  <w:style w:type="paragraph" w:styleId="15">
    <w:name w:val="Normal (Web)"/>
    <w:basedOn w:val="1"/>
    <w:link w:val="31"/>
    <w:qFormat/>
    <w:uiPriority w:val="0"/>
    <w:pPr>
      <w:widowControl/>
      <w:spacing w:before="100" w:beforeAutospacing="1" w:after="100" w:afterAutospacing="1"/>
      <w:jc w:val="left"/>
    </w:pPr>
    <w:rPr>
      <w:rFonts w:ascii="宋体" w:hAnsi="宋体"/>
      <w:kern w:val="0"/>
      <w:sz w:val="24"/>
      <w:szCs w:val="20"/>
    </w:rPr>
  </w:style>
  <w:style w:type="paragraph" w:styleId="16">
    <w:name w:val="annotation subject"/>
    <w:basedOn w:val="5"/>
    <w:next w:val="5"/>
    <w:link w:val="32"/>
    <w:semiHidden/>
    <w:qFormat/>
    <w:uiPriority w:val="0"/>
    <w:rPr>
      <w:b/>
    </w:rPr>
  </w:style>
  <w:style w:type="paragraph" w:styleId="17">
    <w:name w:val="Body Text First Indent"/>
    <w:basedOn w:val="6"/>
    <w:next w:val="1"/>
    <w:qFormat/>
    <w:locked/>
    <w:uiPriority w:val="0"/>
    <w:pPr>
      <w:widowControl w:val="0"/>
      <w:snapToGrid/>
      <w:spacing w:before="0" w:after="120" w:line="240" w:lineRule="auto"/>
      <w:ind w:right="0" w:firstLine="420" w:firstLineChars="100"/>
    </w:pPr>
    <w:rPr>
      <w:kern w:val="2"/>
      <w:sz w:val="21"/>
      <w:szCs w:val="24"/>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locked/>
    <w:uiPriority w:val="0"/>
  </w:style>
  <w:style w:type="character" w:styleId="22">
    <w:name w:val="Hyperlink"/>
    <w:basedOn w:val="20"/>
    <w:qFormat/>
    <w:locked/>
    <w:uiPriority w:val="0"/>
    <w:rPr>
      <w:color w:val="0000FF"/>
      <w:u w:val="single"/>
    </w:rPr>
  </w:style>
  <w:style w:type="character" w:styleId="23">
    <w:name w:val="annotation reference"/>
    <w:semiHidden/>
    <w:qFormat/>
    <w:uiPriority w:val="0"/>
    <w:rPr>
      <w:sz w:val="21"/>
    </w:rPr>
  </w:style>
  <w:style w:type="character" w:customStyle="1" w:styleId="24">
    <w:name w:val="正文文本 Char"/>
    <w:link w:val="6"/>
    <w:qFormat/>
    <w:locked/>
    <w:uiPriority w:val="0"/>
    <w:rPr>
      <w:sz w:val="18"/>
    </w:rPr>
  </w:style>
  <w:style w:type="character" w:customStyle="1" w:styleId="25">
    <w:name w:val="批注文字 Char"/>
    <w:link w:val="5"/>
    <w:qFormat/>
    <w:locked/>
    <w:uiPriority w:val="0"/>
    <w:rPr>
      <w:rFonts w:ascii="Times New Roman" w:hAnsi="Times New Roman" w:eastAsia="宋体"/>
      <w:sz w:val="24"/>
    </w:rPr>
  </w:style>
  <w:style w:type="character" w:customStyle="1" w:styleId="26">
    <w:name w:val="正文文本缩进 Char"/>
    <w:link w:val="7"/>
    <w:semiHidden/>
    <w:qFormat/>
    <w:locked/>
    <w:uiPriority w:val="0"/>
    <w:rPr>
      <w:rFonts w:ascii="Times New Roman" w:hAnsi="Times New Roman" w:eastAsia="宋体"/>
      <w:sz w:val="24"/>
    </w:rPr>
  </w:style>
  <w:style w:type="character" w:customStyle="1" w:styleId="27">
    <w:name w:val="日期 Char"/>
    <w:link w:val="10"/>
    <w:qFormat/>
    <w:locked/>
    <w:uiPriority w:val="0"/>
    <w:rPr>
      <w:rFonts w:ascii="Times New Roman" w:hAnsi="Times New Roman" w:eastAsia="宋体"/>
      <w:sz w:val="24"/>
    </w:rPr>
  </w:style>
  <w:style w:type="character" w:customStyle="1" w:styleId="28">
    <w:name w:val="批注框文本 Char"/>
    <w:link w:val="11"/>
    <w:semiHidden/>
    <w:qFormat/>
    <w:locked/>
    <w:uiPriority w:val="0"/>
    <w:rPr>
      <w:rFonts w:ascii="Times New Roman" w:hAnsi="Times New Roman" w:eastAsia="宋体"/>
      <w:sz w:val="18"/>
    </w:rPr>
  </w:style>
  <w:style w:type="character" w:customStyle="1" w:styleId="29">
    <w:name w:val="页脚 Char"/>
    <w:link w:val="12"/>
    <w:qFormat/>
    <w:locked/>
    <w:uiPriority w:val="99"/>
    <w:rPr>
      <w:sz w:val="18"/>
    </w:rPr>
  </w:style>
  <w:style w:type="character" w:customStyle="1" w:styleId="30">
    <w:name w:val="页眉 Char"/>
    <w:link w:val="13"/>
    <w:qFormat/>
    <w:locked/>
    <w:uiPriority w:val="0"/>
    <w:rPr>
      <w:sz w:val="18"/>
    </w:rPr>
  </w:style>
  <w:style w:type="character" w:customStyle="1" w:styleId="31">
    <w:name w:val="普通(网站) Char"/>
    <w:link w:val="15"/>
    <w:qFormat/>
    <w:locked/>
    <w:uiPriority w:val="0"/>
    <w:rPr>
      <w:rFonts w:ascii="宋体" w:hAnsi="宋体" w:eastAsia="宋体"/>
      <w:sz w:val="24"/>
    </w:rPr>
  </w:style>
  <w:style w:type="character" w:customStyle="1" w:styleId="32">
    <w:name w:val="批注主题 Char"/>
    <w:link w:val="16"/>
    <w:semiHidden/>
    <w:qFormat/>
    <w:locked/>
    <w:uiPriority w:val="0"/>
    <w:rPr>
      <w:rFonts w:ascii="Times New Roman" w:hAnsi="Times New Roman" w:eastAsia="宋体"/>
      <w:b/>
      <w:kern w:val="2"/>
      <w:sz w:val="24"/>
    </w:rPr>
  </w:style>
  <w:style w:type="character" w:customStyle="1" w:styleId="33">
    <w:name w:val="页脚 字符"/>
    <w:basedOn w:val="20"/>
    <w:qFormat/>
    <w:uiPriority w:val="99"/>
  </w:style>
  <w:style w:type="character" w:customStyle="1" w:styleId="34">
    <w:name w:val="正文文本 字符1"/>
    <w:semiHidden/>
    <w:qFormat/>
    <w:uiPriority w:val="0"/>
    <w:rPr>
      <w:rFonts w:ascii="Times New Roman" w:hAnsi="Times New Roman" w:eastAsia="宋体"/>
      <w:sz w:val="24"/>
    </w:rPr>
  </w:style>
  <w:style w:type="character" w:customStyle="1" w:styleId="35">
    <w:name w:val="表格 Char"/>
    <w:link w:val="36"/>
    <w:qFormat/>
    <w:locked/>
    <w:uiPriority w:val="0"/>
    <w:rPr>
      <w:rFonts w:ascii="宋体"/>
      <w:sz w:val="21"/>
    </w:rPr>
  </w:style>
  <w:style w:type="paragraph" w:customStyle="1" w:styleId="36">
    <w:name w:val="表格"/>
    <w:basedOn w:val="1"/>
    <w:next w:val="1"/>
    <w:link w:val="35"/>
    <w:qFormat/>
    <w:uiPriority w:val="0"/>
    <w:pPr>
      <w:adjustRightInd w:val="0"/>
      <w:snapToGrid w:val="0"/>
      <w:spacing w:beforeLines="10" w:afterLines="10" w:line="259" w:lineRule="auto"/>
      <w:jc w:val="center"/>
    </w:pPr>
    <w:rPr>
      <w:rFonts w:ascii="宋体"/>
      <w:kern w:val="0"/>
      <w:szCs w:val="20"/>
    </w:rPr>
  </w:style>
  <w:style w:type="character" w:customStyle="1" w:styleId="37">
    <w:name w:val="日期 字符"/>
    <w:semiHidden/>
    <w:qFormat/>
    <w:uiPriority w:val="0"/>
    <w:rPr>
      <w:rFonts w:ascii="Times New Roman" w:hAnsi="Times New Roman" w:eastAsia="宋体"/>
      <w:sz w:val="24"/>
    </w:rPr>
  </w:style>
  <w:style w:type="character" w:customStyle="1" w:styleId="38">
    <w:name w:val="批注文字 字符1"/>
    <w:semiHidden/>
    <w:qFormat/>
    <w:uiPriority w:val="0"/>
    <w:rPr>
      <w:rFonts w:ascii="Times New Roman" w:hAnsi="Times New Roman" w:eastAsia="宋体"/>
      <w:sz w:val="24"/>
    </w:rPr>
  </w:style>
  <w:style w:type="paragraph" w:customStyle="1" w:styleId="3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1">
    <w:name w:val="1正文-L"/>
    <w:basedOn w:val="1"/>
    <w:qFormat/>
    <w:uiPriority w:val="0"/>
    <w:pPr>
      <w:ind w:firstLine="480"/>
    </w:pPr>
    <w:rPr>
      <w:sz w:val="24"/>
    </w:rPr>
  </w:style>
  <w:style w:type="character" w:customStyle="1" w:styleId="42">
    <w:name w:val="dash6b63_6587__char1"/>
    <w:qFormat/>
    <w:uiPriority w:val="0"/>
    <w:rPr>
      <w:rFonts w:hint="default" w:ascii="Times New Roman" w:hAnsi="Times New Roman" w:cs="Times New Roman"/>
      <w:sz w:val="20"/>
      <w:szCs w:val="20"/>
      <w:u w:val="none"/>
    </w:rPr>
  </w:style>
  <w:style w:type="table" w:customStyle="1" w:styleId="43">
    <w:name w:val="灰度表格1221"/>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4">
    <w:name w:val="样式6565656"/>
    <w:basedOn w:val="1"/>
    <w:qFormat/>
    <w:uiPriority w:val="0"/>
    <w:pPr>
      <w:adjustRightInd w:val="0"/>
      <w:snapToGrid w:val="0"/>
      <w:spacing w:line="460" w:lineRule="atLeast"/>
      <w:ind w:firstLine="480" w:firstLineChars="200"/>
      <w:jc w:val="left"/>
    </w:pPr>
    <w:rPr>
      <w:rFonts w:hAnsi="宋体"/>
      <w:bCs/>
      <w:sz w:val="24"/>
    </w:rPr>
  </w:style>
  <w:style w:type="paragraph" w:customStyle="1" w:styleId="45">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46">
    <w:name w:val="1表文"/>
    <w:basedOn w:val="1"/>
    <w:next w:val="1"/>
    <w:qFormat/>
    <w:uiPriority w:val="0"/>
    <w:pPr>
      <w:spacing w:line="320" w:lineRule="exact"/>
      <w:jc w:val="center"/>
    </w:pPr>
    <w:rPr>
      <w:szCs w:val="22"/>
    </w:rPr>
  </w:style>
  <w:style w:type="paragraph" w:customStyle="1" w:styleId="47">
    <w:name w:val="环评正文"/>
    <w:basedOn w:val="1"/>
    <w:qFormat/>
    <w:uiPriority w:val="0"/>
    <w:pPr>
      <w:spacing w:line="360" w:lineRule="auto"/>
      <w:ind w:firstLine="200" w:firstLineChars="200"/>
      <w:jc w:val="center"/>
    </w:pPr>
    <w:rPr>
      <w:sz w:val="24"/>
    </w:rPr>
  </w:style>
  <w:style w:type="table" w:customStyle="1" w:styleId="48">
    <w:name w:val="灰度表格1223"/>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49">
    <w:name w:val="List Paragraph"/>
    <w:basedOn w:val="1"/>
    <w:qFormat/>
    <w:uiPriority w:val="34"/>
    <w:pPr>
      <w:ind w:firstLine="420" w:firstLineChars="200"/>
    </w:pPr>
  </w:style>
  <w:style w:type="paragraph" w:customStyle="1" w:styleId="50">
    <w:name w:val="表内字体111"/>
    <w:basedOn w:val="1"/>
    <w:qFormat/>
    <w:uiPriority w:val="0"/>
    <w:pPr>
      <w:adjustRightInd w:val="0"/>
      <w:snapToGrid w:val="0"/>
      <w:spacing w:line="300" w:lineRule="exact"/>
      <w:jc w:val="center"/>
    </w:pPr>
    <w:rPr>
      <w:snapToGrid w:val="0"/>
      <w:kern w:val="0"/>
    </w:rPr>
  </w:style>
  <w:style w:type="paragraph" w:customStyle="1" w:styleId="51">
    <w:name w:val="表格正文"/>
    <w:basedOn w:val="1"/>
    <w:qFormat/>
    <w:uiPriority w:val="0"/>
    <w:pPr>
      <w:spacing w:line="360" w:lineRule="exact"/>
      <w:jc w:val="center"/>
    </w:pPr>
    <w:rPr>
      <w:szCs w:val="20"/>
    </w:rPr>
  </w:style>
  <w:style w:type="paragraph" w:customStyle="1" w:styleId="52">
    <w:name w:val="表内字"/>
    <w:basedOn w:val="1"/>
    <w:qFormat/>
    <w:uiPriority w:val="0"/>
    <w:pPr>
      <w:autoSpaceDE w:val="0"/>
      <w:autoSpaceDN w:val="0"/>
      <w:adjustRightInd w:val="0"/>
      <w:snapToGrid w:val="0"/>
      <w:jc w:val="center"/>
    </w:pPr>
    <w:rPr>
      <w:rFonts w:ascii="Tahoma" w:hAnsi="Tahoma"/>
      <w:kern w:val="0"/>
      <w:szCs w:val="21"/>
    </w:rPr>
  </w:style>
  <w:style w:type="paragraph" w:customStyle="1" w:styleId="53">
    <w:name w:val="表多行"/>
    <w:basedOn w:val="54"/>
    <w:qFormat/>
    <w:uiPriority w:val="0"/>
    <w:pPr>
      <w:widowControl/>
      <w:spacing w:line="300" w:lineRule="exact"/>
      <w:ind w:firstLine="100" w:firstLineChars="100"/>
      <w:jc w:val="both"/>
    </w:pPr>
    <w:rPr>
      <w:color w:val="000000"/>
      <w:szCs w:val="21"/>
    </w:rPr>
  </w:style>
  <w:style w:type="paragraph" w:customStyle="1" w:styleId="54">
    <w:name w:val="表中文字"/>
    <w:basedOn w:val="1"/>
    <w:qFormat/>
    <w:uiPriority w:val="0"/>
    <w:pPr>
      <w:adjustRightInd w:val="0"/>
      <w:snapToGrid w:val="0"/>
      <w:spacing w:line="240" w:lineRule="atLeast"/>
      <w:jc w:val="center"/>
    </w:pPr>
    <w:rPr>
      <w:kern w:val="0"/>
      <w:szCs w:val="20"/>
    </w:rPr>
  </w:style>
  <w:style w:type="paragraph" w:customStyle="1" w:styleId="55">
    <w:name w:val="表格内"/>
    <w:basedOn w:val="1"/>
    <w:qFormat/>
    <w:uiPriority w:val="0"/>
    <w:pPr>
      <w:adjustRightInd w:val="0"/>
      <w:snapToGrid w:val="0"/>
      <w:spacing w:line="360" w:lineRule="exact"/>
      <w:jc w:val="center"/>
    </w:pPr>
    <w:rPr>
      <w:snapToGrid w:val="0"/>
      <w:kern w:val="0"/>
      <w:sz w:val="20"/>
      <w:szCs w:val="21"/>
    </w:rPr>
  </w:style>
  <w:style w:type="character" w:customStyle="1" w:styleId="56">
    <w:name w:val="font91"/>
    <w:basedOn w:val="20"/>
    <w:qFormat/>
    <w:uiPriority w:val="0"/>
    <w:rPr>
      <w:rFonts w:hint="default" w:ascii="Times New Roman" w:hAnsi="Times New Roman" w:cs="Times New Roman"/>
      <w:color w:val="FF0000"/>
      <w:sz w:val="21"/>
      <w:szCs w:val="21"/>
      <w:u w:val="none"/>
      <w:vertAlign w:val="superscript"/>
    </w:rPr>
  </w:style>
  <w:style w:type="character" w:customStyle="1" w:styleId="57">
    <w:name w:val="font21"/>
    <w:basedOn w:val="20"/>
    <w:qFormat/>
    <w:uiPriority w:val="0"/>
    <w:rPr>
      <w:rFonts w:hint="default" w:ascii="Times New Roman" w:hAnsi="Times New Roman" w:cs="Times New Roman"/>
      <w:color w:val="FF0000"/>
      <w:sz w:val="21"/>
      <w:szCs w:val="21"/>
      <w:u w:val="none"/>
    </w:rPr>
  </w:style>
  <w:style w:type="character" w:customStyle="1" w:styleId="58">
    <w:name w:val="font101"/>
    <w:basedOn w:val="20"/>
    <w:qFormat/>
    <w:uiPriority w:val="0"/>
    <w:rPr>
      <w:rFonts w:hint="default" w:ascii="Times New Roman" w:hAnsi="Times New Roman" w:cs="Times New Roman"/>
      <w:color w:val="FF0000"/>
      <w:sz w:val="22"/>
      <w:szCs w:val="22"/>
      <w:u w:val="none"/>
      <w:vertAlign w:val="superscript"/>
    </w:rPr>
  </w:style>
  <w:style w:type="character" w:customStyle="1" w:styleId="59">
    <w:name w:val="font51"/>
    <w:basedOn w:val="20"/>
    <w:qFormat/>
    <w:uiPriority w:val="0"/>
    <w:rPr>
      <w:rFonts w:hint="default" w:ascii="Times New Roman" w:hAnsi="Times New Roman" w:cs="Times New Roman"/>
      <w:color w:val="FF0000"/>
      <w:sz w:val="22"/>
      <w:szCs w:val="22"/>
      <w:u w:val="none"/>
    </w:rPr>
  </w:style>
  <w:style w:type="character" w:customStyle="1" w:styleId="60">
    <w:name w:val="font11"/>
    <w:basedOn w:val="20"/>
    <w:qFormat/>
    <w:uiPriority w:val="0"/>
    <w:rPr>
      <w:rFonts w:hint="eastAsia" w:ascii="宋体" w:hAnsi="宋体" w:eastAsia="宋体" w:cs="宋体"/>
      <w:color w:val="FF0000"/>
      <w:sz w:val="21"/>
      <w:szCs w:val="21"/>
      <w:u w:val="none"/>
    </w:rPr>
  </w:style>
  <w:style w:type="character" w:customStyle="1" w:styleId="61">
    <w:name w:val="font71"/>
    <w:basedOn w:val="20"/>
    <w:qFormat/>
    <w:uiPriority w:val="0"/>
    <w:rPr>
      <w:rFonts w:hint="eastAsia" w:ascii="宋体" w:hAnsi="宋体" w:eastAsia="宋体" w:cs="宋体"/>
      <w:color w:val="FF0000"/>
      <w:sz w:val="22"/>
      <w:szCs w:val="22"/>
      <w:u w:val="none"/>
    </w:rPr>
  </w:style>
  <w:style w:type="character" w:customStyle="1" w:styleId="62">
    <w:name w:val="font31"/>
    <w:basedOn w:val="20"/>
    <w:qFormat/>
    <w:uiPriority w:val="0"/>
    <w:rPr>
      <w:rFonts w:hint="default" w:ascii="Times New Roman" w:hAnsi="Times New Roman" w:cs="Times New Roman"/>
      <w:color w:val="000000"/>
      <w:sz w:val="21"/>
      <w:szCs w:val="21"/>
      <w:u w:val="none"/>
      <w:vertAlign w:val="subscript"/>
    </w:rPr>
  </w:style>
  <w:style w:type="paragraph" w:customStyle="1" w:styleId="63">
    <w:name w:val="表格标题"/>
    <w:basedOn w:val="4"/>
    <w:qFormat/>
    <w:uiPriority w:val="0"/>
    <w:pPr>
      <w:widowControl w:val="0"/>
      <w:adjustRightInd w:val="0"/>
      <w:spacing w:line="500" w:lineRule="exact"/>
      <w:ind w:firstLine="0" w:firstLineChars="0"/>
      <w:textAlignment w:val="baseline"/>
    </w:pPr>
    <w:rPr>
      <w:rFonts w:ascii="Arial" w:hAnsi="Arial" w:eastAsia="黑体" w:cs="Arial"/>
      <w:b/>
      <w:bCs w:val="0"/>
      <w:kern w:val="2"/>
      <w:szCs w:val="20"/>
    </w:rPr>
  </w:style>
  <w:style w:type="paragraph" w:customStyle="1" w:styleId="64">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65">
    <w:name w:val="xl28"/>
    <w:basedOn w:val="1"/>
    <w:qFormat/>
    <w:uiPriority w:val="0"/>
    <w:pPr>
      <w:widowControl/>
      <w:pBdr>
        <w:bottom w:val="single" w:color="auto" w:sz="4" w:space="0"/>
        <w:right w:val="single" w:color="auto" w:sz="4" w:space="0"/>
      </w:pBdr>
      <w:spacing w:before="100" w:beforeAutospacing="1" w:after="100" w:afterAutospacing="1"/>
    </w:pPr>
    <w:rPr>
      <w:rFonts w:ascii="宋体" w:hAnsi="宋体"/>
      <w:kern w:val="0"/>
      <w:sz w:val="24"/>
    </w:rPr>
  </w:style>
  <w:style w:type="character" w:customStyle="1" w:styleId="66">
    <w:name w:val="font01"/>
    <w:basedOn w:val="2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78</Pages>
  <Words>43176</Words>
  <Characters>49641</Characters>
  <Lines>393</Lines>
  <Paragraphs>110</Paragraphs>
  <TotalTime>1</TotalTime>
  <ScaleCrop>false</ScaleCrop>
  <LinksUpToDate>false</LinksUpToDate>
  <CharactersWithSpaces>50288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2021-02-20T18:07:00Z</dcterms:created>
  <dc:creator>lhj</dc:creator>
  <cp:lastModifiedBy>Yma。</cp:lastModifiedBy>
  <cp:lastPrinted>2024-09-04T04:04:00Z</cp:lastPrinted>
  <dcterms:modified xsi:type="dcterms:W3CDTF">2024-09-13T02:28:33Z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4D300E8A67AA4C85A6B7A43C55E336DB_13</vt:lpwstr>
  </property>
</Properties>
</file>