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6D72F">
      <w:pPr>
        <w:keepNext w:val="0"/>
        <w:keepLines w:val="0"/>
        <w:pageBreakBefore w:val="0"/>
        <w:widowControl w:val="0"/>
        <w:kinsoku/>
        <w:wordWrap/>
        <w:overflowPunct/>
        <w:topLinePunct w:val="0"/>
        <w:bidi w:val="0"/>
        <w:ind w:left="0" w:firstLine="0" w:firstLineChars="0"/>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68D093DB">
      <w:pPr>
        <w:pStyle w:val="2"/>
        <w:keepNext w:val="0"/>
        <w:keepLines w:val="0"/>
        <w:pageBreakBefore w:val="0"/>
        <w:widowControl w:val="0"/>
        <w:kinsoku/>
        <w:wordWrap/>
        <w:overflowPunct/>
        <w:topLinePunct w:val="0"/>
        <w:bidi w:val="0"/>
        <w:ind w:left="0" w:firstLine="0" w:firstLineChars="0"/>
        <w:rPr>
          <w:rFonts w:hint="default"/>
          <w:color w:val="000000" w:themeColor="text1"/>
          <w:highlight w:val="none"/>
          <w14:textFill>
            <w14:solidFill>
              <w14:schemeClr w14:val="tx1"/>
            </w14:solidFill>
          </w14:textFill>
        </w:rPr>
      </w:pPr>
    </w:p>
    <w:p w14:paraId="09B3EFC7">
      <w:pPr>
        <w:pStyle w:val="4"/>
        <w:keepNext w:val="0"/>
        <w:keepLines w:val="0"/>
        <w:pageBreakBefore w:val="0"/>
        <w:widowControl w:val="0"/>
        <w:kinsoku/>
        <w:wordWrap/>
        <w:overflowPunct/>
        <w:topLinePunct w:val="0"/>
        <w:bidi w:val="0"/>
        <w:ind w:left="0" w:firstLine="0" w:firstLineChars="0"/>
        <w:rPr>
          <w:rFonts w:hint="default"/>
          <w:color w:val="000000" w:themeColor="text1"/>
          <w:highlight w:val="none"/>
          <w14:textFill>
            <w14:solidFill>
              <w14:schemeClr w14:val="tx1"/>
            </w14:solidFill>
          </w14:textFill>
        </w:rPr>
      </w:pPr>
    </w:p>
    <w:p w14:paraId="4D1F3B7B">
      <w:pPr>
        <w:keepNext w:val="0"/>
        <w:keepLines w:val="0"/>
        <w:pageBreakBefore w:val="0"/>
        <w:widowControl w:val="0"/>
        <w:kinsoku/>
        <w:wordWrap/>
        <w:overflowPunct/>
        <w:topLinePunct w:val="0"/>
        <w:bidi w:val="0"/>
        <w:adjustRightInd w:val="0"/>
        <w:snapToGrid w:val="0"/>
        <w:ind w:left="0" w:firstLine="0" w:firstLineChars="0"/>
        <w:jc w:val="center"/>
        <w:outlineLvl w:val="0"/>
        <w:rPr>
          <w:rFonts w:hint="eastAsia" w:ascii="宋体" w:hAnsi="宋体" w:eastAsia="宋体" w:cs="宋体"/>
          <w:b/>
          <w:bCs w:val="0"/>
          <w:color w:val="000000" w:themeColor="text1"/>
          <w:sz w:val="72"/>
          <w:szCs w:val="72"/>
          <w:highlight w:val="none"/>
          <w14:textFill>
            <w14:solidFill>
              <w14:schemeClr w14:val="tx1"/>
            </w14:solidFill>
          </w14:textFill>
        </w:rPr>
      </w:pPr>
      <w:r>
        <w:rPr>
          <w:rFonts w:hint="eastAsia" w:ascii="宋体" w:hAnsi="宋体" w:eastAsia="宋体" w:cs="宋体"/>
          <w:b/>
          <w:bCs w:val="0"/>
          <w:color w:val="000000" w:themeColor="text1"/>
          <w:sz w:val="72"/>
          <w:szCs w:val="72"/>
          <w:highlight w:val="none"/>
          <w14:textFill>
            <w14:solidFill>
              <w14:schemeClr w14:val="tx1"/>
            </w14:solidFill>
          </w14:textFill>
        </w:rPr>
        <w:t>建设项目环境影响报告表</w:t>
      </w:r>
    </w:p>
    <w:p w14:paraId="1B4007A2">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楷体" w:hAnsi="楷体" w:eastAsia="楷体" w:cs="楷体"/>
          <w:bCs/>
          <w:color w:val="000000" w:themeColor="text1"/>
          <w:sz w:val="48"/>
          <w:szCs w:val="48"/>
          <w:highlight w:val="none"/>
          <w14:textFill>
            <w14:solidFill>
              <w14:schemeClr w14:val="tx1"/>
            </w14:solidFill>
          </w14:textFill>
        </w:rPr>
      </w:pPr>
      <w:r>
        <w:rPr>
          <w:rFonts w:hint="eastAsia" w:ascii="楷体" w:hAnsi="楷体" w:eastAsia="楷体" w:cs="楷体"/>
          <w:bCs/>
          <w:color w:val="000000" w:themeColor="text1"/>
          <w:sz w:val="48"/>
          <w:szCs w:val="48"/>
          <w:highlight w:val="none"/>
          <w14:textFill>
            <w14:solidFill>
              <w14:schemeClr w14:val="tx1"/>
            </w14:solidFill>
          </w14:textFill>
        </w:rPr>
        <w:t>（</w:t>
      </w:r>
      <w:r>
        <w:rPr>
          <w:rFonts w:hint="eastAsia" w:ascii="楷体" w:hAnsi="楷体" w:eastAsia="楷体" w:cs="楷体"/>
          <w:bCs/>
          <w:color w:val="000000" w:themeColor="text1"/>
          <w:sz w:val="48"/>
          <w:szCs w:val="48"/>
          <w:highlight w:val="none"/>
          <w:lang w:eastAsia="zh-CN"/>
          <w14:textFill>
            <w14:solidFill>
              <w14:schemeClr w14:val="tx1"/>
            </w14:solidFill>
          </w14:textFill>
        </w:rPr>
        <w:t>污染</w:t>
      </w:r>
      <w:r>
        <w:rPr>
          <w:rFonts w:hint="eastAsia" w:ascii="楷体" w:hAnsi="楷体" w:eastAsia="楷体" w:cs="楷体"/>
          <w:bCs/>
          <w:color w:val="000000" w:themeColor="text1"/>
          <w:sz w:val="48"/>
          <w:szCs w:val="48"/>
          <w:highlight w:val="none"/>
          <w14:textFill>
            <w14:solidFill>
              <w14:schemeClr w14:val="tx1"/>
            </w14:solidFill>
          </w14:textFill>
        </w:rPr>
        <w:t>影响类）</w:t>
      </w:r>
    </w:p>
    <w:p w14:paraId="2BD31BAD">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楷体" w:hAnsi="楷体" w:eastAsia="楷体" w:cs="楷体"/>
          <w:bCs/>
          <w:color w:val="000000" w:themeColor="text1"/>
          <w:sz w:val="48"/>
          <w:szCs w:val="48"/>
          <w:highlight w:val="none"/>
          <w:lang w:eastAsia="zh-CN"/>
          <w14:textFill>
            <w14:solidFill>
              <w14:schemeClr w14:val="tx1"/>
            </w14:solidFill>
          </w14:textFill>
        </w:rPr>
      </w:pPr>
      <w:r>
        <w:rPr>
          <w:rFonts w:hint="eastAsia" w:ascii="楷体" w:hAnsi="楷体" w:eastAsia="楷体" w:cs="楷体"/>
          <w:bCs/>
          <w:color w:val="000000" w:themeColor="text1"/>
          <w:sz w:val="48"/>
          <w:szCs w:val="48"/>
          <w:highlight w:val="none"/>
          <w:lang w:eastAsia="zh-CN"/>
          <w14:textFill>
            <w14:solidFill>
              <w14:schemeClr w14:val="tx1"/>
            </w14:solidFill>
          </w14:textFill>
        </w:rPr>
        <w:t>（公示版）</w:t>
      </w:r>
    </w:p>
    <w:p w14:paraId="0F9B0584">
      <w:pPr>
        <w:pStyle w:val="2"/>
        <w:keepNext w:val="0"/>
        <w:keepLines w:val="0"/>
        <w:pageBreakBefore w:val="0"/>
        <w:widowControl w:val="0"/>
        <w:kinsoku/>
        <w:wordWrap/>
        <w:overflowPunct/>
        <w:topLinePunct w:val="0"/>
        <w:bidi w:val="0"/>
        <w:ind w:left="0" w:firstLine="0" w:firstLineChars="0"/>
        <w:rPr>
          <w:rFonts w:hint="default"/>
          <w:color w:val="000000" w:themeColor="text1"/>
          <w:highlight w:val="none"/>
          <w14:textFill>
            <w14:solidFill>
              <w14:schemeClr w14:val="tx1"/>
            </w14:solidFill>
          </w14:textFill>
        </w:rPr>
      </w:pPr>
    </w:p>
    <w:p w14:paraId="68BFFDAE">
      <w:pPr>
        <w:pStyle w:val="2"/>
        <w:keepNext w:val="0"/>
        <w:keepLines w:val="0"/>
        <w:pageBreakBefore w:val="0"/>
        <w:widowControl w:val="0"/>
        <w:kinsoku/>
        <w:wordWrap/>
        <w:overflowPunct/>
        <w:topLinePunct w:val="0"/>
        <w:bidi w:val="0"/>
        <w:ind w:left="0" w:firstLine="0" w:firstLineChars="0"/>
        <w:rPr>
          <w:rFonts w:hint="default"/>
          <w:color w:val="000000" w:themeColor="text1"/>
          <w:highlight w:val="none"/>
          <w14:textFill>
            <w14:solidFill>
              <w14:schemeClr w14:val="tx1"/>
            </w14:solidFill>
          </w14:textFill>
        </w:rPr>
      </w:pPr>
    </w:p>
    <w:p w14:paraId="05985696">
      <w:pPr>
        <w:keepNext w:val="0"/>
        <w:keepLines w:val="0"/>
        <w:pageBreakBefore w:val="0"/>
        <w:widowControl w:val="0"/>
        <w:kinsoku/>
        <w:wordWrap/>
        <w:overflowPunct/>
        <w:topLinePunct w:val="0"/>
        <w:bidi w:val="0"/>
        <w:ind w:left="0" w:firstLine="0" w:firstLineChars="0"/>
        <w:jc w:val="center"/>
        <w:rPr>
          <w:rFonts w:hint="default" w:ascii="Times New Roman" w:hAnsi="Times New Roman" w:eastAsia="宋体" w:cs="Times New Roman"/>
          <w:color w:val="000000" w:themeColor="text1"/>
          <w:sz w:val="52"/>
          <w:szCs w:val="52"/>
          <w:highlight w:val="none"/>
          <w14:textFill>
            <w14:solidFill>
              <w14:schemeClr w14:val="tx1"/>
            </w14:solidFill>
          </w14:textFill>
        </w:rPr>
      </w:pPr>
    </w:p>
    <w:p w14:paraId="31C49FAF">
      <w:pPr>
        <w:keepNext w:val="0"/>
        <w:keepLines w:val="0"/>
        <w:pageBreakBefore w:val="0"/>
        <w:widowControl w:val="0"/>
        <w:kinsoku/>
        <w:wordWrap/>
        <w:overflowPunct/>
        <w:topLinePunct w:val="0"/>
        <w:bidi w:val="0"/>
        <w:ind w:left="0" w:firstLine="0" w:firstLineChars="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59D2C95B">
      <w:pPr>
        <w:keepNext w:val="0"/>
        <w:keepLines w:val="0"/>
        <w:pageBreakBefore w:val="0"/>
        <w:widowControl w:val="0"/>
        <w:kinsoku/>
        <w:wordWrap/>
        <w:overflowPunct/>
        <w:topLinePunct w:val="0"/>
        <w:autoSpaceDE/>
        <w:autoSpaceDN/>
        <w:bidi w:val="0"/>
        <w:adjustRightInd w:val="0"/>
        <w:snapToGrid w:val="0"/>
        <w:spacing w:line="312" w:lineRule="auto"/>
        <w:ind w:left="0" w:firstLine="0" w:firstLineChars="0"/>
        <w:jc w:val="both"/>
        <w:textAlignment w:val="auto"/>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077838FB">
      <w:pPr>
        <w:keepNext w:val="0"/>
        <w:keepLines w:val="0"/>
        <w:pageBreakBefore w:val="0"/>
        <w:widowControl w:val="0"/>
        <w:kinsoku/>
        <w:wordWrap/>
        <w:overflowPunct/>
        <w:topLinePunct w:val="0"/>
        <w:autoSpaceDE/>
        <w:autoSpaceDN/>
        <w:bidi w:val="0"/>
        <w:adjustRightInd w:val="0"/>
        <w:snapToGrid w:val="0"/>
        <w:spacing w:line="312" w:lineRule="auto"/>
        <w:ind w:left="0" w:firstLine="0" w:firstLineChars="0"/>
        <w:jc w:val="both"/>
        <w:textAlignment w:val="auto"/>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pPr>
      <w:r>
        <w:rPr>
          <w:rFonts w:hint="default" w:ascii="Times New Roman" w:hAnsi="Times New Roman" w:eastAsia="华文仿宋" w:cs="Times New Roman"/>
          <w:color w:val="000000" w:themeColor="text1"/>
          <w:spacing w:val="0"/>
          <w:kern w:val="0"/>
          <w:sz w:val="36"/>
          <w:szCs w:val="36"/>
          <w:highlight w:val="none"/>
          <w14:textFill>
            <w14:solidFill>
              <w14:schemeClr w14:val="tx1"/>
            </w14:solidFill>
          </w14:textFill>
        </w:rPr>
        <w:t>项目名称：</w:t>
      </w:r>
      <w:r>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eastAsia"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顶好食品基地建设</w:t>
      </w:r>
      <w:r>
        <w:rPr>
          <w:rFonts w:hint="eastAsia"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eastAsia"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p>
    <w:p w14:paraId="307A3869">
      <w:pPr>
        <w:keepNext w:val="0"/>
        <w:keepLines w:val="0"/>
        <w:pageBreakBefore w:val="0"/>
        <w:widowControl w:val="0"/>
        <w:kinsoku/>
        <w:wordWrap/>
        <w:overflowPunct/>
        <w:topLinePunct w:val="0"/>
        <w:autoSpaceDE/>
        <w:autoSpaceDN/>
        <w:bidi w:val="0"/>
        <w:adjustRightInd w:val="0"/>
        <w:snapToGrid w:val="0"/>
        <w:spacing w:line="312" w:lineRule="auto"/>
        <w:ind w:left="0" w:firstLine="0" w:firstLineChars="0"/>
        <w:jc w:val="both"/>
        <w:textAlignment w:val="auto"/>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pPr>
      <w:r>
        <w:rPr>
          <w:rFonts w:hint="default" w:ascii="Times New Roman" w:hAnsi="Times New Roman" w:eastAsia="华文仿宋" w:cs="Times New Roman"/>
          <w:color w:val="000000" w:themeColor="text1"/>
          <w:spacing w:val="0"/>
          <w:kern w:val="0"/>
          <w:sz w:val="36"/>
          <w:szCs w:val="36"/>
          <w:highlight w:val="none"/>
          <w14:textFill>
            <w14:solidFill>
              <w14:schemeClr w14:val="tx1"/>
            </w14:solidFill>
          </w14:textFill>
        </w:rPr>
        <w:t>建设单位</w:t>
      </w:r>
      <w:r>
        <w:rPr>
          <w:rFonts w:hint="eastAsia" w:ascii="宋体" w:hAnsi="宋体" w:eastAsia="宋体" w:cs="宋体"/>
          <w:color w:val="000000" w:themeColor="text1"/>
          <w:spacing w:val="0"/>
          <w:kern w:val="0"/>
          <w:sz w:val="36"/>
          <w:szCs w:val="36"/>
          <w:highlight w:val="none"/>
          <w:lang w:eastAsia="zh-CN"/>
          <w14:textFill>
            <w14:solidFill>
              <w14:schemeClr w14:val="tx1"/>
            </w14:solidFill>
          </w14:textFill>
        </w:rPr>
        <w:t>（</w:t>
      </w:r>
      <w:r>
        <w:rPr>
          <w:rFonts w:hint="default" w:ascii="Times New Roman" w:hAnsi="Times New Roman" w:eastAsia="华文仿宋" w:cs="Times New Roman"/>
          <w:color w:val="000000" w:themeColor="text1"/>
          <w:spacing w:val="0"/>
          <w:kern w:val="0"/>
          <w:sz w:val="36"/>
          <w:szCs w:val="36"/>
          <w:highlight w:val="none"/>
          <w:lang w:eastAsia="zh-CN"/>
          <w14:textFill>
            <w14:solidFill>
              <w14:schemeClr w14:val="tx1"/>
            </w14:solidFill>
          </w14:textFill>
        </w:rPr>
        <w:t>盖章</w:t>
      </w:r>
      <w:r>
        <w:rPr>
          <w:rFonts w:hint="eastAsia" w:ascii="宋体" w:hAnsi="宋体" w:eastAsia="宋体" w:cs="宋体"/>
          <w:color w:val="000000" w:themeColor="text1"/>
          <w:spacing w:val="0"/>
          <w:kern w:val="0"/>
          <w:sz w:val="36"/>
          <w:szCs w:val="36"/>
          <w:highlight w:val="none"/>
          <w:lang w:eastAsia="zh-CN"/>
          <w14:textFill>
            <w14:solidFill>
              <w14:schemeClr w14:val="tx1"/>
            </w14:solidFill>
          </w14:textFill>
        </w:rPr>
        <w:t>）</w:t>
      </w:r>
      <w:r>
        <w:rPr>
          <w:rFonts w:hint="default" w:ascii="Times New Roman" w:hAnsi="Times New Roman" w:eastAsia="华文仿宋" w:cs="Times New Roman"/>
          <w:color w:val="000000" w:themeColor="text1"/>
          <w:spacing w:val="0"/>
          <w:kern w:val="0"/>
          <w:sz w:val="36"/>
          <w:szCs w:val="36"/>
          <w:highlight w:val="none"/>
          <w14:textFill>
            <w14:solidFill>
              <w14:schemeClr w14:val="tx1"/>
            </w14:solidFill>
          </w14:textFill>
        </w:rPr>
        <w:t>：</w:t>
      </w:r>
      <w:r>
        <w:rPr>
          <w:rFonts w:hint="eastAsia" w:eastAsia="华文仿宋" w:cs="Times New Roman"/>
          <w:snapToGrid w:val="0"/>
          <w:color w:val="000000" w:themeColor="text1"/>
          <w:spacing w:val="0"/>
          <w:kern w:val="0"/>
          <w:sz w:val="36"/>
          <w:szCs w:val="36"/>
          <w:highlight w:val="none"/>
          <w:u w:val="single"/>
          <w:lang w:val="en-US" w:eastAsia="zh-CN"/>
          <w14:textFill>
            <w14:solidFill>
              <w14:schemeClr w14:val="tx1"/>
            </w14:solidFill>
          </w14:textFill>
        </w:rPr>
        <w:t xml:space="preserve">    </w:t>
      </w:r>
      <w:r>
        <w:rPr>
          <w:rFonts w:hint="default" w:ascii="Times New Roman" w:hAnsi="Times New Roman" w:eastAsia="华文仿宋" w:cs="Times New Roman"/>
          <w:snapToGrid w:val="0"/>
          <w:color w:val="000000" w:themeColor="text1"/>
          <w:spacing w:val="0"/>
          <w:kern w:val="0"/>
          <w:sz w:val="36"/>
          <w:szCs w:val="36"/>
          <w:highlight w:val="none"/>
          <w:u w:val="single"/>
          <w:lang w:val="en-US" w:eastAsia="zh-CN"/>
          <w14:textFill>
            <w14:solidFill>
              <w14:schemeClr w14:val="tx1"/>
            </w14:solidFill>
          </w14:textFill>
        </w:rPr>
        <w:t>重庆</w:t>
      </w:r>
      <w:r>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顶好食品</w:t>
      </w:r>
      <w:r>
        <w:rPr>
          <w:rFonts w:hint="default" w:ascii="Times New Roman" w:hAnsi="Times New Roman" w:eastAsia="华文仿宋" w:cs="Times New Roman"/>
          <w:snapToGrid w:val="0"/>
          <w:color w:val="000000" w:themeColor="text1"/>
          <w:spacing w:val="0"/>
          <w:kern w:val="0"/>
          <w:sz w:val="36"/>
          <w:szCs w:val="36"/>
          <w:highlight w:val="none"/>
          <w:u w:val="single"/>
          <w:lang w:val="en-US" w:eastAsia="zh-CN"/>
          <w14:textFill>
            <w14:solidFill>
              <w14:schemeClr w14:val="tx1"/>
            </w14:solidFill>
          </w14:textFill>
        </w:rPr>
        <w:t>有限公司</w:t>
      </w:r>
      <w:r>
        <w:rPr>
          <w:rFonts w:hint="eastAsia" w:eastAsia="华文仿宋" w:cs="Times New Roman"/>
          <w:snapToGrid w:val="0"/>
          <w:color w:val="000000" w:themeColor="text1"/>
          <w:spacing w:val="0"/>
          <w:kern w:val="0"/>
          <w:sz w:val="36"/>
          <w:szCs w:val="36"/>
          <w:highlight w:val="none"/>
          <w:u w:val="single"/>
          <w:lang w:val="en-US" w:eastAsia="zh-CN"/>
          <w14:textFill>
            <w14:solidFill>
              <w14:schemeClr w14:val="tx1"/>
            </w14:solidFill>
          </w14:textFill>
        </w:rPr>
        <w:t xml:space="preserve">    </w:t>
      </w:r>
    </w:p>
    <w:p w14:paraId="73AE5F8D">
      <w:pPr>
        <w:keepNext w:val="0"/>
        <w:keepLines w:val="0"/>
        <w:pageBreakBefore w:val="0"/>
        <w:widowControl w:val="0"/>
        <w:kinsoku/>
        <w:wordWrap/>
        <w:overflowPunct/>
        <w:topLinePunct w:val="0"/>
        <w:autoSpaceDE/>
        <w:autoSpaceDN/>
        <w:bidi w:val="0"/>
        <w:adjustRightInd w:val="0"/>
        <w:snapToGrid w:val="0"/>
        <w:spacing w:line="312" w:lineRule="auto"/>
        <w:ind w:left="0" w:firstLine="0" w:firstLineChars="0"/>
        <w:textAlignment w:val="auto"/>
        <w:rPr>
          <w:rFonts w:hint="default" w:ascii="Times New Roman" w:hAnsi="Times New Roman" w:eastAsia="宋体" w:cs="Times New Roman"/>
          <w:color w:val="000000" w:themeColor="text1"/>
          <w:spacing w:val="0"/>
          <w:kern w:val="0"/>
          <w:sz w:val="36"/>
          <w:szCs w:val="36"/>
          <w:highlight w:val="none"/>
          <w:u w:val="single"/>
          <w:lang w:val="en-US" w:eastAsia="zh-CN"/>
          <w14:textFill>
            <w14:solidFill>
              <w14:schemeClr w14:val="tx1"/>
            </w14:solidFill>
          </w14:textFill>
        </w:rPr>
      </w:pPr>
      <w:r>
        <w:rPr>
          <w:rFonts w:hint="default" w:ascii="Times New Roman" w:hAnsi="Times New Roman" w:eastAsia="华文仿宋" w:cs="Times New Roman"/>
          <w:color w:val="000000" w:themeColor="text1"/>
          <w:spacing w:val="0"/>
          <w:kern w:val="0"/>
          <w:sz w:val="36"/>
          <w:szCs w:val="36"/>
          <w:highlight w:val="none"/>
          <w14:textFill>
            <w14:solidFill>
              <w14:schemeClr w14:val="tx1"/>
            </w14:solidFill>
          </w14:textFill>
        </w:rPr>
        <w:t>编制日期：</w:t>
      </w:r>
      <w:r>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eastAsia"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eastAsia"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2024</w:t>
      </w:r>
      <w:r>
        <w:rPr>
          <w:rFonts w:hint="default" w:ascii="Times New Roman" w:hAnsi="Times New Roman" w:eastAsia="华文仿宋" w:cs="Times New Roman"/>
          <w:color w:val="000000" w:themeColor="text1"/>
          <w:spacing w:val="0"/>
          <w:kern w:val="0"/>
          <w:sz w:val="36"/>
          <w:szCs w:val="36"/>
          <w:highlight w:val="none"/>
          <w:u w:val="single"/>
          <w:lang w:eastAsia="zh-CN"/>
          <w14:textFill>
            <w14:solidFill>
              <w14:schemeClr w14:val="tx1"/>
            </w14:solidFill>
          </w14:textFill>
        </w:rPr>
        <w:t>年</w:t>
      </w:r>
      <w:r>
        <w:rPr>
          <w:rFonts w:hint="eastAsia" w:eastAsia="华文仿宋" w:cs="Times New Roman"/>
          <w:color w:val="000000" w:themeColor="text1"/>
          <w:spacing w:val="0"/>
          <w:kern w:val="0"/>
          <w:sz w:val="36"/>
          <w:szCs w:val="36"/>
          <w:highlight w:val="none"/>
          <w:u w:val="single"/>
          <w:lang w:val="en-US" w:eastAsia="zh-CN"/>
          <w14:textFill>
            <w14:solidFill>
              <w14:schemeClr w14:val="tx1"/>
            </w14:solidFill>
          </w14:textFill>
        </w:rPr>
        <w:t>8</w:t>
      </w:r>
      <w:r>
        <w:rPr>
          <w:rFonts w:hint="default" w:ascii="Times New Roman" w:hAnsi="Times New Roman" w:eastAsia="华文仿宋" w:cs="Times New Roman"/>
          <w:color w:val="000000" w:themeColor="text1"/>
          <w:spacing w:val="0"/>
          <w:kern w:val="0"/>
          <w:sz w:val="36"/>
          <w:szCs w:val="36"/>
          <w:highlight w:val="none"/>
          <w:u w:val="single"/>
          <w:lang w:eastAsia="zh-CN"/>
          <w14:textFill>
            <w14:solidFill>
              <w14:schemeClr w14:val="tx1"/>
            </w14:solidFill>
          </w14:textFill>
        </w:rPr>
        <w:t>月</w:t>
      </w:r>
      <w:r>
        <w:rPr>
          <w:rFonts w:hint="eastAsia"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default" w:ascii="Times New Roman" w:hAnsi="Times New Roman" w:eastAsia="华文仿宋" w:cs="Times New Roman"/>
          <w:color w:val="000000" w:themeColor="text1"/>
          <w:spacing w:val="0"/>
          <w:kern w:val="0"/>
          <w:sz w:val="36"/>
          <w:szCs w:val="36"/>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36"/>
          <w:szCs w:val="36"/>
          <w:highlight w:val="none"/>
          <w:u w:val="single"/>
          <w:lang w:val="en-US" w:eastAsia="zh-CN"/>
          <w14:textFill>
            <w14:solidFill>
              <w14:schemeClr w14:val="tx1"/>
            </w14:solidFill>
          </w14:textFill>
        </w:rPr>
        <w:t xml:space="preserve"> </w:t>
      </w:r>
    </w:p>
    <w:p w14:paraId="482D45D2">
      <w:pPr>
        <w:keepNext w:val="0"/>
        <w:keepLines w:val="0"/>
        <w:pageBreakBefore w:val="0"/>
        <w:widowControl w:val="0"/>
        <w:kinsoku/>
        <w:wordWrap/>
        <w:overflowPunct/>
        <w:topLinePunct w:val="0"/>
        <w:bidi w:val="0"/>
        <w:adjustRightInd w:val="0"/>
        <w:snapToGrid w:val="0"/>
        <w:spacing w:line="288" w:lineRule="auto"/>
        <w:ind w:left="0" w:firstLine="0" w:firstLineChars="0"/>
        <w:rPr>
          <w:rFonts w:hint="default" w:ascii="Times New Roman" w:hAnsi="Times New Roman" w:eastAsia="宋体" w:cs="Times New Roman"/>
          <w:color w:val="000000" w:themeColor="text1"/>
          <w:sz w:val="36"/>
          <w:szCs w:val="36"/>
          <w:highlight w:val="none"/>
          <w14:textFill>
            <w14:solidFill>
              <w14:schemeClr w14:val="tx1"/>
            </w14:solidFill>
          </w14:textFill>
        </w:rPr>
      </w:pPr>
      <w:bookmarkStart w:id="0" w:name="_Hlk57884087"/>
    </w:p>
    <w:p w14:paraId="5C14D48C">
      <w:pPr>
        <w:keepNext w:val="0"/>
        <w:keepLines w:val="0"/>
        <w:pageBreakBefore w:val="0"/>
        <w:widowControl w:val="0"/>
        <w:kinsoku/>
        <w:wordWrap/>
        <w:overflowPunct/>
        <w:topLinePunct w:val="0"/>
        <w:bidi w:val="0"/>
        <w:adjustRightInd w:val="0"/>
        <w:snapToGrid w:val="0"/>
        <w:spacing w:line="288" w:lineRule="auto"/>
        <w:ind w:left="0" w:firstLine="0" w:firstLineChars="0"/>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52886B4C">
      <w:pPr>
        <w:keepNext w:val="0"/>
        <w:keepLines w:val="0"/>
        <w:pageBreakBefore w:val="0"/>
        <w:widowControl w:val="0"/>
        <w:kinsoku/>
        <w:wordWrap/>
        <w:overflowPunct/>
        <w:topLinePunct w:val="0"/>
        <w:bidi w:val="0"/>
        <w:adjustRightInd w:val="0"/>
        <w:snapToGrid w:val="0"/>
        <w:spacing w:line="288" w:lineRule="auto"/>
        <w:ind w:left="0" w:firstLine="0" w:firstLineChars="0"/>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2B4B05C3">
      <w:pPr>
        <w:keepNext w:val="0"/>
        <w:keepLines w:val="0"/>
        <w:pageBreakBefore w:val="0"/>
        <w:widowControl w:val="0"/>
        <w:kinsoku/>
        <w:wordWrap/>
        <w:overflowPunct/>
        <w:topLinePunct w:val="0"/>
        <w:bidi w:val="0"/>
        <w:adjustRightInd w:val="0"/>
        <w:snapToGrid w:val="0"/>
        <w:spacing w:line="288" w:lineRule="auto"/>
        <w:ind w:left="0" w:firstLine="0" w:firstLineChars="0"/>
        <w:rPr>
          <w:rFonts w:hint="default" w:ascii="Times New Roman" w:hAnsi="Times New Roman" w:eastAsia="宋体" w:cs="Times New Roman"/>
          <w:color w:val="000000" w:themeColor="text1"/>
          <w:sz w:val="36"/>
          <w:szCs w:val="36"/>
          <w:highlight w:val="none"/>
          <w14:textFill>
            <w14:solidFill>
              <w14:schemeClr w14:val="tx1"/>
            </w14:solidFill>
          </w14:textFill>
        </w:rPr>
      </w:pPr>
    </w:p>
    <w:bookmarkEnd w:id="0"/>
    <w:p w14:paraId="08AB458C">
      <w:pPr>
        <w:keepNext w:val="0"/>
        <w:keepLines w:val="0"/>
        <w:pageBreakBefore w:val="0"/>
        <w:widowControl w:val="0"/>
        <w:kinsoku/>
        <w:wordWrap/>
        <w:overflowPunct/>
        <w:topLinePunct w:val="0"/>
        <w:bidi w:val="0"/>
        <w:adjustRightInd w:val="0"/>
        <w:snapToGrid w:val="0"/>
        <w:spacing w:line="288" w:lineRule="auto"/>
        <w:ind w:left="0" w:firstLine="0" w:firstLineChars="0"/>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3A520744">
      <w:pPr>
        <w:keepNext w:val="0"/>
        <w:keepLines w:val="0"/>
        <w:pageBreakBefore w:val="0"/>
        <w:widowControl w:val="0"/>
        <w:kinsoku/>
        <w:wordWrap/>
        <w:overflowPunct/>
        <w:topLinePunct w:val="0"/>
        <w:bidi w:val="0"/>
        <w:adjustRightInd w:val="0"/>
        <w:snapToGrid w:val="0"/>
        <w:spacing w:line="288" w:lineRule="auto"/>
        <w:ind w:left="0" w:firstLine="0" w:firstLineChars="0"/>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265101B6">
      <w:pPr>
        <w:keepNext w:val="0"/>
        <w:keepLines w:val="0"/>
        <w:pageBreakBefore w:val="0"/>
        <w:widowControl w:val="0"/>
        <w:kinsoku/>
        <w:wordWrap/>
        <w:overflowPunct/>
        <w:topLinePunct w:val="0"/>
        <w:bidi w:val="0"/>
        <w:adjustRightInd w:val="0"/>
        <w:snapToGrid w:val="0"/>
        <w:spacing w:line="288" w:lineRule="auto"/>
        <w:ind w:left="0" w:firstLine="0" w:firstLineChars="0"/>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01739389">
      <w:pPr>
        <w:keepNext w:val="0"/>
        <w:keepLines w:val="0"/>
        <w:pageBreakBefore w:val="0"/>
        <w:widowControl w:val="0"/>
        <w:kinsoku/>
        <w:wordWrap/>
        <w:overflowPunct/>
        <w:topLinePunct w:val="0"/>
        <w:bidi w:val="0"/>
        <w:adjustRightInd w:val="0"/>
        <w:snapToGrid w:val="0"/>
        <w:spacing w:line="288" w:lineRule="auto"/>
        <w:ind w:left="0" w:firstLine="0" w:firstLineChars="0"/>
        <w:jc w:val="center"/>
        <w:rPr>
          <w:rFonts w:hint="eastAsia" w:ascii="楷体" w:hAnsi="楷体" w:eastAsia="楷体" w:cs="楷体"/>
          <w:color w:val="000000" w:themeColor="text1"/>
          <w:highlight w:val="none"/>
          <w14:textFill>
            <w14:solidFill>
              <w14:schemeClr w14:val="tx1"/>
            </w14:solidFill>
          </w14:textFill>
        </w:rPr>
      </w:pPr>
      <w:r>
        <w:rPr>
          <w:rFonts w:hint="eastAsia" w:ascii="楷体" w:hAnsi="楷体" w:eastAsia="楷体" w:cs="楷体"/>
          <w:color w:val="000000" w:themeColor="text1"/>
          <w:sz w:val="36"/>
          <w:szCs w:val="36"/>
          <w:highlight w:val="none"/>
          <w14:textFill>
            <w14:solidFill>
              <w14:schemeClr w14:val="tx1"/>
            </w14:solidFill>
          </w14:textFill>
        </w:rPr>
        <w:t>中华人民共和国生态环境部制</w:t>
      </w:r>
    </w:p>
    <w:p w14:paraId="4168597A">
      <w:pPr>
        <w:pStyle w:val="2"/>
        <w:ind w:left="0" w:leftChars="0"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6186805" cy="8006715"/>
            <wp:effectExtent l="0" t="0" r="4445" b="13335"/>
            <wp:docPr id="2" name="图片 2" descr="3-1同意公示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同意公示说明"/>
                    <pic:cNvPicPr>
                      <a:picLocks noChangeAspect="1"/>
                    </pic:cNvPicPr>
                  </pic:nvPicPr>
                  <pic:blipFill>
                    <a:blip r:embed="rId9"/>
                    <a:stretch>
                      <a:fillRect/>
                    </a:stretch>
                  </pic:blipFill>
                  <pic:spPr>
                    <a:xfrm>
                      <a:off x="0" y="0"/>
                      <a:ext cx="6186805" cy="8006715"/>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6185535" cy="8002905"/>
            <wp:effectExtent l="0" t="0" r="5715" b="17145"/>
            <wp:docPr id="5" name="图片 5" descr="3 编制单位和编制人员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编制单位和编制人员情况表"/>
                    <pic:cNvPicPr>
                      <a:picLocks noChangeAspect="1"/>
                    </pic:cNvPicPr>
                  </pic:nvPicPr>
                  <pic:blipFill>
                    <a:blip r:embed="rId10"/>
                    <a:stretch>
                      <a:fillRect/>
                    </a:stretch>
                  </pic:blipFill>
                  <pic:spPr>
                    <a:xfrm>
                      <a:off x="0" y="0"/>
                      <a:ext cx="6185535" cy="8002905"/>
                    </a:xfrm>
                    <a:prstGeom prst="rect">
                      <a:avLst/>
                    </a:prstGeom>
                  </pic:spPr>
                </pic:pic>
              </a:graphicData>
            </a:graphic>
          </wp:inline>
        </w:drawing>
      </w:r>
    </w:p>
    <w:p w14:paraId="0513E547">
      <w:pPr>
        <w:keepNext w:val="0"/>
        <w:keepLines w:val="0"/>
        <w:pageBreakBefore w:val="0"/>
        <w:widowControl w:val="0"/>
        <w:kinsoku/>
        <w:wordWrap/>
        <w:overflowPunct/>
        <w:topLinePunct w:val="0"/>
        <w:bidi w:val="0"/>
        <w:ind w:firstLine="0" w:firstLineChars="0"/>
        <w:rPr>
          <w:color w:val="000000" w:themeColor="text1"/>
          <w:highlight w:val="none"/>
          <w14:textFill>
            <w14:solidFill>
              <w14:schemeClr w14:val="tx1"/>
            </w14:solidFill>
          </w14:textFill>
        </w:rPr>
      </w:pPr>
    </w:p>
    <w:p w14:paraId="54DFCBFC">
      <w:pPr>
        <w:adjustRightInd w:val="0"/>
        <w:snapToGrid w:val="0"/>
        <w:spacing w:line="288" w:lineRule="auto"/>
        <w:ind w:firstLine="600"/>
        <w:jc w:val="left"/>
        <w:outlineLvl w:val="0"/>
        <w:rPr>
          <w:b/>
          <w:bCs/>
          <w:snapToGrid w:val="0"/>
          <w:color w:val="000000" w:themeColor="text1"/>
          <w:sz w:val="30"/>
          <w:szCs w:val="30"/>
          <w:highlight w:val="none"/>
          <w14:textFill>
            <w14:solidFill>
              <w14:schemeClr w14:val="tx1"/>
            </w14:solidFill>
          </w14:textFill>
        </w:rPr>
        <w:sectPr>
          <w:pgSz w:w="11906" w:h="16838"/>
          <w:pgMar w:top="1440" w:right="1080" w:bottom="1440" w:left="1080" w:header="851" w:footer="851" w:gutter="0"/>
          <w:pgBorders>
            <w:top w:val="none" w:sz="0" w:space="0"/>
            <w:left w:val="none" w:sz="0" w:space="0"/>
            <w:bottom w:val="none" w:sz="0" w:space="0"/>
            <w:right w:val="none" w:sz="0" w:space="0"/>
          </w:pgBorders>
          <w:pgNumType w:start="1"/>
          <w:cols w:space="720" w:num="1"/>
          <w:docGrid w:linePitch="312" w:charSpace="0"/>
        </w:sectPr>
      </w:pPr>
    </w:p>
    <w:p w14:paraId="256C118E">
      <w:pPr>
        <w:adjustRightInd w:val="0"/>
        <w:snapToGrid w:val="0"/>
        <w:spacing w:line="288" w:lineRule="auto"/>
        <w:ind w:firstLine="600"/>
        <w:jc w:val="center"/>
        <w:outlineLvl w:val="0"/>
        <w:rPr>
          <w:b/>
          <w:bCs/>
          <w:snapToGrid w:val="0"/>
          <w:color w:val="000000" w:themeColor="text1"/>
          <w:sz w:val="30"/>
          <w:szCs w:val="30"/>
          <w:highlight w:val="none"/>
          <w14:textFill>
            <w14:solidFill>
              <w14:schemeClr w14:val="tx1"/>
            </w14:solidFill>
          </w14:textFill>
        </w:rPr>
      </w:pPr>
      <w:r>
        <w:rPr>
          <w:b/>
          <w:bCs/>
          <w:snapToGrid w:val="0"/>
          <w:color w:val="000000" w:themeColor="text1"/>
          <w:sz w:val="30"/>
          <w:szCs w:val="30"/>
          <w:highlight w:val="none"/>
          <w14:textFill>
            <w14:solidFill>
              <w14:schemeClr w14:val="tx1"/>
            </w14:solidFill>
          </w14:textFill>
        </w:rPr>
        <w:t>一、建设项目基本情况</w:t>
      </w:r>
    </w:p>
    <w:tbl>
      <w:tblPr>
        <w:tblStyle w:val="28"/>
        <w:tblW w:w="493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90"/>
        <w:gridCol w:w="117"/>
        <w:gridCol w:w="964"/>
        <w:gridCol w:w="1787"/>
        <w:gridCol w:w="2065"/>
        <w:gridCol w:w="3912"/>
      </w:tblGrid>
      <w:tr w14:paraId="30F6F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249A2CF7">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建设项目名称</w:t>
            </w:r>
          </w:p>
        </w:tc>
        <w:tc>
          <w:tcPr>
            <w:tcW w:w="7769" w:type="dxa"/>
            <w:gridSpan w:val="3"/>
            <w:vAlign w:val="center"/>
          </w:tcPr>
          <w:p w14:paraId="7ABB84D2">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顶好食品基地建设</w:t>
            </w:r>
          </w:p>
        </w:tc>
      </w:tr>
      <w:tr w14:paraId="4B570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10981EE5">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项目代码</w:t>
            </w:r>
          </w:p>
        </w:tc>
        <w:tc>
          <w:tcPr>
            <w:tcW w:w="7769" w:type="dxa"/>
            <w:gridSpan w:val="3"/>
            <w:vAlign w:val="center"/>
          </w:tcPr>
          <w:p w14:paraId="3B25F2C1">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2301-500117-04-05-580380</w:t>
            </w:r>
          </w:p>
        </w:tc>
      </w:tr>
      <w:tr w14:paraId="585D8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7A672B72">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建设单位联系人</w:t>
            </w:r>
          </w:p>
        </w:tc>
        <w:tc>
          <w:tcPr>
            <w:tcW w:w="1788" w:type="dxa"/>
            <w:vAlign w:val="center"/>
          </w:tcPr>
          <w:p w14:paraId="367D10C0">
            <w:pPr>
              <w:adjustRightInd w:val="0"/>
              <w:snapToGrid w:val="0"/>
              <w:spacing w:line="240" w:lineRule="auto"/>
              <w:ind w:firstLine="0" w:firstLineChars="0"/>
              <w:jc w:val="center"/>
              <w:rPr>
                <w:rFonts w:hint="eastAsia" w:eastAsia="宋体"/>
                <w:color w:val="000000" w:themeColor="text1"/>
                <w:szCs w:val="21"/>
                <w:highlight w:val="none"/>
                <w:lang w:eastAsia="zh-CN"/>
                <w14:textFill>
                  <w14:solidFill>
                    <w14:schemeClr w14:val="tx1"/>
                  </w14:solidFill>
                </w14:textFill>
              </w:rPr>
            </w:pPr>
          </w:p>
        </w:tc>
        <w:tc>
          <w:tcPr>
            <w:tcW w:w="2066" w:type="dxa"/>
            <w:vAlign w:val="center"/>
          </w:tcPr>
          <w:p w14:paraId="4E8425D3">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联系方式</w:t>
            </w:r>
          </w:p>
        </w:tc>
        <w:tc>
          <w:tcPr>
            <w:tcW w:w="3915" w:type="dxa"/>
            <w:vAlign w:val="center"/>
          </w:tcPr>
          <w:p w14:paraId="46B8455E">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p>
        </w:tc>
      </w:tr>
      <w:tr w14:paraId="059E7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2967E3E0">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建设地点</w:t>
            </w:r>
          </w:p>
        </w:tc>
        <w:tc>
          <w:tcPr>
            <w:tcW w:w="7769" w:type="dxa"/>
            <w:gridSpan w:val="3"/>
            <w:vAlign w:val="center"/>
          </w:tcPr>
          <w:p w14:paraId="7D2171A4">
            <w:pPr>
              <w:adjustRightInd w:val="0"/>
              <w:snapToGrid w:val="0"/>
              <w:spacing w:line="240" w:lineRule="auto"/>
              <w:ind w:firstLine="0" w:firstLineChars="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重庆市合川区巴州路</w:t>
            </w:r>
            <w:r>
              <w:rPr>
                <w:rFonts w:hint="eastAsia"/>
                <w:color w:val="000000" w:themeColor="text1"/>
                <w:highlight w:val="none"/>
                <w:lang w:eastAsia="zh-CN"/>
                <w14:textFill>
                  <w14:solidFill>
                    <w14:schemeClr w14:val="tx1"/>
                  </w14:solidFill>
                </w14:textFill>
              </w:rPr>
              <w:t>（合川区工业园区核心区</w:t>
            </w:r>
            <w:r>
              <w:rPr>
                <w:rFonts w:hint="eastAsia"/>
                <w:color w:val="000000" w:themeColor="text1"/>
                <w:highlight w:val="none"/>
                <w:lang w:val="en-US" w:eastAsia="zh-CN"/>
                <w14:textFill>
                  <w14:solidFill>
                    <w14:schemeClr w14:val="tx1"/>
                  </w14:solidFill>
                </w14:textFill>
              </w:rPr>
              <w:t>HC23-003-1</w:t>
            </w:r>
            <w:r>
              <w:rPr>
                <w:rFonts w:hint="eastAsia"/>
                <w:color w:val="000000" w:themeColor="text1"/>
                <w:highlight w:val="none"/>
                <w:lang w:eastAsia="zh-CN"/>
                <w14:textFill>
                  <w14:solidFill>
                    <w14:schemeClr w14:val="tx1"/>
                  </w14:solidFill>
                </w14:textFill>
              </w:rPr>
              <w:t>）</w:t>
            </w:r>
          </w:p>
        </w:tc>
      </w:tr>
      <w:tr w14:paraId="4020C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22A9B59E">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地理坐标</w:t>
            </w:r>
          </w:p>
        </w:tc>
        <w:tc>
          <w:tcPr>
            <w:tcW w:w="7769" w:type="dxa"/>
            <w:gridSpan w:val="3"/>
            <w:vAlign w:val="center"/>
          </w:tcPr>
          <w:p w14:paraId="08875960">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p>
        </w:tc>
      </w:tr>
      <w:tr w14:paraId="48F4E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6FCAD2F0">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国民经济</w:t>
            </w:r>
          </w:p>
          <w:p w14:paraId="12810717">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p>
        </w:tc>
        <w:tc>
          <w:tcPr>
            <w:tcW w:w="1788" w:type="dxa"/>
            <w:vAlign w:val="center"/>
          </w:tcPr>
          <w:p w14:paraId="5B7CA354">
            <w:pPr>
              <w:numPr>
                <w:ilvl w:val="0"/>
                <w:numId w:val="0"/>
              </w:numPr>
              <w:adjustRightInd w:val="0"/>
              <w:snapToGrid w:val="0"/>
              <w:spacing w:line="240" w:lineRule="auto"/>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C1353肉制品及副产品加工</w:t>
            </w:r>
            <w:r>
              <w:rPr>
                <w:rFonts w:hint="eastAsia"/>
                <w:color w:val="000000" w:themeColor="text1"/>
                <w:szCs w:val="21"/>
                <w:highlight w:val="none"/>
                <w:lang w:eastAsia="zh-CN"/>
                <w14:textFill>
                  <w14:solidFill>
                    <w14:schemeClr w14:val="tx1"/>
                  </w14:solidFill>
                </w14:textFill>
              </w:rPr>
              <w:t>；</w:t>
            </w:r>
          </w:p>
          <w:p w14:paraId="27A682B7">
            <w:pPr>
              <w:numPr>
                <w:ilvl w:val="0"/>
                <w:numId w:val="0"/>
              </w:numPr>
              <w:adjustRightInd w:val="0"/>
              <w:snapToGrid w:val="0"/>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D4430热力生产和供应</w:t>
            </w:r>
          </w:p>
        </w:tc>
        <w:tc>
          <w:tcPr>
            <w:tcW w:w="2066" w:type="dxa"/>
            <w:vAlign w:val="center"/>
          </w:tcPr>
          <w:p w14:paraId="237694E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bookmarkStart w:id="1" w:name="_Hlk49843745"/>
            <w:r>
              <w:rPr>
                <w:color w:val="000000" w:themeColor="text1"/>
                <w:szCs w:val="21"/>
                <w:highlight w:val="none"/>
                <w14:textFill>
                  <w14:solidFill>
                    <w14:schemeClr w14:val="tx1"/>
                  </w14:solidFill>
                </w14:textFill>
              </w:rPr>
              <w:t>建设项目</w:t>
            </w:r>
          </w:p>
          <w:p w14:paraId="61FBDEA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bookmarkEnd w:id="1"/>
          </w:p>
        </w:tc>
        <w:tc>
          <w:tcPr>
            <w:tcW w:w="3915" w:type="dxa"/>
            <w:vAlign w:val="center"/>
          </w:tcPr>
          <w:p w14:paraId="4B3080EF">
            <w:pPr>
              <w:numPr>
                <w:ilvl w:val="0"/>
                <w:numId w:val="2"/>
              </w:numPr>
              <w:adjustRightInd w:val="0"/>
              <w:snapToGrid w:val="0"/>
              <w:spacing w:line="240" w:lineRule="auto"/>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农副食品加工业 13 屠宰及肉类加工</w:t>
            </w:r>
            <w:r>
              <w:rPr>
                <w:rFonts w:ascii="Times New Roman" w:hAnsi="Times New Roman" w:cs="Times New Roman"/>
                <w:color w:val="000000" w:themeColor="text1"/>
                <w:sz w:val="26"/>
                <w:szCs w:val="26"/>
                <w:highlight w:val="none"/>
                <w14:textFill>
                  <w14:solidFill>
                    <w14:schemeClr w14:val="tx1"/>
                  </w14:solidFill>
                </w14:textFill>
              </w:rPr>
              <w:t>135-</w:t>
            </w:r>
            <w:r>
              <w:rPr>
                <w:rFonts w:hint="eastAsia"/>
                <w:color w:val="000000" w:themeColor="text1"/>
                <w:szCs w:val="21"/>
                <w:highlight w:val="none"/>
                <w:lang w:val="en-US" w:eastAsia="zh-CN"/>
                <w14:textFill>
                  <w14:solidFill>
                    <w14:schemeClr w14:val="tx1"/>
                  </w14:solidFill>
                </w14:textFill>
              </w:rPr>
              <w:t>其他肉类加工；</w:t>
            </w:r>
          </w:p>
          <w:p w14:paraId="5554DDBD">
            <w:pPr>
              <w:numPr>
                <w:ilvl w:val="0"/>
                <w:numId w:val="0"/>
              </w:numP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四十一</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电力</w:t>
            </w:r>
            <w:r>
              <w:rPr>
                <w:color w:val="000000" w:themeColor="text1"/>
                <w:szCs w:val="21"/>
                <w:highlight w:val="none"/>
                <w14:textFill>
                  <w14:solidFill>
                    <w14:schemeClr w14:val="tx1"/>
                  </w14:solidFill>
                </w14:textFill>
              </w:rPr>
              <w:t>、热力生产和供应业 91</w:t>
            </w:r>
            <w:r>
              <w:rPr>
                <w:rFonts w:hint="eastAsia"/>
                <w:color w:val="000000" w:themeColor="text1"/>
                <w:szCs w:val="21"/>
                <w:highlight w:val="none"/>
                <w14:textFill>
                  <w14:solidFill>
                    <w14:schemeClr w14:val="tx1"/>
                  </w14:solidFill>
                </w14:textFill>
              </w:rPr>
              <w:t>热力生产</w:t>
            </w:r>
            <w:r>
              <w:rPr>
                <w:color w:val="000000" w:themeColor="text1"/>
                <w:szCs w:val="21"/>
                <w:highlight w:val="none"/>
                <w14:textFill>
                  <w14:solidFill>
                    <w14:schemeClr w14:val="tx1"/>
                  </w14:solidFill>
                </w14:textFill>
              </w:rPr>
              <w:t>和</w:t>
            </w:r>
            <w:r>
              <w:rPr>
                <w:rFonts w:hint="eastAsia"/>
                <w:color w:val="000000" w:themeColor="text1"/>
                <w:szCs w:val="21"/>
                <w:highlight w:val="none"/>
                <w14:textFill>
                  <w14:solidFill>
                    <w14:schemeClr w14:val="tx1"/>
                  </w14:solidFill>
                </w14:textFill>
              </w:rPr>
              <w:t>供应</w:t>
            </w:r>
            <w:r>
              <w:rPr>
                <w:color w:val="000000" w:themeColor="text1"/>
                <w:szCs w:val="21"/>
                <w:highlight w:val="none"/>
                <w14:textFill>
                  <w14:solidFill>
                    <w14:schemeClr w14:val="tx1"/>
                  </w14:solidFill>
                </w14:textFill>
              </w:rPr>
              <w:t>工程（</w:t>
            </w:r>
            <w:r>
              <w:rPr>
                <w:rFonts w:hint="eastAsia"/>
                <w:color w:val="000000" w:themeColor="text1"/>
                <w:szCs w:val="21"/>
                <w:highlight w:val="none"/>
                <w14:textFill>
                  <w14:solidFill>
                    <w14:schemeClr w14:val="tx1"/>
                  </w14:solidFill>
                </w14:textFill>
              </w:rPr>
              <w:t>包括</w:t>
            </w:r>
            <w:r>
              <w:rPr>
                <w:color w:val="000000" w:themeColor="text1"/>
                <w:szCs w:val="21"/>
                <w:highlight w:val="none"/>
                <w14:textFill>
                  <w14:solidFill>
                    <w14:schemeClr w14:val="tx1"/>
                  </w14:solidFill>
                </w14:textFill>
              </w:rPr>
              <w:t>建设单位自建自用的供热工程）</w:t>
            </w:r>
          </w:p>
        </w:tc>
      </w:tr>
      <w:tr w14:paraId="7EE20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6361970E">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建设性质</w:t>
            </w:r>
          </w:p>
        </w:tc>
        <w:tc>
          <w:tcPr>
            <w:tcW w:w="1788" w:type="dxa"/>
            <w:vAlign w:val="center"/>
          </w:tcPr>
          <w:p w14:paraId="619E2A47">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■新建（迁建）</w:t>
            </w:r>
          </w:p>
          <w:p w14:paraId="2FD7961F">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□改建</w:t>
            </w:r>
          </w:p>
          <w:p w14:paraId="4E0B6206">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□扩建</w:t>
            </w:r>
          </w:p>
          <w:p w14:paraId="1B9F2E9C">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□技术改造</w:t>
            </w:r>
          </w:p>
        </w:tc>
        <w:tc>
          <w:tcPr>
            <w:tcW w:w="2066" w:type="dxa"/>
            <w:vAlign w:val="center"/>
          </w:tcPr>
          <w:p w14:paraId="6A0C943E">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建设项目</w:t>
            </w:r>
          </w:p>
          <w:p w14:paraId="0418B8C9">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申报情形</w:t>
            </w:r>
          </w:p>
        </w:tc>
        <w:tc>
          <w:tcPr>
            <w:tcW w:w="3915" w:type="dxa"/>
            <w:vAlign w:val="center"/>
          </w:tcPr>
          <w:p w14:paraId="5FBD23F3">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■首次申报项目             </w:t>
            </w:r>
          </w:p>
          <w:p w14:paraId="23FA066B">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□不予批准后再次申报项目</w:t>
            </w:r>
          </w:p>
          <w:p w14:paraId="661AB690">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□超五年重新审核项目     </w:t>
            </w:r>
          </w:p>
          <w:p w14:paraId="158939EE">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□重大变动重新报批项目</w:t>
            </w:r>
          </w:p>
        </w:tc>
      </w:tr>
      <w:tr w14:paraId="2526A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6D261DB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项目审批（核准/备案）部门（选填）</w:t>
            </w:r>
          </w:p>
        </w:tc>
        <w:tc>
          <w:tcPr>
            <w:tcW w:w="1788" w:type="dxa"/>
            <w:vAlign w:val="center"/>
          </w:tcPr>
          <w:p w14:paraId="13E41F1D">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重庆市</w:t>
            </w:r>
            <w:r>
              <w:rPr>
                <w:rFonts w:hint="eastAsia"/>
                <w:color w:val="000000" w:themeColor="text1"/>
                <w:szCs w:val="21"/>
                <w:highlight w:val="none"/>
                <w14:textFill>
                  <w14:solidFill>
                    <w14:schemeClr w14:val="tx1"/>
                  </w14:solidFill>
                </w14:textFill>
              </w:rPr>
              <w:t>合川区</w:t>
            </w:r>
            <w:r>
              <w:rPr>
                <w:color w:val="000000" w:themeColor="text1"/>
                <w:szCs w:val="21"/>
                <w:highlight w:val="none"/>
                <w14:textFill>
                  <w14:solidFill>
                    <w14:schemeClr w14:val="tx1"/>
                  </w14:solidFill>
                </w14:textFill>
              </w:rPr>
              <w:t>发展和改革委员会</w:t>
            </w:r>
          </w:p>
        </w:tc>
        <w:tc>
          <w:tcPr>
            <w:tcW w:w="2066" w:type="dxa"/>
            <w:vAlign w:val="center"/>
          </w:tcPr>
          <w:p w14:paraId="13315C10">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项目审批（核准/备案）文号（选填）</w:t>
            </w:r>
          </w:p>
        </w:tc>
        <w:tc>
          <w:tcPr>
            <w:tcW w:w="3915" w:type="dxa"/>
            <w:vAlign w:val="center"/>
          </w:tcPr>
          <w:p w14:paraId="300403FC">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2301-500117-04-05-580380</w:t>
            </w:r>
          </w:p>
        </w:tc>
      </w:tr>
      <w:tr w14:paraId="78913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666D26DB">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总投资（万元）</w:t>
            </w:r>
          </w:p>
        </w:tc>
        <w:tc>
          <w:tcPr>
            <w:tcW w:w="1788" w:type="dxa"/>
            <w:vAlign w:val="center"/>
          </w:tcPr>
          <w:p w14:paraId="29BC4E80">
            <w:pPr>
              <w:adjustRightInd w:val="0"/>
              <w:snapToGrid w:val="0"/>
              <w:spacing w:line="240" w:lineRule="auto"/>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4</w:t>
            </w:r>
            <w:r>
              <w:rPr>
                <w:rFonts w:hint="eastAsia"/>
                <w:color w:val="000000" w:themeColor="text1"/>
                <w:szCs w:val="21"/>
                <w:highlight w:val="none"/>
                <w:lang w:val="en-US" w:eastAsia="zh-CN"/>
                <w14:textFill>
                  <w14:solidFill>
                    <w14:schemeClr w14:val="tx1"/>
                  </w14:solidFill>
                </w14:textFill>
              </w:rPr>
              <w:t>000</w:t>
            </w:r>
          </w:p>
        </w:tc>
        <w:tc>
          <w:tcPr>
            <w:tcW w:w="2066" w:type="dxa"/>
            <w:tcMar>
              <w:top w:w="16" w:type="dxa"/>
              <w:left w:w="16" w:type="dxa"/>
              <w:right w:w="16" w:type="dxa"/>
            </w:tcMar>
            <w:vAlign w:val="center"/>
          </w:tcPr>
          <w:p w14:paraId="1737D600">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环保投资（万元）</w:t>
            </w:r>
          </w:p>
        </w:tc>
        <w:tc>
          <w:tcPr>
            <w:tcW w:w="3915" w:type="dxa"/>
            <w:vAlign w:val="center"/>
          </w:tcPr>
          <w:p w14:paraId="529E36B9">
            <w:pPr>
              <w:adjustRightInd w:val="0"/>
              <w:snapToGrid w:val="0"/>
              <w:spacing w:line="240" w:lineRule="auto"/>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225</w:t>
            </w:r>
          </w:p>
        </w:tc>
      </w:tr>
      <w:tr w14:paraId="3A285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32443298">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环保投资占比（%）</w:t>
            </w:r>
          </w:p>
        </w:tc>
        <w:tc>
          <w:tcPr>
            <w:tcW w:w="1788" w:type="dxa"/>
            <w:vAlign w:val="center"/>
          </w:tcPr>
          <w:p w14:paraId="0B936AAD">
            <w:pPr>
              <w:adjustRightInd w:val="0"/>
              <w:snapToGrid w:val="0"/>
              <w:spacing w:line="240" w:lineRule="auto"/>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5.63</w:t>
            </w:r>
          </w:p>
        </w:tc>
        <w:tc>
          <w:tcPr>
            <w:tcW w:w="2066" w:type="dxa"/>
            <w:tcMar>
              <w:top w:w="16" w:type="dxa"/>
              <w:left w:w="16" w:type="dxa"/>
              <w:right w:w="16" w:type="dxa"/>
            </w:tcMar>
            <w:vAlign w:val="center"/>
          </w:tcPr>
          <w:p w14:paraId="48C123E5">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施工工期</w:t>
            </w:r>
          </w:p>
        </w:tc>
        <w:tc>
          <w:tcPr>
            <w:tcW w:w="3915" w:type="dxa"/>
            <w:vAlign w:val="center"/>
          </w:tcPr>
          <w:p w14:paraId="62142C95">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r>
              <w:rPr>
                <w:color w:val="000000" w:themeColor="text1"/>
                <w:szCs w:val="21"/>
                <w:highlight w:val="none"/>
                <w14:textFill>
                  <w14:solidFill>
                    <w14:schemeClr w14:val="tx1"/>
                  </w14:solidFill>
                </w14:textFill>
              </w:rPr>
              <w:t>个月</w:t>
            </w:r>
          </w:p>
        </w:tc>
      </w:tr>
      <w:tr w14:paraId="3EC5B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3" w:type="dxa"/>
            <w:gridSpan w:val="3"/>
            <w:tcMar>
              <w:top w:w="16" w:type="dxa"/>
              <w:left w:w="16" w:type="dxa"/>
              <w:right w:w="16" w:type="dxa"/>
            </w:tcMar>
            <w:vAlign w:val="center"/>
          </w:tcPr>
          <w:p w14:paraId="7A622ABC">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是否开工建设</w:t>
            </w:r>
          </w:p>
        </w:tc>
        <w:tc>
          <w:tcPr>
            <w:tcW w:w="1788" w:type="dxa"/>
            <w:vAlign w:val="center"/>
          </w:tcPr>
          <w:p w14:paraId="3961B489">
            <w:pPr>
              <w:adjustRightInd w:val="0"/>
              <w:snapToGrid w:val="0"/>
              <w:spacing w:line="240" w:lineRule="auto"/>
              <w:ind w:firstLine="0" w:firstLineChars="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■否</w:t>
            </w:r>
          </w:p>
          <w:p w14:paraId="10DC812C">
            <w:pPr>
              <w:adjustRightInd w:val="0"/>
              <w:snapToGrid w:val="0"/>
              <w:spacing w:line="240" w:lineRule="auto"/>
              <w:ind w:firstLine="0" w:firstLineChars="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w:t>
            </w:r>
            <w:r>
              <w:rPr>
                <w:color w:val="000000" w:themeColor="text1"/>
                <w:szCs w:val="21"/>
                <w:highlight w:val="none"/>
                <w:u w:val="single"/>
                <w14:textFill>
                  <w14:solidFill>
                    <w14:schemeClr w14:val="tx1"/>
                  </w14:solidFill>
                </w14:textFill>
              </w:rPr>
              <w:t xml:space="preserve">             </w:t>
            </w:r>
          </w:p>
        </w:tc>
        <w:tc>
          <w:tcPr>
            <w:tcW w:w="2066" w:type="dxa"/>
            <w:tcMar>
              <w:top w:w="16" w:type="dxa"/>
              <w:left w:w="16" w:type="dxa"/>
              <w:right w:w="16" w:type="dxa"/>
            </w:tcMar>
            <w:vAlign w:val="center"/>
          </w:tcPr>
          <w:p w14:paraId="4554206C">
            <w:pPr>
              <w:adjustRightInd w:val="0"/>
              <w:snapToGrid w:val="0"/>
              <w:spacing w:line="240" w:lineRule="auto"/>
              <w:ind w:firstLine="0" w:firstLineChars="0"/>
              <w:jc w:val="center"/>
              <w:rPr>
                <w:color w:val="000000" w:themeColor="text1"/>
                <w:spacing w:val="-6"/>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用地（用海）</w:t>
            </w:r>
          </w:p>
          <w:p w14:paraId="657D8443">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面积（m</w:t>
            </w:r>
            <w:r>
              <w:rPr>
                <w:color w:val="000000" w:themeColor="text1"/>
                <w:spacing w:val="-6"/>
                <w:szCs w:val="21"/>
                <w:highlight w:val="none"/>
                <w:vertAlign w:val="superscript"/>
                <w14:textFill>
                  <w14:solidFill>
                    <w14:schemeClr w14:val="tx1"/>
                  </w14:solidFill>
                </w14:textFill>
              </w:rPr>
              <w:t>2</w:t>
            </w:r>
            <w:r>
              <w:rPr>
                <w:color w:val="000000" w:themeColor="text1"/>
                <w:spacing w:val="-6"/>
                <w:szCs w:val="21"/>
                <w:highlight w:val="none"/>
                <w14:textFill>
                  <w14:solidFill>
                    <w14:schemeClr w14:val="tx1"/>
                  </w14:solidFill>
                </w14:textFill>
              </w:rPr>
              <w:t>）</w:t>
            </w:r>
          </w:p>
        </w:tc>
        <w:tc>
          <w:tcPr>
            <w:tcW w:w="3915" w:type="dxa"/>
            <w:vAlign w:val="center"/>
          </w:tcPr>
          <w:p w14:paraId="44F008C2">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21626</w:t>
            </w:r>
          </w:p>
        </w:tc>
      </w:tr>
      <w:tr w14:paraId="2EBAA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dxa"/>
            <w:gridSpan w:val="2"/>
            <w:vAlign w:val="center"/>
          </w:tcPr>
          <w:p w14:paraId="192BE40B">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专项评价设置情况</w:t>
            </w:r>
          </w:p>
        </w:tc>
        <w:tc>
          <w:tcPr>
            <w:tcW w:w="8734" w:type="dxa"/>
            <w:gridSpan w:val="4"/>
            <w:vAlign w:val="center"/>
          </w:tcPr>
          <w:p w14:paraId="1EC2CC65">
            <w:pPr>
              <w:pStyle w:val="59"/>
              <w:spacing w:line="440" w:lineRule="exact"/>
              <w:ind w:firstLine="480"/>
              <w:rPr>
                <w:rFonts w:cs="Times New Roman"/>
                <w:color w:val="000000" w:themeColor="text1"/>
                <w:kern w:val="2"/>
                <w:highlight w:val="none"/>
                <w14:textFill>
                  <w14:solidFill>
                    <w14:schemeClr w14:val="tx1"/>
                  </w14:solidFill>
                </w14:textFill>
              </w:rPr>
            </w:pPr>
            <w:r>
              <w:rPr>
                <w:rFonts w:cs="Times New Roman"/>
                <w:color w:val="000000" w:themeColor="text1"/>
                <w:kern w:val="2"/>
                <w:highlight w:val="none"/>
                <w14:textFill>
                  <w14:solidFill>
                    <w14:schemeClr w14:val="tx1"/>
                  </w14:solidFill>
                </w14:textFill>
              </w:rPr>
              <w:t>根据《建设项目环境影响报告表编制技术指南（污染影响类）（试行）》，土壤、声环境不开展专项评价；本项目不涉及集中式饮用水水源和热水、矿泉水、温泉等特殊地下水资源保护区，故不开展地下水专项评价工作。对照《建设项目环境影响报告表编制技术指南（污染影响类）（试行）》中</w:t>
            </w:r>
            <w:r>
              <w:rPr>
                <w:rFonts w:hint="eastAsia" w:cs="Times New Roman"/>
                <w:color w:val="000000" w:themeColor="text1"/>
                <w:kern w:val="2"/>
                <w:highlight w:val="none"/>
                <w:lang w:eastAsia="zh-CN"/>
                <w14:textFill>
                  <w14:solidFill>
                    <w14:schemeClr w14:val="tx1"/>
                  </w14:solidFill>
                </w14:textFill>
              </w:rPr>
              <w:t>“</w:t>
            </w:r>
            <w:r>
              <w:rPr>
                <w:rFonts w:cs="Times New Roman"/>
                <w:color w:val="000000" w:themeColor="text1"/>
                <w:kern w:val="2"/>
                <w:highlight w:val="none"/>
                <w14:textFill>
                  <w14:solidFill>
                    <w14:schemeClr w14:val="tx1"/>
                  </w14:solidFill>
                </w14:textFill>
              </w:rPr>
              <w:t>表1专项评价设置原则表</w:t>
            </w:r>
            <w:r>
              <w:rPr>
                <w:rFonts w:hint="eastAsia" w:cs="Times New Roman"/>
                <w:color w:val="000000" w:themeColor="text1"/>
                <w:kern w:val="2"/>
                <w:highlight w:val="none"/>
                <w:lang w:eastAsia="zh-CN"/>
                <w14:textFill>
                  <w14:solidFill>
                    <w14:schemeClr w14:val="tx1"/>
                  </w14:solidFill>
                </w14:textFill>
              </w:rPr>
              <w:t>”</w:t>
            </w:r>
            <w:r>
              <w:rPr>
                <w:rFonts w:cs="Times New Roman"/>
                <w:color w:val="000000" w:themeColor="text1"/>
                <w:kern w:val="2"/>
                <w:highlight w:val="none"/>
                <w14:textFill>
                  <w14:solidFill>
                    <w14:schemeClr w14:val="tx1"/>
                  </w14:solidFill>
                </w14:textFill>
              </w:rPr>
              <w:t>，本项目大气、地表水、环境风险、生态、海洋专项评价情况见下表1-1。</w:t>
            </w:r>
          </w:p>
          <w:p w14:paraId="02AAFB7C">
            <w:pPr>
              <w:pStyle w:val="18"/>
              <w:spacing w:line="440" w:lineRule="exact"/>
              <w:jc w:val="center"/>
              <w:rPr>
                <w:rFonts w:ascii="Times New Roman" w:hAnsi="Times New Roman"/>
                <w:b/>
                <w:color w:val="000000" w:themeColor="text1"/>
                <w:sz w:val="24"/>
                <w:szCs w:val="24"/>
                <w:highlight w:val="none"/>
                <w14:textFill>
                  <w14:solidFill>
                    <w14:schemeClr w14:val="tx1"/>
                  </w14:solidFill>
                </w14:textFill>
              </w:rPr>
            </w:pPr>
            <w:r>
              <w:rPr>
                <w:rFonts w:ascii="Times New Roman" w:hAnsi="Times New Roman"/>
                <w:b/>
                <w:color w:val="000000" w:themeColor="text1"/>
                <w:sz w:val="24"/>
                <w:szCs w:val="24"/>
                <w:highlight w:val="none"/>
                <w14:textFill>
                  <w14:solidFill>
                    <w14:schemeClr w14:val="tx1"/>
                  </w14:solidFill>
                </w14:textFill>
              </w:rPr>
              <w:t>表1-1   专项评价设置原则表</w:t>
            </w:r>
          </w:p>
          <w:tbl>
            <w:tblPr>
              <w:tblStyle w:val="28"/>
              <w:tblW w:w="5000"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22"/>
              <w:gridCol w:w="3839"/>
              <w:gridCol w:w="3541"/>
            </w:tblGrid>
            <w:tr w14:paraId="52962C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59" w:type="pct"/>
                  <w:tcMar>
                    <w:left w:w="57" w:type="dxa"/>
                    <w:right w:w="57" w:type="dxa"/>
                  </w:tcMar>
                  <w:vAlign w:val="center"/>
                </w:tcPr>
                <w:p w14:paraId="24DE6BFA">
                  <w:pPr>
                    <w:pStyle w:val="1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专项评价的类别</w:t>
                  </w:r>
                </w:p>
              </w:tc>
              <w:tc>
                <w:tcPr>
                  <w:tcW w:w="2257" w:type="pct"/>
                  <w:tcMar>
                    <w:left w:w="57" w:type="dxa"/>
                    <w:right w:w="57" w:type="dxa"/>
                  </w:tcMar>
                  <w:vAlign w:val="center"/>
                </w:tcPr>
                <w:p w14:paraId="4ADCDB4C">
                  <w:pPr>
                    <w:pStyle w:val="1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设置原则</w:t>
                  </w:r>
                </w:p>
              </w:tc>
              <w:tc>
                <w:tcPr>
                  <w:tcW w:w="2082" w:type="pct"/>
                  <w:tcMar>
                    <w:left w:w="57" w:type="dxa"/>
                    <w:right w:w="57" w:type="dxa"/>
                  </w:tcMar>
                  <w:vAlign w:val="center"/>
                </w:tcPr>
                <w:p w14:paraId="78B28F3F">
                  <w:pPr>
                    <w:pStyle w:val="1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本项目</w:t>
                  </w:r>
                </w:p>
              </w:tc>
            </w:tr>
            <w:tr w14:paraId="1FB814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9" w:type="pct"/>
                  <w:tcMar>
                    <w:left w:w="57" w:type="dxa"/>
                    <w:right w:w="57" w:type="dxa"/>
                  </w:tcMar>
                  <w:vAlign w:val="center"/>
                </w:tcPr>
                <w:p w14:paraId="20822A03">
                  <w:pPr>
                    <w:pStyle w:val="18"/>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大气</w:t>
                  </w:r>
                </w:p>
              </w:tc>
              <w:tc>
                <w:tcPr>
                  <w:tcW w:w="2257" w:type="pct"/>
                  <w:tcMar>
                    <w:left w:w="57" w:type="dxa"/>
                    <w:right w:w="57" w:type="dxa"/>
                  </w:tcMar>
                  <w:vAlign w:val="center"/>
                </w:tcPr>
                <w:p w14:paraId="56312F8F">
                  <w:pPr>
                    <w:pStyle w:val="18"/>
                    <w:jc w:val="left"/>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排放废气含有毒有害污染物</w:t>
                  </w:r>
                  <w:r>
                    <w:rPr>
                      <w:rFonts w:ascii="Times New Roman" w:hAnsi="Times New Roman"/>
                      <w:color w:val="000000" w:themeColor="text1"/>
                      <w:szCs w:val="21"/>
                      <w:highlight w:val="none"/>
                      <w:vertAlign w:val="superscript"/>
                      <w14:textFill>
                        <w14:solidFill>
                          <w14:schemeClr w14:val="tx1"/>
                        </w14:solidFill>
                      </w14:textFill>
                    </w:rPr>
                    <w:t>1</w:t>
                  </w:r>
                  <w:r>
                    <w:rPr>
                      <w:rFonts w:ascii="Times New Roman" w:hAnsi="Times New Roman"/>
                      <w:color w:val="000000" w:themeColor="text1"/>
                      <w:szCs w:val="21"/>
                      <w:highlight w:val="none"/>
                      <w14:textFill>
                        <w14:solidFill>
                          <w14:schemeClr w14:val="tx1"/>
                        </w14:solidFill>
                      </w14:textFill>
                    </w:rPr>
                    <w:t>、二噁英、苯并[a]芘、氰化物、氯气且厂界外500米范围内有环境空气保护目标</w:t>
                  </w:r>
                  <w:r>
                    <w:rPr>
                      <w:rFonts w:ascii="Times New Roman" w:hAnsi="Times New Roman"/>
                      <w:color w:val="000000" w:themeColor="text1"/>
                      <w:szCs w:val="21"/>
                      <w:highlight w:val="none"/>
                      <w:vertAlign w:val="superscript"/>
                      <w14:textFill>
                        <w14:solidFill>
                          <w14:schemeClr w14:val="tx1"/>
                        </w14:solidFill>
                      </w14:textFill>
                    </w:rPr>
                    <w:t>2</w:t>
                  </w:r>
                  <w:r>
                    <w:rPr>
                      <w:rFonts w:ascii="Times New Roman" w:hAnsi="Times New Roman"/>
                      <w:color w:val="000000" w:themeColor="text1"/>
                      <w:szCs w:val="21"/>
                      <w:highlight w:val="none"/>
                      <w14:textFill>
                        <w14:solidFill>
                          <w14:schemeClr w14:val="tx1"/>
                        </w14:solidFill>
                      </w14:textFill>
                    </w:rPr>
                    <w:t>的建设项目</w:t>
                  </w:r>
                </w:p>
              </w:tc>
              <w:tc>
                <w:tcPr>
                  <w:tcW w:w="2082" w:type="pct"/>
                  <w:tcMar>
                    <w:left w:w="57" w:type="dxa"/>
                    <w:right w:w="57" w:type="dxa"/>
                  </w:tcMar>
                  <w:vAlign w:val="center"/>
                </w:tcPr>
                <w:p w14:paraId="55419E9F">
                  <w:pPr>
                    <w:pStyle w:val="18"/>
                    <w:jc w:val="lef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本项目营运期不排放《有毒有害大气污染物名录》中大气污染物，故本项目无需开展大气专项评价</w:t>
                  </w:r>
                </w:p>
              </w:tc>
            </w:tr>
            <w:tr w14:paraId="0FEC94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59" w:type="pct"/>
                  <w:tcMar>
                    <w:left w:w="57" w:type="dxa"/>
                    <w:right w:w="57" w:type="dxa"/>
                  </w:tcMar>
                  <w:vAlign w:val="center"/>
                </w:tcPr>
                <w:p w14:paraId="4B643A2E">
                  <w:pPr>
                    <w:pStyle w:val="18"/>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地表水</w:t>
                  </w:r>
                </w:p>
              </w:tc>
              <w:tc>
                <w:tcPr>
                  <w:tcW w:w="2257" w:type="pct"/>
                  <w:tcMar>
                    <w:left w:w="57" w:type="dxa"/>
                    <w:right w:w="57" w:type="dxa"/>
                  </w:tcMar>
                  <w:vAlign w:val="center"/>
                </w:tcPr>
                <w:p w14:paraId="537BCFFB">
                  <w:pPr>
                    <w:pStyle w:val="18"/>
                    <w:jc w:val="left"/>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新增工业废水直排建设项目（槽罐车外送污水处理厂的除外）；新增废水直排的污水集中处理厂</w:t>
                  </w:r>
                </w:p>
              </w:tc>
              <w:tc>
                <w:tcPr>
                  <w:tcW w:w="2082" w:type="pct"/>
                  <w:tcMar>
                    <w:left w:w="57" w:type="dxa"/>
                    <w:right w:w="57" w:type="dxa"/>
                  </w:tcMar>
                  <w:vAlign w:val="center"/>
                </w:tcPr>
                <w:p w14:paraId="406CEE8D">
                  <w:pPr>
                    <w:pStyle w:val="18"/>
                    <w:jc w:val="lef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本</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项目运营期废水</w:t>
                  </w:r>
                  <w:r>
                    <w:rPr>
                      <w:rFonts w:hint="eastAsia" w:ascii="Times New Roman" w:hAnsi="Times New Roman" w:cs="Times New Roman"/>
                      <w:color w:val="000000" w:themeColor="text1"/>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间接排放，</w:t>
                  </w:r>
                  <w:r>
                    <w:rPr>
                      <w:rFonts w:ascii="Times New Roman" w:hAnsi="Times New Roman"/>
                      <w:bCs/>
                      <w:color w:val="000000" w:themeColor="text1"/>
                      <w:szCs w:val="21"/>
                      <w:highlight w:val="none"/>
                      <w:lang w:val="en-US"/>
                      <w14:textFill>
                        <w14:solidFill>
                          <w14:schemeClr w14:val="tx1"/>
                        </w14:solidFill>
                      </w14:textFill>
                    </w:rPr>
                    <w:t>故</w:t>
                  </w:r>
                  <w:r>
                    <w:rPr>
                      <w:rFonts w:ascii="Times New Roman" w:hAnsi="Times New Roman"/>
                      <w:color w:val="000000" w:themeColor="text1"/>
                      <w:szCs w:val="21"/>
                      <w:highlight w:val="none"/>
                      <w14:textFill>
                        <w14:solidFill>
                          <w14:schemeClr w14:val="tx1"/>
                        </w14:solidFill>
                      </w14:textFill>
                    </w:rPr>
                    <w:t>不</w:t>
                  </w:r>
                  <w:r>
                    <w:rPr>
                      <w:rFonts w:ascii="Times New Roman" w:hAnsi="Times New Roman"/>
                      <w:bCs/>
                      <w:color w:val="000000" w:themeColor="text1"/>
                      <w:szCs w:val="21"/>
                      <w:highlight w:val="none"/>
                      <w:lang w:val="en-US"/>
                      <w14:textFill>
                        <w14:solidFill>
                          <w14:schemeClr w14:val="tx1"/>
                        </w14:solidFill>
                      </w14:textFill>
                    </w:rPr>
                    <w:t>设置地表水专项评价</w:t>
                  </w:r>
                  <w:r>
                    <w:rPr>
                      <w:rFonts w:ascii="Times New Roman" w:hAnsi="Times New Roman"/>
                      <w:color w:val="000000" w:themeColor="text1"/>
                      <w:szCs w:val="21"/>
                      <w:highlight w:val="none"/>
                      <w14:textFill>
                        <w14:solidFill>
                          <w14:schemeClr w14:val="tx1"/>
                        </w14:solidFill>
                      </w14:textFill>
                    </w:rPr>
                    <w:t>。</w:t>
                  </w:r>
                </w:p>
              </w:tc>
            </w:tr>
            <w:tr w14:paraId="7EDD61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59" w:type="pct"/>
                  <w:tcMar>
                    <w:left w:w="57" w:type="dxa"/>
                    <w:right w:w="57" w:type="dxa"/>
                  </w:tcMar>
                  <w:vAlign w:val="center"/>
                </w:tcPr>
                <w:p w14:paraId="2A651597">
                  <w:pPr>
                    <w:pStyle w:val="18"/>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环境</w:t>
                  </w:r>
                </w:p>
                <w:p w14:paraId="67B63D3C">
                  <w:pPr>
                    <w:pStyle w:val="18"/>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风险</w:t>
                  </w:r>
                </w:p>
              </w:tc>
              <w:tc>
                <w:tcPr>
                  <w:tcW w:w="2257" w:type="pct"/>
                  <w:tcMar>
                    <w:left w:w="57" w:type="dxa"/>
                    <w:right w:w="57" w:type="dxa"/>
                  </w:tcMar>
                  <w:vAlign w:val="center"/>
                </w:tcPr>
                <w:p w14:paraId="150DC978">
                  <w:pPr>
                    <w:pStyle w:val="18"/>
                    <w:jc w:val="left"/>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有毒有害和易燃易爆危险物质存储量超过临界量</w:t>
                  </w:r>
                  <w:r>
                    <w:rPr>
                      <w:rFonts w:ascii="Times New Roman" w:hAnsi="Times New Roman"/>
                      <w:color w:val="000000" w:themeColor="text1"/>
                      <w:szCs w:val="21"/>
                      <w:highlight w:val="none"/>
                      <w:vertAlign w:val="superscript"/>
                      <w14:textFill>
                        <w14:solidFill>
                          <w14:schemeClr w14:val="tx1"/>
                        </w14:solidFill>
                      </w14:textFill>
                    </w:rPr>
                    <w:t>3</w:t>
                  </w:r>
                  <w:r>
                    <w:rPr>
                      <w:rFonts w:ascii="Times New Roman" w:hAnsi="Times New Roman"/>
                      <w:color w:val="000000" w:themeColor="text1"/>
                      <w:szCs w:val="21"/>
                      <w:highlight w:val="none"/>
                      <w14:textFill>
                        <w14:solidFill>
                          <w14:schemeClr w14:val="tx1"/>
                        </w14:solidFill>
                      </w14:textFill>
                    </w:rPr>
                    <w:t>的建设项目</w:t>
                  </w:r>
                </w:p>
              </w:tc>
              <w:tc>
                <w:tcPr>
                  <w:tcW w:w="2082" w:type="pct"/>
                  <w:tcMar>
                    <w:left w:w="57" w:type="dxa"/>
                    <w:right w:w="57" w:type="dxa"/>
                  </w:tcMar>
                  <w:vAlign w:val="center"/>
                </w:tcPr>
                <w:p w14:paraId="16120236">
                  <w:pPr>
                    <w:pStyle w:val="18"/>
                    <w:jc w:val="lef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本</w:t>
                  </w:r>
                  <w:r>
                    <w:rPr>
                      <w:rFonts w:ascii="Times New Roman" w:hAnsi="Times New Roman"/>
                      <w:color w:val="000000" w:themeColor="text1"/>
                      <w:szCs w:val="21"/>
                      <w:highlight w:val="none"/>
                      <w14:textFill>
                        <w14:solidFill>
                          <w14:schemeClr w14:val="tx1"/>
                        </w14:solidFill>
                      </w14:textFill>
                    </w:rPr>
                    <w:t>项目</w:t>
                  </w:r>
                  <w:r>
                    <w:rPr>
                      <w:rFonts w:hint="eastAsia" w:ascii="Times New Roman" w:hAnsi="Times New Roman"/>
                      <w:color w:val="000000" w:themeColor="text1"/>
                      <w:szCs w:val="21"/>
                      <w:highlight w:val="none"/>
                      <w14:textFill>
                        <w14:solidFill>
                          <w14:schemeClr w14:val="tx1"/>
                        </w14:solidFill>
                      </w14:textFill>
                    </w:rPr>
                    <w:t>不涉及</w:t>
                  </w:r>
                  <w:r>
                    <w:rPr>
                      <w:rFonts w:ascii="Times New Roman" w:hAnsi="Times New Roman"/>
                      <w:color w:val="000000" w:themeColor="text1"/>
                      <w:szCs w:val="21"/>
                      <w:highlight w:val="none"/>
                      <w14:textFill>
                        <w14:solidFill>
                          <w14:schemeClr w14:val="tx1"/>
                        </w14:solidFill>
                      </w14:textFill>
                    </w:rPr>
                    <w:t>有毒有害和易燃易爆危险物质，故不设置环境风险专项评价。</w:t>
                  </w:r>
                </w:p>
              </w:tc>
            </w:tr>
            <w:tr w14:paraId="6BC0B1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 w:hRule="atLeast"/>
              </w:trPr>
              <w:tc>
                <w:tcPr>
                  <w:tcW w:w="659" w:type="pct"/>
                  <w:tcMar>
                    <w:left w:w="57" w:type="dxa"/>
                    <w:right w:w="57" w:type="dxa"/>
                  </w:tcMar>
                  <w:vAlign w:val="center"/>
                </w:tcPr>
                <w:p w14:paraId="0228E459">
                  <w:pPr>
                    <w:pStyle w:val="18"/>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生态</w:t>
                  </w:r>
                </w:p>
              </w:tc>
              <w:tc>
                <w:tcPr>
                  <w:tcW w:w="2257" w:type="pct"/>
                  <w:tcMar>
                    <w:left w:w="57" w:type="dxa"/>
                    <w:right w:w="57" w:type="dxa"/>
                  </w:tcMar>
                  <w:vAlign w:val="center"/>
                </w:tcPr>
                <w:p w14:paraId="748E70CA">
                  <w:pPr>
                    <w:pStyle w:val="18"/>
                    <w:jc w:val="left"/>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取水口下游500米范围内有重要水生生物的自然产卵场、索饵场、越冬场和洄游通道的新增河道取水的污染类建设项目</w:t>
                  </w:r>
                </w:p>
              </w:tc>
              <w:tc>
                <w:tcPr>
                  <w:tcW w:w="2082" w:type="pct"/>
                  <w:tcMar>
                    <w:left w:w="57" w:type="dxa"/>
                    <w:right w:w="57" w:type="dxa"/>
                  </w:tcMar>
                  <w:vAlign w:val="center"/>
                </w:tcPr>
                <w:p w14:paraId="610732A7">
                  <w:pPr>
                    <w:pStyle w:val="18"/>
                    <w:jc w:val="lef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本</w:t>
                  </w:r>
                  <w:r>
                    <w:rPr>
                      <w:rFonts w:ascii="Times New Roman" w:hAnsi="Times New Roman"/>
                      <w:color w:val="000000" w:themeColor="text1"/>
                      <w:szCs w:val="21"/>
                      <w:highlight w:val="none"/>
                      <w14:textFill>
                        <w14:solidFill>
                          <w14:schemeClr w14:val="tx1"/>
                        </w14:solidFill>
                      </w14:textFill>
                    </w:rPr>
                    <w:t>项目不涉及河道取水，故不设生态专项评价。</w:t>
                  </w:r>
                </w:p>
              </w:tc>
            </w:tr>
            <w:tr w14:paraId="3E9C97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59" w:type="pct"/>
                  <w:tcMar>
                    <w:left w:w="57" w:type="dxa"/>
                    <w:right w:w="57" w:type="dxa"/>
                  </w:tcMar>
                  <w:vAlign w:val="center"/>
                </w:tcPr>
                <w:p w14:paraId="2B4C0896">
                  <w:pPr>
                    <w:pStyle w:val="18"/>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海洋</w:t>
                  </w:r>
                </w:p>
              </w:tc>
              <w:tc>
                <w:tcPr>
                  <w:tcW w:w="2257" w:type="pct"/>
                  <w:tcMar>
                    <w:left w:w="57" w:type="dxa"/>
                    <w:right w:w="57" w:type="dxa"/>
                  </w:tcMar>
                  <w:vAlign w:val="center"/>
                </w:tcPr>
                <w:p w14:paraId="78324D76">
                  <w:pPr>
                    <w:pStyle w:val="18"/>
                    <w:jc w:val="left"/>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直接向海排放污染物的海洋工程建设项目</w:t>
                  </w:r>
                </w:p>
              </w:tc>
              <w:tc>
                <w:tcPr>
                  <w:tcW w:w="2082" w:type="pct"/>
                  <w:tcMar>
                    <w:left w:w="57" w:type="dxa"/>
                    <w:right w:w="57" w:type="dxa"/>
                  </w:tcMar>
                  <w:vAlign w:val="center"/>
                </w:tcPr>
                <w:p w14:paraId="6BA1AEAF">
                  <w:pPr>
                    <w:pStyle w:val="18"/>
                    <w:jc w:val="lef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本</w:t>
                  </w:r>
                  <w:r>
                    <w:rPr>
                      <w:rFonts w:ascii="Times New Roman" w:hAnsi="Times New Roman"/>
                      <w:color w:val="000000" w:themeColor="text1"/>
                      <w:szCs w:val="21"/>
                      <w:highlight w:val="none"/>
                      <w14:textFill>
                        <w14:solidFill>
                          <w14:schemeClr w14:val="tx1"/>
                        </w14:solidFill>
                      </w14:textFill>
                    </w:rPr>
                    <w:t>项目不属于海洋工程建设项目，故不设开展海洋专项评价。</w:t>
                  </w:r>
                </w:p>
              </w:tc>
            </w:tr>
          </w:tbl>
          <w:p w14:paraId="5B588102">
            <w:pPr>
              <w:autoSpaceDE w:val="0"/>
              <w:autoSpaceDN w:val="0"/>
              <w:adjustRightInd w:val="0"/>
              <w:snapToGrid w:val="0"/>
              <w:spacing w:line="240" w:lineRule="auto"/>
              <w:ind w:firstLine="0" w:firstLineChars="0"/>
              <w:jc w:val="left"/>
              <w:rPr>
                <w:color w:val="000000" w:themeColor="text1"/>
                <w:kern w:val="0"/>
                <w:szCs w:val="21"/>
                <w:highlight w:val="none"/>
                <w14:textFill>
                  <w14:solidFill>
                    <w14:schemeClr w14:val="tx1"/>
                  </w14:solidFill>
                </w14:textFill>
              </w:rPr>
            </w:pPr>
            <w:r>
              <w:rPr>
                <w:color w:val="000000" w:themeColor="text1"/>
                <w:sz w:val="18"/>
                <w:szCs w:val="18"/>
                <w:highlight w:val="none"/>
                <w14:textFill>
                  <w14:solidFill>
                    <w14:schemeClr w14:val="tx1"/>
                  </w14:solidFill>
                </w14:textFill>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r w14:paraId="251C7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873" w:type="dxa"/>
            <w:gridSpan w:val="3"/>
            <w:vAlign w:val="center"/>
          </w:tcPr>
          <w:p w14:paraId="67538DEB">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规划情况</w:t>
            </w:r>
          </w:p>
        </w:tc>
        <w:tc>
          <w:tcPr>
            <w:tcW w:w="7769" w:type="dxa"/>
            <w:gridSpan w:val="3"/>
            <w:vAlign w:val="center"/>
          </w:tcPr>
          <w:p w14:paraId="50FA9F4C">
            <w:pPr>
              <w:autoSpaceDE w:val="0"/>
              <w:autoSpaceDN w:val="0"/>
              <w:adjustRightInd w:val="0"/>
              <w:snapToGrid w:val="0"/>
              <w:spacing w:line="400" w:lineRule="exact"/>
              <w:ind w:firstLine="0" w:firstLineChars="0"/>
              <w:jc w:val="left"/>
              <w:rPr>
                <w:b w:val="0"/>
                <w:bCs/>
                <w:color w:val="000000" w:themeColor="text1"/>
                <w:szCs w:val="21"/>
                <w:highlight w:val="none"/>
                <w14:textFill>
                  <w14:solidFill>
                    <w14:schemeClr w14:val="tx1"/>
                  </w14:solidFill>
                </w14:textFill>
              </w:rPr>
            </w:pPr>
            <w:r>
              <w:rPr>
                <w:b w:val="0"/>
                <w:bCs/>
                <w:color w:val="000000" w:themeColor="text1"/>
                <w:szCs w:val="21"/>
                <w:highlight w:val="none"/>
                <w14:textFill>
                  <w14:solidFill>
                    <w14:schemeClr w14:val="tx1"/>
                  </w14:solidFill>
                </w14:textFill>
              </w:rPr>
              <w:t>规划名称：《重庆市合川工业园区南溪组团南溪片区控制性详细规划》（2016年修改）</w:t>
            </w:r>
          </w:p>
          <w:p w14:paraId="31C69F67">
            <w:pPr>
              <w:autoSpaceDE w:val="0"/>
              <w:autoSpaceDN w:val="0"/>
              <w:adjustRightInd w:val="0"/>
              <w:snapToGrid w:val="0"/>
              <w:spacing w:line="400" w:lineRule="exact"/>
              <w:ind w:firstLine="0" w:firstLineChars="0"/>
              <w:jc w:val="left"/>
              <w:rPr>
                <w:b w:val="0"/>
                <w:bCs/>
                <w:color w:val="000000" w:themeColor="text1"/>
                <w:szCs w:val="21"/>
                <w:highlight w:val="none"/>
                <w14:textFill>
                  <w14:solidFill>
                    <w14:schemeClr w14:val="tx1"/>
                  </w14:solidFill>
                </w14:textFill>
              </w:rPr>
            </w:pPr>
            <w:r>
              <w:rPr>
                <w:b w:val="0"/>
                <w:bCs/>
                <w:color w:val="000000" w:themeColor="text1"/>
                <w:szCs w:val="21"/>
                <w:highlight w:val="none"/>
                <w14:textFill>
                  <w14:solidFill>
                    <w14:schemeClr w14:val="tx1"/>
                  </w14:solidFill>
                </w14:textFill>
              </w:rPr>
              <w:t>审批机关：合川区人民政府</w:t>
            </w:r>
          </w:p>
          <w:p w14:paraId="0AB9234D">
            <w:pPr>
              <w:autoSpaceDE w:val="0"/>
              <w:autoSpaceDN w:val="0"/>
              <w:adjustRightInd w:val="0"/>
              <w:snapToGrid w:val="0"/>
              <w:spacing w:line="400" w:lineRule="exact"/>
              <w:ind w:firstLine="0" w:firstLineChars="0"/>
              <w:jc w:val="left"/>
              <w:rPr>
                <w:color w:val="000000" w:themeColor="text1"/>
                <w:szCs w:val="21"/>
                <w:highlight w:val="none"/>
                <w14:textFill>
                  <w14:solidFill>
                    <w14:schemeClr w14:val="tx1"/>
                  </w14:solidFill>
                </w14:textFill>
              </w:rPr>
            </w:pPr>
            <w:r>
              <w:rPr>
                <w:b w:val="0"/>
                <w:bCs/>
                <w:color w:val="000000" w:themeColor="text1"/>
                <w:szCs w:val="21"/>
                <w:highlight w:val="none"/>
                <w14:textFill>
                  <w14:solidFill>
                    <w14:schemeClr w14:val="tx1"/>
                  </w14:solidFill>
                </w14:textFill>
              </w:rPr>
              <w:t>审批</w:t>
            </w:r>
            <w:r>
              <w:rPr>
                <w:rFonts w:hint="eastAsia"/>
                <w:b w:val="0"/>
                <w:bCs/>
                <w:color w:val="000000" w:themeColor="text1"/>
                <w:szCs w:val="21"/>
                <w:highlight w:val="none"/>
                <w14:textFill>
                  <w14:solidFill>
                    <w14:schemeClr w14:val="tx1"/>
                  </w14:solidFill>
                </w14:textFill>
              </w:rPr>
              <w:t>文件</w:t>
            </w:r>
            <w:r>
              <w:rPr>
                <w:b w:val="0"/>
                <w:bCs/>
                <w:color w:val="000000" w:themeColor="text1"/>
                <w:szCs w:val="21"/>
                <w:highlight w:val="none"/>
                <w14:textFill>
                  <w14:solidFill>
                    <w14:schemeClr w14:val="tx1"/>
                  </w14:solidFill>
                </w14:textFill>
              </w:rPr>
              <w:t>及文号：</w:t>
            </w:r>
            <w:r>
              <w:rPr>
                <w:color w:val="000000" w:themeColor="text1"/>
                <w:szCs w:val="21"/>
                <w:highlight w:val="none"/>
                <w14:textFill>
                  <w14:solidFill>
                    <w14:schemeClr w14:val="tx1"/>
                  </w14:solidFill>
                </w14:textFill>
              </w:rPr>
              <w:t>《关于重庆市合川工业园区南溪组团南溪片区控制性详细规划（修改）的批复》（合川府〔2016〕61号）</w:t>
            </w:r>
          </w:p>
        </w:tc>
      </w:tr>
      <w:tr w14:paraId="6E8DF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gridSpan w:val="3"/>
            <w:vAlign w:val="center"/>
          </w:tcPr>
          <w:p w14:paraId="5CD01A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规划环境影响评价情况</w:t>
            </w:r>
          </w:p>
        </w:tc>
        <w:tc>
          <w:tcPr>
            <w:tcW w:w="7769" w:type="dxa"/>
            <w:gridSpan w:val="3"/>
            <w:vAlign w:val="center"/>
          </w:tcPr>
          <w:p w14:paraId="67E64F6D">
            <w:pPr>
              <w:autoSpaceDE w:val="0"/>
              <w:autoSpaceDN w:val="0"/>
              <w:adjustRightInd w:val="0"/>
              <w:snapToGrid w:val="0"/>
              <w:spacing w:line="400" w:lineRule="exact"/>
              <w:ind w:firstLine="0" w:firstLineChars="0"/>
              <w:jc w:val="left"/>
              <w:rPr>
                <w:rFonts w:hint="default" w:ascii="Times New Roman" w:hAnsi="Times New Roman" w:cs="Times New Roman"/>
                <w:b w:val="0"/>
                <w:bCs/>
                <w:color w:val="000000" w:themeColor="text1"/>
                <w:szCs w:val="21"/>
                <w:highlight w:val="none"/>
                <w14:textFill>
                  <w14:solidFill>
                    <w14:schemeClr w14:val="tx1"/>
                  </w14:solidFill>
                </w14:textFill>
              </w:rPr>
            </w:pPr>
            <w:r>
              <w:rPr>
                <w:rFonts w:hint="default" w:ascii="Times New Roman" w:hAnsi="Times New Roman" w:cs="Times New Roman"/>
                <w:b w:val="0"/>
                <w:bCs/>
                <w:color w:val="000000" w:themeColor="text1"/>
                <w:szCs w:val="21"/>
                <w:highlight w:val="none"/>
                <w14:textFill>
                  <w14:solidFill>
                    <w14:schemeClr w14:val="tx1"/>
                  </w14:solidFill>
                </w14:textFill>
              </w:rPr>
              <w:t>文件名称：《合川工业园区南溪组团、渭沱组团B区规划环境影响报告书》</w:t>
            </w:r>
          </w:p>
          <w:p w14:paraId="76143E1F">
            <w:pPr>
              <w:autoSpaceDE w:val="0"/>
              <w:autoSpaceDN w:val="0"/>
              <w:adjustRightInd w:val="0"/>
              <w:snapToGrid w:val="0"/>
              <w:spacing w:line="400" w:lineRule="exact"/>
              <w:ind w:firstLine="0" w:firstLineChars="0"/>
              <w:jc w:val="left"/>
              <w:rPr>
                <w:rFonts w:hint="default" w:ascii="Times New Roman" w:hAnsi="Times New Roman" w:cs="Times New Roman"/>
                <w:b w:val="0"/>
                <w:bCs/>
                <w:color w:val="000000" w:themeColor="text1"/>
                <w:szCs w:val="21"/>
                <w:highlight w:val="none"/>
                <w14:textFill>
                  <w14:solidFill>
                    <w14:schemeClr w14:val="tx1"/>
                  </w14:solidFill>
                </w14:textFill>
              </w:rPr>
            </w:pPr>
            <w:r>
              <w:rPr>
                <w:rFonts w:hint="default" w:ascii="Times New Roman" w:hAnsi="Times New Roman" w:cs="Times New Roman"/>
                <w:b w:val="0"/>
                <w:bCs/>
                <w:color w:val="000000" w:themeColor="text1"/>
                <w:szCs w:val="21"/>
                <w:highlight w:val="none"/>
                <w14:textFill>
                  <w14:solidFill>
                    <w14:schemeClr w14:val="tx1"/>
                  </w14:solidFill>
                </w14:textFill>
              </w:rPr>
              <w:t>审查机关：重庆市生态环境局</w:t>
            </w:r>
          </w:p>
          <w:p w14:paraId="70502046">
            <w:pPr>
              <w:autoSpaceDE w:val="0"/>
              <w:autoSpaceDN w:val="0"/>
              <w:adjustRightInd w:val="0"/>
              <w:snapToGrid w:val="0"/>
              <w:spacing w:line="400" w:lineRule="exact"/>
              <w:ind w:firstLine="0" w:firstLineChars="0"/>
              <w:jc w:val="left"/>
              <w:rPr>
                <w:color w:val="000000" w:themeColor="text1"/>
                <w:highlight w:val="none"/>
                <w14:textFill>
                  <w14:solidFill>
                    <w14:schemeClr w14:val="tx1"/>
                  </w14:solidFill>
                </w14:textFill>
              </w:rPr>
            </w:pPr>
            <w:r>
              <w:rPr>
                <w:rFonts w:hint="default" w:ascii="Times New Roman" w:hAnsi="Times New Roman" w:cs="Times New Roman"/>
                <w:b w:val="0"/>
                <w:bCs/>
                <w:color w:val="000000" w:themeColor="text1"/>
                <w:szCs w:val="21"/>
                <w:highlight w:val="none"/>
                <w14:textFill>
                  <w14:solidFill>
                    <w14:schemeClr w14:val="tx1"/>
                  </w14:solidFill>
                </w14:textFill>
              </w:rPr>
              <w:t>审查文件及文号：</w:t>
            </w:r>
            <w:r>
              <w:rPr>
                <w:rFonts w:hint="eastAsia"/>
                <w:color w:val="000000" w:themeColor="text1"/>
                <w:szCs w:val="21"/>
                <w:highlight w:val="none"/>
                <w14:textFill>
                  <w14:solidFill>
                    <w14:schemeClr w14:val="tx1"/>
                  </w14:solidFill>
                </w14:textFill>
              </w:rPr>
              <w:t>《重庆市生态环境局关于合川工业园区南溪组团、渭沱组团B区规划环境影响报告书审查意见的函》渝环函〔2019〕</w:t>
            </w:r>
            <w:r>
              <w:rPr>
                <w:color w:val="000000" w:themeColor="text1"/>
                <w:szCs w:val="21"/>
                <w:highlight w:val="none"/>
                <w14:textFill>
                  <w14:solidFill>
                    <w14:schemeClr w14:val="tx1"/>
                  </w14:solidFill>
                </w14:textFill>
              </w:rPr>
              <w:t>1169</w:t>
            </w:r>
            <w:r>
              <w:rPr>
                <w:rFonts w:hint="eastAsia"/>
                <w:color w:val="000000" w:themeColor="text1"/>
                <w:szCs w:val="21"/>
                <w:highlight w:val="none"/>
                <w14:textFill>
                  <w14:solidFill>
                    <w14:schemeClr w14:val="tx1"/>
                  </w14:solidFill>
                </w14:textFill>
              </w:rPr>
              <w:t>号</w:t>
            </w:r>
          </w:p>
        </w:tc>
      </w:tr>
      <w:tr w14:paraId="65028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1" w:type="dxa"/>
            <w:vAlign w:val="center"/>
          </w:tcPr>
          <w:p w14:paraId="04C2AE6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规划及规划环境影响评价符合性分析</w:t>
            </w:r>
          </w:p>
        </w:tc>
        <w:tc>
          <w:tcPr>
            <w:tcW w:w="8851" w:type="dxa"/>
            <w:gridSpan w:val="5"/>
            <w:vAlign w:val="center"/>
          </w:tcPr>
          <w:p w14:paraId="5272A66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1.1</w:t>
            </w:r>
            <w:r>
              <w:rPr>
                <w:rFonts w:hint="eastAsia"/>
                <w:b/>
                <w:color w:val="000000" w:themeColor="text1"/>
                <w:highlight w:val="none"/>
                <w14:textFill>
                  <w14:solidFill>
                    <w14:schemeClr w14:val="tx1"/>
                  </w14:solidFill>
                </w14:textFill>
              </w:rPr>
              <w:t>规划及规划环境影响评价符合性分析</w:t>
            </w:r>
          </w:p>
          <w:p w14:paraId="322B115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1.1.1</w:t>
            </w:r>
            <w:r>
              <w:rPr>
                <w:rFonts w:hint="eastAsia"/>
                <w:b/>
                <w:color w:val="000000" w:themeColor="text1"/>
                <w:highlight w:val="none"/>
                <w14:textFill>
                  <w14:solidFill>
                    <w14:schemeClr w14:val="tx1"/>
                  </w14:solidFill>
                </w14:textFill>
              </w:rPr>
              <w:t>与《重庆市合川工业园区南溪组团南溪片区控制性详细规划》（2016年修改）符合性分析</w:t>
            </w:r>
          </w:p>
          <w:p w14:paraId="507051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南溪组团：以发展电子信息、装备制造、医药、食品为主，居住商业配套为辅的科技领先、经济繁荣、环境优美的工业园，禁止化学合成、化学原料药的生产。规划范围：规划面积为13.48km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，四至范围为：东起东津沱、南至米坊村、进士村、西至南津街街道办事处的花园村、南屏村，东至盐井镇的石庙村、建梁村。后续</w:t>
            </w:r>
            <w:r>
              <w:rPr>
                <w:rFonts w:hint="eastAsia"/>
                <w:color w:val="000000" w:themeColor="text1"/>
                <w:highlight w:val="none"/>
                <w:lang w:eastAsia="zh-CN"/>
                <w14:textFill>
                  <w14:solidFill>
                    <w14:schemeClr w14:val="tx1"/>
                  </w14:solidFill>
                </w14:textFill>
              </w:rPr>
              <w:t>发展</w:t>
            </w:r>
            <w:r>
              <w:rPr>
                <w:rFonts w:hint="eastAsia"/>
                <w:color w:val="000000" w:themeColor="text1"/>
                <w:highlight w:val="none"/>
                <w14:textFill>
                  <w14:solidFill>
                    <w14:schemeClr w14:val="tx1"/>
                  </w14:solidFill>
                </w14:textFill>
              </w:rPr>
              <w:t>主导产业为装备制造、电子信息、医药。</w:t>
            </w:r>
          </w:p>
          <w:p w14:paraId="573DDB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rFonts w:hint="eastAsia"/>
                <w:color w:val="000000" w:themeColor="text1"/>
                <w:highlight w:val="none"/>
                <w14:textFill>
                  <w14:solidFill>
                    <w14:schemeClr w14:val="tx1"/>
                  </w14:solidFill>
                </w14:textFill>
              </w:rPr>
              <w:t>项目位于</w:t>
            </w:r>
            <w:r>
              <w:rPr>
                <w:rFonts w:hint="eastAsia"/>
                <w:color w:val="000000" w:themeColor="text1"/>
                <w:sz w:val="24"/>
                <w:szCs w:val="24"/>
                <w:highlight w:val="none"/>
                <w14:textFill>
                  <w14:solidFill>
                    <w14:schemeClr w14:val="tx1"/>
                  </w14:solidFill>
                </w14:textFill>
              </w:rPr>
              <w:t>合川工业园区南溪组团</w:t>
            </w:r>
            <w:r>
              <w:rPr>
                <w:rFonts w:hint="eastAsia"/>
                <w:color w:val="000000" w:themeColor="text1"/>
                <w:sz w:val="24"/>
                <w:szCs w:val="24"/>
                <w:highlight w:val="none"/>
                <w:lang w:val="en-US" w:eastAsia="zh-CN"/>
                <w14:textFill>
                  <w14:solidFill>
                    <w14:schemeClr w14:val="tx1"/>
                  </w14:solidFill>
                </w14:textFill>
              </w:rPr>
              <w:t>A区</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属于</w:t>
            </w:r>
            <w:r>
              <w:rPr>
                <w:rFonts w:hint="eastAsia"/>
                <w:color w:val="000000" w:themeColor="text1"/>
                <w:highlight w:val="none"/>
                <w14:textFill>
                  <w14:solidFill>
                    <w14:schemeClr w14:val="tx1"/>
                  </w14:solidFill>
                </w14:textFill>
              </w:rPr>
              <w:t>农副食品加工业，不属于化学合成、化学原料药生产业，符合规划。</w:t>
            </w:r>
          </w:p>
          <w:p w14:paraId="7D05B0F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1.1.2</w:t>
            </w:r>
            <w:r>
              <w:rPr>
                <w:rFonts w:hint="eastAsia"/>
                <w:b/>
                <w:color w:val="000000" w:themeColor="text1"/>
                <w:highlight w:val="none"/>
                <w14:textFill>
                  <w14:solidFill>
                    <w14:schemeClr w14:val="tx1"/>
                  </w14:solidFill>
                </w14:textFill>
              </w:rPr>
              <w:t>与</w:t>
            </w:r>
            <w:r>
              <w:rPr>
                <w:b/>
                <w:color w:val="000000" w:themeColor="text1"/>
                <w:highlight w:val="none"/>
                <w14:textFill>
                  <w14:solidFill>
                    <w14:schemeClr w14:val="tx1"/>
                  </w14:solidFill>
                </w14:textFill>
              </w:rPr>
              <w:t>《合川工业园区南溪组团、渭沱组团B区规划环境影响报告书》及其</w:t>
            </w:r>
            <w:r>
              <w:rPr>
                <w:rFonts w:hint="eastAsia"/>
                <w:b/>
                <w:color w:val="000000" w:themeColor="text1"/>
                <w:highlight w:val="none"/>
                <w14:textFill>
                  <w14:solidFill>
                    <w14:schemeClr w14:val="tx1"/>
                  </w14:solidFill>
                </w14:textFill>
              </w:rPr>
              <w:t>审查意见</w:t>
            </w:r>
            <w:r>
              <w:rPr>
                <w:b/>
                <w:color w:val="000000" w:themeColor="text1"/>
                <w:highlight w:val="none"/>
                <w14:textFill>
                  <w14:solidFill>
                    <w14:schemeClr w14:val="tx1"/>
                  </w14:solidFill>
                </w14:textFill>
              </w:rPr>
              <w:t>（渝环函</w:t>
            </w:r>
            <w:r>
              <w:rPr>
                <w:rFonts w:hint="eastAsia"/>
                <w:b/>
                <w:color w:val="000000" w:themeColor="text1"/>
                <w:highlight w:val="none"/>
                <w:lang w:eastAsia="zh-CN"/>
                <w14:textFill>
                  <w14:solidFill>
                    <w14:schemeClr w14:val="tx1"/>
                  </w14:solidFill>
                </w14:textFill>
              </w:rPr>
              <w:t>〔</w:t>
            </w:r>
            <w:r>
              <w:rPr>
                <w:b/>
                <w:color w:val="000000" w:themeColor="text1"/>
                <w:highlight w:val="none"/>
                <w14:textFill>
                  <w14:solidFill>
                    <w14:schemeClr w14:val="tx1"/>
                  </w14:solidFill>
                </w14:textFill>
              </w:rPr>
              <w:t>2019</w:t>
            </w:r>
            <w:r>
              <w:rPr>
                <w:rFonts w:hint="eastAsia"/>
                <w:b/>
                <w:color w:val="000000" w:themeColor="text1"/>
                <w:highlight w:val="none"/>
                <w:lang w:eastAsia="zh-CN"/>
                <w14:textFill>
                  <w14:solidFill>
                    <w14:schemeClr w14:val="tx1"/>
                  </w14:solidFill>
                </w14:textFill>
              </w:rPr>
              <w:t>〕</w:t>
            </w:r>
            <w:r>
              <w:rPr>
                <w:b/>
                <w:color w:val="000000" w:themeColor="text1"/>
                <w:highlight w:val="none"/>
                <w14:textFill>
                  <w14:solidFill>
                    <w14:schemeClr w14:val="tx1"/>
                  </w14:solidFill>
                </w14:textFill>
              </w:rPr>
              <w:t>1169号）</w:t>
            </w:r>
            <w:r>
              <w:rPr>
                <w:rFonts w:hint="eastAsia"/>
                <w:b/>
                <w:color w:val="000000" w:themeColor="text1"/>
                <w:highlight w:val="none"/>
                <w14:textFill>
                  <w14:solidFill>
                    <w14:schemeClr w14:val="tx1"/>
                  </w14:solidFill>
                </w14:textFill>
              </w:rPr>
              <w:t>符合性分析</w:t>
            </w:r>
          </w:p>
          <w:p w14:paraId="143BF72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bookmarkStart w:id="2" w:name="OLE_LINK6"/>
            <w:r>
              <w:rPr>
                <w:color w:val="000000" w:themeColor="text1"/>
                <w:highlight w:val="none"/>
                <w14:textFill>
                  <w14:solidFill>
                    <w14:schemeClr w14:val="tx1"/>
                  </w14:solidFill>
                </w14:textFill>
              </w:rPr>
              <w:t>《合川工业园区南溪组团、渭沱组团B区规划环境影响报告书》及其</w:t>
            </w:r>
            <w:r>
              <w:rPr>
                <w:rFonts w:hint="eastAsia"/>
                <w:color w:val="000000" w:themeColor="text1"/>
                <w:highlight w:val="none"/>
                <w14:textFill>
                  <w14:solidFill>
                    <w14:schemeClr w14:val="tx1"/>
                  </w14:solidFill>
                </w14:textFill>
              </w:rPr>
              <w:t>审查意见</w:t>
            </w:r>
            <w:r>
              <w:rPr>
                <w:color w:val="000000" w:themeColor="text1"/>
                <w:highlight w:val="none"/>
                <w14:textFill>
                  <w14:solidFill>
                    <w14:schemeClr w14:val="tx1"/>
                  </w14:solidFill>
                </w14:textFill>
              </w:rPr>
              <w:t>（渝环函</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2019</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1169号）</w:t>
            </w:r>
            <w:bookmarkEnd w:id="2"/>
            <w:r>
              <w:rPr>
                <w:color w:val="000000" w:themeColor="text1"/>
                <w:highlight w:val="none"/>
                <w14:textFill>
                  <w14:solidFill>
                    <w14:schemeClr w14:val="tx1"/>
                  </w14:solidFill>
                </w14:textFill>
              </w:rPr>
              <w:t>。与园区规划环评及其批复的符合性分析见表1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2C6E4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highlight w:val="none"/>
                <w:lang w:val="zh-CN"/>
                <w14:textFill>
                  <w14:solidFill>
                    <w14:schemeClr w14:val="tx1"/>
                  </w14:solidFill>
                </w14:textFill>
              </w:rPr>
            </w:pPr>
            <w:r>
              <w:rPr>
                <w:b/>
                <w:color w:val="000000" w:themeColor="text1"/>
                <w:highlight w:val="none"/>
                <w:lang w:val="zh-CN"/>
                <w14:textFill>
                  <w14:solidFill>
                    <w14:schemeClr w14:val="tx1"/>
                  </w14:solidFill>
                </w14:textFill>
              </w:rPr>
              <w:t>表1</w:t>
            </w:r>
            <w:r>
              <w:rPr>
                <w:rFonts w:hint="eastAsia"/>
                <w:b/>
                <w:color w:val="000000" w:themeColor="text1"/>
                <w:highlight w:val="none"/>
                <w:lang w:val="en-US" w:eastAsia="zh-CN"/>
                <w14:textFill>
                  <w14:solidFill>
                    <w14:schemeClr w14:val="tx1"/>
                  </w14:solidFill>
                </w14:textFill>
              </w:rPr>
              <w:t>.1</w:t>
            </w:r>
            <w:r>
              <w:rPr>
                <w:b/>
                <w:color w:val="000000" w:themeColor="text1"/>
                <w:highlight w:val="none"/>
                <w:lang w:val="zh-CN"/>
                <w14:textFill>
                  <w14:solidFill>
                    <w14:schemeClr w14:val="tx1"/>
                  </w14:solidFill>
                </w14:textFill>
              </w:rPr>
              <w:t>-</w:t>
            </w:r>
            <w:r>
              <w:rPr>
                <w:rFonts w:hint="eastAsia"/>
                <w:b/>
                <w:color w:val="000000" w:themeColor="text1"/>
                <w:highlight w:val="none"/>
                <w:lang w:val="en-US" w:eastAsia="zh-CN"/>
                <w14:textFill>
                  <w14:solidFill>
                    <w14:schemeClr w14:val="tx1"/>
                  </w14:solidFill>
                </w14:textFill>
              </w:rPr>
              <w:t>1</w:t>
            </w:r>
            <w:r>
              <w:rPr>
                <w:b/>
                <w:color w:val="000000" w:themeColor="text1"/>
                <w:highlight w:val="none"/>
                <w:lang w:val="zh-CN"/>
                <w14:textFill>
                  <w14:solidFill>
                    <w14:schemeClr w14:val="tx1"/>
                  </w14:solidFill>
                </w14:textFill>
              </w:rPr>
              <w:t>项目</w:t>
            </w:r>
            <w:r>
              <w:rPr>
                <w:b/>
                <w:color w:val="000000" w:themeColor="text1"/>
                <w:highlight w:val="none"/>
                <w14:textFill>
                  <w14:solidFill>
                    <w14:schemeClr w14:val="tx1"/>
                  </w14:solidFill>
                </w14:textFill>
              </w:rPr>
              <w:t>与南溪组团A区生态环境准入负面清单的符合性分析表</w:t>
            </w:r>
          </w:p>
          <w:tbl>
            <w:tblPr>
              <w:tblStyle w:val="28"/>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963"/>
              <w:gridCol w:w="4309"/>
              <w:gridCol w:w="2153"/>
              <w:gridCol w:w="664"/>
            </w:tblGrid>
            <w:tr w14:paraId="4D16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tcBorders>
                    <w:tl2br w:val="nil"/>
                    <w:tr2bl w:val="nil"/>
                  </w:tcBorders>
                  <w:vAlign w:val="center"/>
                </w:tcPr>
                <w:p w14:paraId="105B08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分类</w:t>
                  </w:r>
                </w:p>
              </w:tc>
              <w:tc>
                <w:tcPr>
                  <w:tcW w:w="2475" w:type="pct"/>
                  <w:tcBorders>
                    <w:tl2br w:val="nil"/>
                    <w:tr2bl w:val="nil"/>
                  </w:tcBorders>
                  <w:vAlign w:val="center"/>
                </w:tcPr>
                <w:p w14:paraId="252FC3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清单内容</w:t>
                  </w:r>
                </w:p>
              </w:tc>
              <w:tc>
                <w:tcPr>
                  <w:tcW w:w="1236" w:type="pct"/>
                  <w:tcBorders>
                    <w:tl2br w:val="nil"/>
                    <w:tr2bl w:val="nil"/>
                  </w:tcBorders>
                  <w:vAlign w:val="center"/>
                </w:tcPr>
                <w:p w14:paraId="5BD438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项目情况</w:t>
                  </w:r>
                </w:p>
              </w:tc>
              <w:tc>
                <w:tcPr>
                  <w:tcW w:w="381" w:type="pct"/>
                  <w:tcBorders>
                    <w:tl2br w:val="nil"/>
                    <w:tr2bl w:val="nil"/>
                  </w:tcBorders>
                  <w:vAlign w:val="center"/>
                </w:tcPr>
                <w:p w14:paraId="7B635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符合性</w:t>
                  </w:r>
                </w:p>
              </w:tc>
            </w:tr>
            <w:tr w14:paraId="3348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vMerge w:val="restart"/>
                  <w:tcBorders>
                    <w:tl2br w:val="nil"/>
                    <w:tr2bl w:val="nil"/>
                  </w:tcBorders>
                  <w:vAlign w:val="center"/>
                </w:tcPr>
                <w:p w14:paraId="3D7B3E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2475" w:type="pct"/>
                  <w:tcBorders>
                    <w:tl2br w:val="nil"/>
                    <w:tr2bl w:val="nil"/>
                  </w:tcBorders>
                  <w:vAlign w:val="center"/>
                </w:tcPr>
                <w:p w14:paraId="1F142D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缙云山国家级风景名胜区、九峰山市级森林公园外围300m缓冲带区域原则上按照环境空气一类功能区对应要求进行管理；对临近环境空气一类功能区一侧工业用地不宜布置废气排放量大的企业，增强靠近九峰山市级森林公园一侧防护绿化；</w:t>
                  </w:r>
                </w:p>
              </w:tc>
              <w:tc>
                <w:tcPr>
                  <w:tcW w:w="1236" w:type="pct"/>
                  <w:tcBorders>
                    <w:tl2br w:val="nil"/>
                    <w:tr2bl w:val="nil"/>
                  </w:tcBorders>
                  <w:vAlign w:val="center"/>
                </w:tcPr>
                <w:p w14:paraId="06C6FD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项目不在300m缓冲带区域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，距</w:t>
                  </w:r>
                  <w:r>
                    <w:rPr>
                      <w:rFonts w:hint="default" w:ascii="Times New Roman" w:hAnsi="Times New Roman" w:eastAsia="宋体" w:cs="Times New Roman"/>
                      <w:color w:val="000000" w:themeColor="text1"/>
                      <w:sz w:val="21"/>
                      <w:szCs w:val="21"/>
                      <w:highlight w:val="none"/>
                      <w14:textFill>
                        <w14:solidFill>
                          <w14:schemeClr w14:val="tx1"/>
                        </w14:solidFill>
                      </w14:textFill>
                    </w:rPr>
                    <w:t>九峰山市级森林公园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3.3km</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481C8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43F1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vMerge w:val="continue"/>
                  <w:tcBorders>
                    <w:tl2br w:val="nil"/>
                    <w:tr2bl w:val="nil"/>
                  </w:tcBorders>
                  <w:vAlign w:val="center"/>
                </w:tcPr>
                <w:p w14:paraId="2F87E8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75" w:type="pct"/>
                  <w:tcBorders>
                    <w:tl2br w:val="nil"/>
                    <w:tr2bl w:val="nil"/>
                  </w:tcBorders>
                  <w:vAlign w:val="center"/>
                </w:tcPr>
                <w:p w14:paraId="4E5B6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规划区内企业入驻时应优化环境防护距离设置，以防范产业园区涉生态环境</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邻避</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问题为出发点，将环境防护距离优化控制在园区边界或用地红线内；</w:t>
                  </w:r>
                </w:p>
              </w:tc>
              <w:tc>
                <w:tcPr>
                  <w:tcW w:w="1236" w:type="pct"/>
                  <w:tcBorders>
                    <w:tl2br w:val="nil"/>
                    <w:tr2bl w:val="nil"/>
                  </w:tcBorders>
                  <w:vAlign w:val="center"/>
                </w:tcPr>
                <w:p w14:paraId="6A9C0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项目不涉及环境防护距离</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46CD5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96F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tcBorders>
                    <w:tl2br w:val="nil"/>
                    <w:tr2bl w:val="nil"/>
                  </w:tcBorders>
                  <w:vAlign w:val="center"/>
                </w:tcPr>
                <w:p w14:paraId="2A61CA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553" w:type="pct"/>
                  <w:tcBorders>
                    <w:tl2br w:val="nil"/>
                    <w:tr2bl w:val="nil"/>
                  </w:tcBorders>
                  <w:vAlign w:val="center"/>
                </w:tcPr>
                <w:p w14:paraId="2BAF8E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水污染控制措施要求</w:t>
                  </w:r>
                </w:p>
              </w:tc>
              <w:tc>
                <w:tcPr>
                  <w:tcW w:w="2475" w:type="pct"/>
                  <w:tcBorders>
                    <w:tl2br w:val="nil"/>
                    <w:tr2bl w:val="nil"/>
                  </w:tcBorders>
                  <w:vAlign w:val="center"/>
                </w:tcPr>
                <w:p w14:paraId="43AADA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规划区废水全部进入污水处理厂处理达标后排放，水污染物达标排放率100%；</w:t>
                  </w:r>
                </w:p>
              </w:tc>
              <w:tc>
                <w:tcPr>
                  <w:tcW w:w="1236" w:type="pct"/>
                  <w:tcBorders>
                    <w:tl2br w:val="nil"/>
                    <w:tr2bl w:val="nil"/>
                  </w:tcBorders>
                  <w:vAlign w:val="center"/>
                </w:tcPr>
                <w:p w14:paraId="7DD529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项目排放的废水最终均排至园区污水处理厂处理，达标率为100%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388BFA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40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52693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3" w:type="pct"/>
                  <w:tcBorders>
                    <w:tl2br w:val="nil"/>
                    <w:tr2bl w:val="nil"/>
                  </w:tcBorders>
                  <w:vAlign w:val="center"/>
                </w:tcPr>
                <w:p w14:paraId="17F901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大气污染物控制措施要求</w:t>
                  </w:r>
                </w:p>
              </w:tc>
              <w:tc>
                <w:tcPr>
                  <w:tcW w:w="2475" w:type="pct"/>
                  <w:tcBorders>
                    <w:tl2br w:val="nil"/>
                    <w:tr2bl w:val="nil"/>
                  </w:tcBorders>
                  <w:vAlign w:val="center"/>
                </w:tcPr>
                <w:p w14:paraId="3D1424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涉及挥发性有机污染物的排放的企业应按国家及重庆市</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十三五</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大气污染防治工作实施方案要求，采用低毒、低挥发性原辅材料，进行工艺改造，并对原辅材料储运、加工生产、废弃物处置等环节实施全过程控制；鼓励水泥、玻璃制品等行业在已达标的基础上深度治理，并持续实行水泥行业错峰生产；</w:t>
                  </w:r>
                </w:p>
              </w:tc>
              <w:tc>
                <w:tcPr>
                  <w:tcW w:w="1236" w:type="pct"/>
                  <w:tcBorders>
                    <w:tl2br w:val="nil"/>
                    <w:tr2bl w:val="nil"/>
                  </w:tcBorders>
                  <w:vAlign w:val="center"/>
                </w:tcPr>
                <w:p w14:paraId="7CA29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排放，且不属于水泥、玻璃制品等行业。</w:t>
                  </w:r>
                </w:p>
              </w:tc>
              <w:tc>
                <w:tcPr>
                  <w:tcW w:w="381" w:type="pct"/>
                  <w:tcBorders>
                    <w:tl2br w:val="nil"/>
                    <w:tr2bl w:val="nil"/>
                  </w:tcBorders>
                  <w:vAlign w:val="center"/>
                </w:tcPr>
                <w:p w14:paraId="653F16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4499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5C34C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3" w:type="pct"/>
                  <w:tcBorders>
                    <w:tl2br w:val="nil"/>
                    <w:tr2bl w:val="nil"/>
                  </w:tcBorders>
                  <w:vAlign w:val="center"/>
                </w:tcPr>
                <w:p w14:paraId="11FAFD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固体废物处置措施</w:t>
                  </w:r>
                </w:p>
              </w:tc>
              <w:tc>
                <w:tcPr>
                  <w:tcW w:w="2475" w:type="pct"/>
                  <w:tcBorders>
                    <w:tl2br w:val="nil"/>
                    <w:tr2bl w:val="nil"/>
                  </w:tcBorders>
                  <w:vAlign w:val="center"/>
                </w:tcPr>
                <w:p w14:paraId="7BFC1B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工业固体废物综合利用率达到95.5%；</w:t>
                  </w:r>
                </w:p>
              </w:tc>
              <w:tc>
                <w:tcPr>
                  <w:tcW w:w="1236" w:type="pct"/>
                  <w:tcBorders>
                    <w:tl2br w:val="nil"/>
                    <w:tr2bl w:val="nil"/>
                  </w:tcBorders>
                  <w:vAlign w:val="center"/>
                </w:tcPr>
                <w:p w14:paraId="1DA17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项目工业固体废物</w:t>
                  </w:r>
                  <w:r>
                    <w:rPr>
                      <w:rFonts w:hint="eastAsia" w:cs="Times New Roman"/>
                      <w:color w:val="000000" w:themeColor="text1"/>
                      <w:sz w:val="21"/>
                      <w:szCs w:val="21"/>
                      <w:highlight w:val="none"/>
                      <w:lang w:eastAsia="zh-CN"/>
                      <w14:textFill>
                        <w14:solidFill>
                          <w14:schemeClr w14:val="tx1"/>
                        </w14:solidFill>
                      </w14:textFill>
                    </w:rPr>
                    <w:t>均能</w:t>
                  </w:r>
                  <w:r>
                    <w:rPr>
                      <w:rFonts w:hint="default" w:ascii="Times New Roman" w:hAnsi="Times New Roman" w:eastAsia="宋体" w:cs="Times New Roman"/>
                      <w:color w:val="000000" w:themeColor="text1"/>
                      <w:sz w:val="21"/>
                      <w:szCs w:val="21"/>
                      <w:highlight w:val="none"/>
                      <w14:textFill>
                        <w14:solidFill>
                          <w14:schemeClr w14:val="tx1"/>
                        </w14:solidFill>
                      </w14:textFill>
                    </w:rPr>
                    <w:t>全部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综合</w:t>
                  </w:r>
                  <w:r>
                    <w:rPr>
                      <w:rFonts w:hint="eastAsia" w:cs="Times New Roman"/>
                      <w:color w:val="000000" w:themeColor="text1"/>
                      <w:sz w:val="21"/>
                      <w:szCs w:val="21"/>
                      <w:highlight w:val="none"/>
                      <w:lang w:eastAsia="zh-CN"/>
                      <w14:textFill>
                        <w14:solidFill>
                          <w14:schemeClr w14:val="tx1"/>
                        </w14:solidFill>
                      </w14:textFill>
                    </w:rPr>
                    <w:t>利用或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处置</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81" w:type="pct"/>
                  <w:tcBorders>
                    <w:tl2br w:val="nil"/>
                    <w:tr2bl w:val="nil"/>
                  </w:tcBorders>
                  <w:vAlign w:val="center"/>
                </w:tcPr>
                <w:p w14:paraId="17878D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A47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tcBorders>
                    <w:tl2br w:val="nil"/>
                    <w:tr2bl w:val="nil"/>
                  </w:tcBorders>
                  <w:vAlign w:val="center"/>
                </w:tcPr>
                <w:p w14:paraId="0612A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2475" w:type="pct"/>
                  <w:tcBorders>
                    <w:tl2br w:val="nil"/>
                    <w:tr2bl w:val="nil"/>
                  </w:tcBorders>
                  <w:vAlign w:val="center"/>
                </w:tcPr>
                <w:p w14:paraId="65C64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规划区建设三级（车间、厂区、规划区）环境风险防控体系；督促规划区内各企业加强环境风险防控，建设防止环境风险物质</w:t>
                  </w:r>
                  <w:r>
                    <w:rPr>
                      <w:rFonts w:hint="eastAsia" w:cs="Times New Roman"/>
                      <w:color w:val="000000" w:themeColor="text1"/>
                      <w:sz w:val="21"/>
                      <w:szCs w:val="21"/>
                      <w:highlight w:val="none"/>
                      <w:lang w:eastAsia="zh-CN"/>
                      <w14:textFill>
                        <w14:solidFill>
                          <w14:schemeClr w14:val="tx1"/>
                        </w14:solidFill>
                      </w14:textFill>
                    </w:rPr>
                    <w:t>泄漏</w:t>
                  </w:r>
                  <w:r>
                    <w:rPr>
                      <w:rFonts w:hint="default" w:ascii="Times New Roman" w:hAnsi="Times New Roman" w:eastAsia="宋体" w:cs="Times New Roman"/>
                      <w:color w:val="000000" w:themeColor="text1"/>
                      <w:sz w:val="21"/>
                      <w:szCs w:val="21"/>
                      <w:highlight w:val="none"/>
                      <w14:textFill>
                        <w14:solidFill>
                          <w14:schemeClr w14:val="tx1"/>
                        </w14:solidFill>
                      </w14:textFill>
                    </w:rPr>
                    <w:t>扩散的封堵、围栏、喷淋、吸收、收集、处理等应急设施；</w:t>
                  </w:r>
                </w:p>
              </w:tc>
              <w:tc>
                <w:tcPr>
                  <w:tcW w:w="1236" w:type="pct"/>
                  <w:tcBorders>
                    <w:tl2br w:val="nil"/>
                    <w:tr2bl w:val="nil"/>
                  </w:tcBorders>
                  <w:vAlign w:val="center"/>
                </w:tcPr>
                <w:p w14:paraId="519EF2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本项目风险物质为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废油</w:t>
                  </w:r>
                  <w:r>
                    <w:rPr>
                      <w:rFonts w:hint="eastAsia" w:cs="Times New Roman"/>
                      <w:color w:val="000000" w:themeColor="text1"/>
                      <w:sz w:val="21"/>
                      <w:szCs w:val="21"/>
                      <w:highlight w:val="none"/>
                      <w:lang w:eastAsia="zh-CN"/>
                      <w14:textFill>
                        <w14:solidFill>
                          <w14:schemeClr w14:val="tx1"/>
                        </w14:solidFill>
                      </w14:textFill>
                    </w:rPr>
                    <w:t>、废紫外灯</w:t>
                  </w:r>
                  <w:r>
                    <w:rPr>
                      <w:rFonts w:hint="default" w:ascii="Times New Roman" w:hAnsi="Times New Roman" w:eastAsia="宋体" w:cs="Times New Roman"/>
                      <w:color w:val="000000" w:themeColor="text1"/>
                      <w:sz w:val="21"/>
                      <w:szCs w:val="21"/>
                      <w:highlight w:val="none"/>
                      <w14:textFill>
                        <w14:solidFill>
                          <w14:schemeClr w14:val="tx1"/>
                        </w14:solidFill>
                      </w14:textFill>
                    </w:rPr>
                    <w:t>等，拟采取危险物质储存、使用安全管理和定期检查等风险防范措施，并依托所在园区的风险防控体系及应急设施。</w:t>
                  </w:r>
                </w:p>
              </w:tc>
              <w:tc>
                <w:tcPr>
                  <w:tcW w:w="381" w:type="pct"/>
                  <w:tcBorders>
                    <w:tl2br w:val="nil"/>
                    <w:tr2bl w:val="nil"/>
                  </w:tcBorders>
                  <w:vAlign w:val="center"/>
                </w:tcPr>
                <w:p w14:paraId="4F5608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7CCF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tcBorders>
                    <w:tl2br w:val="nil"/>
                    <w:tr2bl w:val="nil"/>
                  </w:tcBorders>
                  <w:vAlign w:val="center"/>
                </w:tcPr>
                <w:p w14:paraId="1C73D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资源利用效率</w:t>
                  </w:r>
                </w:p>
              </w:tc>
              <w:tc>
                <w:tcPr>
                  <w:tcW w:w="2475" w:type="pct"/>
                  <w:tcBorders>
                    <w:tl2br w:val="nil"/>
                    <w:tr2bl w:val="nil"/>
                  </w:tcBorders>
                  <w:vAlign w:val="center"/>
                </w:tcPr>
                <w:p w14:paraId="726B42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新建和改造的工业项目清洁生产水平不得低于国家清洁生产标准的国内先进水平。新建高耗能项目单位产品（产值）能耗要达到国际先进水平；</w:t>
                  </w:r>
                </w:p>
              </w:tc>
              <w:tc>
                <w:tcPr>
                  <w:tcW w:w="1236" w:type="pct"/>
                  <w:tcBorders>
                    <w:tl2br w:val="nil"/>
                    <w:tr2bl w:val="nil"/>
                  </w:tcBorders>
                  <w:vAlign w:val="center"/>
                </w:tcPr>
                <w:p w14:paraId="0CD073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项目清洁生产水平不低于国家清洁生产标准的国内先进水平；项目不属于高耗能项目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02566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7D3B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vMerge w:val="restart"/>
                  <w:tcBorders>
                    <w:tl2br w:val="nil"/>
                    <w:tr2bl w:val="nil"/>
                  </w:tcBorders>
                  <w:vAlign w:val="center"/>
                </w:tcPr>
                <w:p w14:paraId="42E4B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禁止准入产业</w:t>
                  </w:r>
                </w:p>
              </w:tc>
              <w:tc>
                <w:tcPr>
                  <w:tcW w:w="2475" w:type="pct"/>
                  <w:tcBorders>
                    <w:tl2br w:val="nil"/>
                    <w:tr2bl w:val="nil"/>
                  </w:tcBorders>
                  <w:vAlign w:val="center"/>
                </w:tcPr>
                <w:p w14:paraId="4D3CBD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市场准入负面清单》、《关于发布长江经济带发展负面清单（指南）的通知》、《重庆市长江经济带发展负面清单实施细则（试行）》、《重庆市产业投资准入工作手册》（渝发改投[2018]541号）、《重庆市关于严格工业布局和准入的通知》（渝发改投[2018]781号）中提出的负面清单以及不予准入类项目；禁止引入资源环境绩效水平超过《重庆市工业项目环境准入规定》限值以及不符合生态建设和环境保护规划区域布局规定的工业项目；</w:t>
                  </w:r>
                </w:p>
              </w:tc>
              <w:tc>
                <w:tcPr>
                  <w:tcW w:w="1236" w:type="pct"/>
                  <w:tcBorders>
                    <w:tl2br w:val="nil"/>
                    <w:tr2bl w:val="nil"/>
                  </w:tcBorders>
                  <w:vAlign w:val="center"/>
                </w:tcPr>
                <w:p w14:paraId="7601C2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项目不属于负面清单及不予准入类项目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54AF8B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B7B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vMerge w:val="continue"/>
                  <w:tcBorders>
                    <w:tl2br w:val="nil"/>
                    <w:tr2bl w:val="nil"/>
                  </w:tcBorders>
                  <w:vAlign w:val="center"/>
                </w:tcPr>
                <w:p w14:paraId="6E4945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p>
              </w:tc>
              <w:tc>
                <w:tcPr>
                  <w:tcW w:w="2475" w:type="pct"/>
                  <w:tcBorders>
                    <w:tl2br w:val="nil"/>
                    <w:tr2bl w:val="nil"/>
                  </w:tcBorders>
                  <w:vAlign w:val="center"/>
                </w:tcPr>
                <w:p w14:paraId="131C9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禁止新建、扩建造纸、印染、化学原料药、电镀、铅酸电池、危险废物利用和处置、排放重金属以及存在严重环境安全风险的工业项目；</w:t>
                  </w:r>
                </w:p>
              </w:tc>
              <w:tc>
                <w:tcPr>
                  <w:tcW w:w="1236" w:type="pct"/>
                  <w:tcBorders>
                    <w:tl2br w:val="nil"/>
                    <w:tr2bl w:val="nil"/>
                  </w:tcBorders>
                  <w:vAlign w:val="center"/>
                </w:tcPr>
                <w:p w14:paraId="43461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不涉及。</w:t>
                  </w:r>
                </w:p>
              </w:tc>
              <w:tc>
                <w:tcPr>
                  <w:tcW w:w="381" w:type="pct"/>
                  <w:tcBorders>
                    <w:tl2br w:val="nil"/>
                    <w:tr2bl w:val="nil"/>
                  </w:tcBorders>
                  <w:vAlign w:val="center"/>
                </w:tcPr>
                <w:p w14:paraId="19270B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34F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vMerge w:val="continue"/>
                  <w:tcBorders>
                    <w:tl2br w:val="nil"/>
                    <w:tr2bl w:val="nil"/>
                  </w:tcBorders>
                  <w:vAlign w:val="center"/>
                </w:tcPr>
                <w:p w14:paraId="43F12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p>
              </w:tc>
              <w:tc>
                <w:tcPr>
                  <w:tcW w:w="2475" w:type="pct"/>
                  <w:tcBorders>
                    <w:tl2br w:val="nil"/>
                    <w:tr2bl w:val="nil"/>
                  </w:tcBorders>
                  <w:vAlign w:val="center"/>
                </w:tcPr>
                <w:p w14:paraId="5694D5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长江及主要支流1km范围内新建重化工、纺织、造纸等存在污染风险的工业项目；</w:t>
                  </w:r>
                </w:p>
              </w:tc>
              <w:tc>
                <w:tcPr>
                  <w:tcW w:w="1236" w:type="pct"/>
                  <w:tcBorders>
                    <w:tl2br w:val="nil"/>
                    <w:tr2bl w:val="nil"/>
                  </w:tcBorders>
                  <w:vAlign w:val="center"/>
                </w:tcPr>
                <w:p w14:paraId="607D6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项目不在长江及主要支流1km范围内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且</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重化工、纺织、造纸等存在污染风险的工业项目</w:t>
                  </w:r>
                </w:p>
              </w:tc>
              <w:tc>
                <w:tcPr>
                  <w:tcW w:w="381" w:type="pct"/>
                  <w:tcBorders>
                    <w:tl2br w:val="nil"/>
                    <w:tr2bl w:val="nil"/>
                  </w:tcBorders>
                  <w:vAlign w:val="center"/>
                </w:tcPr>
                <w:p w14:paraId="592F3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7EB7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vMerge w:val="continue"/>
                  <w:tcBorders>
                    <w:tl2br w:val="nil"/>
                    <w:tr2bl w:val="nil"/>
                  </w:tcBorders>
                  <w:vAlign w:val="center"/>
                </w:tcPr>
                <w:p w14:paraId="30452F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p>
              </w:tc>
              <w:tc>
                <w:tcPr>
                  <w:tcW w:w="2475" w:type="pct"/>
                  <w:tcBorders>
                    <w:tl2br w:val="nil"/>
                    <w:tr2bl w:val="nil"/>
                  </w:tcBorders>
                  <w:vAlign w:val="center"/>
                </w:tcPr>
                <w:p w14:paraId="7D904D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在嘉陵江及其一级支流汇入口上游20公里、集中式饮用水水源取水口上游20公里范围内的沿岸地区（江河50年一遇洪水位向陆域一侧1公里范围内），禁止新建、扩建排放重金属（铬、镉、汞、砷、铅等五类重金属）、剧毒物质和持久性有机污染物的工业项目；</w:t>
                  </w:r>
                </w:p>
              </w:tc>
              <w:tc>
                <w:tcPr>
                  <w:tcW w:w="1236" w:type="pct"/>
                  <w:tcBorders>
                    <w:tl2br w:val="nil"/>
                    <w:tr2bl w:val="nil"/>
                  </w:tcBorders>
                  <w:vAlign w:val="center"/>
                </w:tcPr>
                <w:p w14:paraId="1FD398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项目不排放重金属、剧毒物质和持久性有机污染物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01E28A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4CFD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gridSpan w:val="2"/>
                  <w:vMerge w:val="continue"/>
                  <w:tcBorders>
                    <w:tl2br w:val="nil"/>
                    <w:tr2bl w:val="nil"/>
                  </w:tcBorders>
                  <w:vAlign w:val="center"/>
                </w:tcPr>
                <w:p w14:paraId="2D43D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p>
              </w:tc>
              <w:tc>
                <w:tcPr>
                  <w:tcW w:w="2475" w:type="pct"/>
                  <w:tcBorders>
                    <w:tl2br w:val="nil"/>
                    <w:tr2bl w:val="nil"/>
                  </w:tcBorders>
                  <w:vAlign w:val="center"/>
                </w:tcPr>
                <w:p w14:paraId="78427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禁止新建、扩建化工项目（为园区主导产业配套必需的、对环境影响小、风险可控的化工项目除外）；</w:t>
                  </w:r>
                </w:p>
              </w:tc>
              <w:tc>
                <w:tcPr>
                  <w:tcW w:w="1236" w:type="pct"/>
                  <w:tcBorders>
                    <w:tl2br w:val="nil"/>
                    <w:tr2bl w:val="nil"/>
                  </w:tcBorders>
                  <w:vAlign w:val="center"/>
                </w:tcPr>
                <w:p w14:paraId="48451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项目不属于化工项目，环境影响小，风险可控</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7DA977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623C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tcBorders>
                    <w:tl2br w:val="nil"/>
                    <w:tr2bl w:val="nil"/>
                  </w:tcBorders>
                  <w:vAlign w:val="center"/>
                </w:tcPr>
                <w:p w14:paraId="362E3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限制准入产业</w:t>
                  </w:r>
                </w:p>
              </w:tc>
              <w:tc>
                <w:tcPr>
                  <w:tcW w:w="553" w:type="pct"/>
                  <w:vMerge w:val="restart"/>
                  <w:tcBorders>
                    <w:tl2br w:val="nil"/>
                    <w:tr2bl w:val="nil"/>
                  </w:tcBorders>
                  <w:vAlign w:val="center"/>
                </w:tcPr>
                <w:p w14:paraId="6D170C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总体</w:t>
                  </w:r>
                </w:p>
              </w:tc>
              <w:tc>
                <w:tcPr>
                  <w:tcW w:w="2475" w:type="pct"/>
                  <w:tcBorders>
                    <w:tl2br w:val="nil"/>
                    <w:tr2bl w:val="nil"/>
                  </w:tcBorders>
                  <w:vAlign w:val="center"/>
                </w:tcPr>
                <w:p w14:paraId="5FCB95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严格控制过剩产能和“两高一资”项目，严格限制造纸、印染、煤电、传统化工、传统燃油汽车、涉及重金属以及有毒有害和持久性有机污染物排放的项目。</w:t>
                  </w:r>
                </w:p>
              </w:tc>
              <w:tc>
                <w:tcPr>
                  <w:tcW w:w="1236" w:type="pct"/>
                  <w:tcBorders>
                    <w:tl2br w:val="nil"/>
                    <w:tr2bl w:val="nil"/>
                  </w:tcBorders>
                  <w:vAlign w:val="center"/>
                </w:tcPr>
                <w:p w14:paraId="3E8F95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项目不属于</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两高一资</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，不涉及重金属及有毒有害和持久性有机污染物排放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00C7F4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7298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1FD99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3" w:type="pct"/>
                  <w:vMerge w:val="continue"/>
                  <w:tcBorders>
                    <w:tl2br w:val="nil"/>
                    <w:tr2bl w:val="nil"/>
                  </w:tcBorders>
                  <w:vAlign w:val="center"/>
                </w:tcPr>
                <w:p w14:paraId="3A735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75" w:type="pct"/>
                  <w:tcBorders>
                    <w:tl2br w:val="nil"/>
                    <w:tr2bl w:val="nil"/>
                  </w:tcBorders>
                  <w:vAlign w:val="center"/>
                </w:tcPr>
                <w:p w14:paraId="4E26FA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在合川区、江津区、长寿区、璧山县等地区严格限制新建、扩建可能对主城区大气产生影响的燃煤、重油等高污染物工业项目。</w:t>
                  </w:r>
                </w:p>
              </w:tc>
              <w:tc>
                <w:tcPr>
                  <w:tcW w:w="1236" w:type="pct"/>
                  <w:tcBorders>
                    <w:tl2br w:val="nil"/>
                    <w:tr2bl w:val="nil"/>
                  </w:tcBorders>
                  <w:vAlign w:val="center"/>
                </w:tcPr>
                <w:p w14:paraId="5F680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项目不属于燃煤、重油等高污染工业项目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2CD682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0E6C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7DDB18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3" w:type="pct"/>
                  <w:vMerge w:val="continue"/>
                  <w:tcBorders>
                    <w:tl2br w:val="nil"/>
                    <w:tr2bl w:val="nil"/>
                  </w:tcBorders>
                  <w:vAlign w:val="center"/>
                </w:tcPr>
                <w:p w14:paraId="762E9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75" w:type="pct"/>
                  <w:tcBorders>
                    <w:tl2br w:val="nil"/>
                    <w:tr2bl w:val="nil"/>
                  </w:tcBorders>
                  <w:vAlign w:val="center"/>
                </w:tcPr>
                <w:p w14:paraId="7FFBB8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严格限制高耗排水的工业项目，可能对饮用水源带来安全隐患的项目。</w:t>
                  </w:r>
                </w:p>
              </w:tc>
              <w:tc>
                <w:tcPr>
                  <w:tcW w:w="1236" w:type="pct"/>
                  <w:tcBorders>
                    <w:tl2br w:val="nil"/>
                    <w:tr2bl w:val="nil"/>
                  </w:tcBorders>
                  <w:vAlign w:val="center"/>
                </w:tcPr>
                <w:p w14:paraId="365682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项目用水、排水量小，对饮用水源无安全隐患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687B58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74E2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30DF0B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3" w:type="pct"/>
                  <w:vMerge w:val="continue"/>
                  <w:tcBorders>
                    <w:tl2br w:val="nil"/>
                    <w:tr2bl w:val="nil"/>
                  </w:tcBorders>
                  <w:vAlign w:val="center"/>
                </w:tcPr>
                <w:p w14:paraId="387ED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75" w:type="pct"/>
                  <w:tcBorders>
                    <w:tl2br w:val="nil"/>
                    <w:tr2bl w:val="nil"/>
                  </w:tcBorders>
                  <w:vAlign w:val="center"/>
                </w:tcPr>
                <w:p w14:paraId="058CB6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严格限制在声环境2类区附近建设产生噪声污染的工业项目。</w:t>
                  </w:r>
                </w:p>
              </w:tc>
              <w:tc>
                <w:tcPr>
                  <w:tcW w:w="1236" w:type="pct"/>
                  <w:tcBorders>
                    <w:tl2br w:val="nil"/>
                    <w:tr2bl w:val="nil"/>
                  </w:tcBorders>
                  <w:vAlign w:val="center"/>
                </w:tcPr>
                <w:p w14:paraId="53520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项目所在区属于声环境3</w:t>
                  </w:r>
                  <w:r>
                    <w:rPr>
                      <w:rFonts w:hint="eastAsia" w:cs="Times New Roman"/>
                      <w:color w:val="000000" w:themeColor="text1"/>
                      <w:sz w:val="21"/>
                      <w:szCs w:val="21"/>
                      <w:highlight w:val="none"/>
                      <w:lang w:val="en-US" w:eastAsia="zh-CN"/>
                      <w14:textFill>
                        <w14:solidFill>
                          <w14:schemeClr w14:val="tx1"/>
                        </w14:solidFill>
                      </w14:textFill>
                    </w:rPr>
                    <w:t>类</w:t>
                  </w:r>
                  <w:r>
                    <w:rPr>
                      <w:rFonts w:hint="default" w:ascii="Times New Roman" w:hAnsi="Times New Roman" w:eastAsia="宋体" w:cs="Times New Roman"/>
                      <w:color w:val="000000" w:themeColor="text1"/>
                      <w:sz w:val="21"/>
                      <w:szCs w:val="21"/>
                      <w:highlight w:val="none"/>
                      <w14:textFill>
                        <w14:solidFill>
                          <w14:schemeClr w14:val="tx1"/>
                        </w14:solidFill>
                      </w14:textFill>
                    </w:rPr>
                    <w:t>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81" w:type="pct"/>
                  <w:tcBorders>
                    <w:tl2br w:val="nil"/>
                    <w:tr2bl w:val="nil"/>
                  </w:tcBorders>
                  <w:vAlign w:val="center"/>
                </w:tcPr>
                <w:p w14:paraId="54ADC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50D7E51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eastAsia="宋体"/>
                <w:b/>
                <w:color w:val="000000" w:themeColor="text1"/>
                <w:kern w:val="0"/>
                <w:szCs w:val="21"/>
                <w:highlight w:val="none"/>
                <w:lang w:eastAsia="zh-CN"/>
                <w14:textFill>
                  <w14:solidFill>
                    <w14:schemeClr w14:val="tx1"/>
                  </w14:solidFill>
                </w14:textFill>
              </w:rPr>
            </w:pPr>
            <w:r>
              <w:rPr>
                <w:rFonts w:ascii="Times New Roman" w:hAnsi="Times New Roman" w:cs="Times New Roman"/>
                <w:b w:val="0"/>
                <w:color w:val="000000" w:themeColor="text1"/>
                <w:sz w:val="24"/>
                <w:szCs w:val="24"/>
                <w:highlight w:val="none"/>
                <w14:textFill>
                  <w14:solidFill>
                    <w14:schemeClr w14:val="tx1"/>
                  </w14:solidFill>
                </w14:textFill>
              </w:rPr>
              <w:t>本项目属于农副食品加工行业，不属于规划环评报告限制准入、禁止准入产业，满足园区入驻条件</w:t>
            </w:r>
            <w:r>
              <w:rPr>
                <w:rFonts w:hint="eastAsia" w:cs="Times New Roman"/>
                <w:b w:val="0"/>
                <w:color w:val="000000" w:themeColor="text1"/>
                <w:sz w:val="24"/>
                <w:szCs w:val="24"/>
                <w:highlight w:val="none"/>
                <w:lang w:eastAsia="zh-CN"/>
                <w14:textFill>
                  <w14:solidFill>
                    <w14:schemeClr w14:val="tx1"/>
                  </w14:solidFill>
                </w14:textFill>
              </w:rPr>
              <w:t>。</w:t>
            </w:r>
          </w:p>
          <w:p w14:paraId="3CF72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表1</w:t>
            </w:r>
            <w:r>
              <w:rPr>
                <w:rFonts w:hint="eastAsia"/>
                <w:b/>
                <w:color w:val="000000" w:themeColor="text1"/>
                <w:kern w:val="0"/>
                <w:szCs w:val="21"/>
                <w:highlight w:val="none"/>
                <w:lang w:val="en-US" w:eastAsia="zh-CN"/>
                <w14:textFill>
                  <w14:solidFill>
                    <w14:schemeClr w14:val="tx1"/>
                  </w14:solidFill>
                </w14:textFill>
              </w:rPr>
              <w:t>.1</w:t>
            </w:r>
            <w:r>
              <w:rPr>
                <w:b/>
                <w:color w:val="000000" w:themeColor="text1"/>
                <w:kern w:val="0"/>
                <w:szCs w:val="21"/>
                <w:highlight w:val="none"/>
                <w14:textFill>
                  <w14:solidFill>
                    <w14:schemeClr w14:val="tx1"/>
                  </w14:solidFill>
                </w14:textFill>
              </w:rPr>
              <w:t>-</w:t>
            </w:r>
            <w:r>
              <w:rPr>
                <w:rFonts w:hint="eastAsia"/>
                <w:b/>
                <w:color w:val="000000" w:themeColor="text1"/>
                <w:kern w:val="0"/>
                <w:szCs w:val="21"/>
                <w:highlight w:val="none"/>
                <w:lang w:val="en-US" w:eastAsia="zh-CN"/>
                <w14:textFill>
                  <w14:solidFill>
                    <w14:schemeClr w14:val="tx1"/>
                  </w14:solidFill>
                </w14:textFill>
              </w:rPr>
              <w:t>2</w:t>
            </w:r>
            <w:r>
              <w:rPr>
                <w:b/>
                <w:color w:val="000000" w:themeColor="text1"/>
                <w:kern w:val="0"/>
                <w:szCs w:val="21"/>
                <w:highlight w:val="none"/>
                <w14:textFill>
                  <w14:solidFill>
                    <w14:schemeClr w14:val="tx1"/>
                  </w14:solidFill>
                </w14:textFill>
              </w:rPr>
              <w:t>与《关于重庆市合川工业园区</w:t>
            </w:r>
            <w:r>
              <w:rPr>
                <w:rFonts w:hint="eastAsia"/>
                <w:b/>
                <w:color w:val="000000" w:themeColor="text1"/>
                <w:kern w:val="0"/>
                <w:szCs w:val="21"/>
                <w:highlight w:val="none"/>
                <w14:textFill>
                  <w14:solidFill>
                    <w14:schemeClr w14:val="tx1"/>
                  </w14:solidFill>
                </w14:textFill>
              </w:rPr>
              <w:t>南溪组团</w:t>
            </w:r>
            <w:r>
              <w:rPr>
                <w:b/>
                <w:color w:val="000000" w:themeColor="text1"/>
                <w:kern w:val="0"/>
                <w:szCs w:val="21"/>
                <w:highlight w:val="none"/>
                <w14:textFill>
                  <w14:solidFill>
                    <w14:schemeClr w14:val="tx1"/>
                  </w14:solidFill>
                </w14:textFill>
              </w:rPr>
              <w:t>、渭沱组团B</w:t>
            </w:r>
            <w:r>
              <w:rPr>
                <w:rFonts w:hint="eastAsia"/>
                <w:b/>
                <w:color w:val="000000" w:themeColor="text1"/>
                <w:kern w:val="0"/>
                <w:szCs w:val="21"/>
                <w:highlight w:val="none"/>
                <w14:textFill>
                  <w14:solidFill>
                    <w14:schemeClr w14:val="tx1"/>
                  </w14:solidFill>
                </w14:textFill>
              </w:rPr>
              <w:t>区</w:t>
            </w:r>
            <w:r>
              <w:rPr>
                <w:b/>
                <w:color w:val="000000" w:themeColor="text1"/>
                <w:kern w:val="0"/>
                <w:szCs w:val="21"/>
                <w:highlight w:val="none"/>
                <w14:textFill>
                  <w14:solidFill>
                    <w14:schemeClr w14:val="tx1"/>
                  </w14:solidFill>
                </w14:textFill>
              </w:rPr>
              <w:t>规划环境影响报告书审查意见的函》（渝环函〔2019〕1169号）的符合性分析</w:t>
            </w:r>
          </w:p>
          <w:tbl>
            <w:tblPr>
              <w:tblStyle w:val="28"/>
              <w:tblW w:w="498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8"/>
              <w:gridCol w:w="4914"/>
              <w:gridCol w:w="2050"/>
              <w:gridCol w:w="955"/>
            </w:tblGrid>
            <w:tr w14:paraId="7B459C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16D68C7C">
                  <w:pPr>
                    <w:spacing w:line="240" w:lineRule="auto"/>
                    <w:ind w:firstLine="0" w:firstLineChars="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序号</w:t>
                  </w:r>
                </w:p>
              </w:tc>
              <w:tc>
                <w:tcPr>
                  <w:tcW w:w="2858" w:type="pct"/>
                  <w:vAlign w:val="center"/>
                </w:tcPr>
                <w:p w14:paraId="6B3B5EF1">
                  <w:pPr>
                    <w:autoSpaceDE w:val="0"/>
                    <w:autoSpaceDN w:val="0"/>
                    <w:spacing w:line="240" w:lineRule="auto"/>
                    <w:ind w:firstLine="0" w:firstLineChars="0"/>
                    <w:jc w:val="center"/>
                    <w:rPr>
                      <w:rFonts w:hint="default" w:ascii="Times New Roman" w:hAnsi="Times New Roman"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bCs w:val="0"/>
                      <w:color w:val="000000" w:themeColor="text1"/>
                      <w:kern w:val="0"/>
                      <w:sz w:val="21"/>
                      <w:szCs w:val="21"/>
                      <w:highlight w:val="none"/>
                      <w14:textFill>
                        <w14:solidFill>
                          <w14:schemeClr w14:val="tx1"/>
                        </w14:solidFill>
                      </w14:textFill>
                    </w:rPr>
                    <w:t>渝环函〔2019〕1169号</w:t>
                  </w:r>
                </w:p>
              </w:tc>
              <w:tc>
                <w:tcPr>
                  <w:tcW w:w="1191" w:type="pct"/>
                  <w:vAlign w:val="center"/>
                </w:tcPr>
                <w:p w14:paraId="1D659977">
                  <w:pPr>
                    <w:spacing w:line="240" w:lineRule="auto"/>
                    <w:ind w:firstLine="0" w:firstLineChars="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项目情况</w:t>
                  </w:r>
                </w:p>
              </w:tc>
              <w:tc>
                <w:tcPr>
                  <w:tcW w:w="555" w:type="pct"/>
                  <w:vAlign w:val="center"/>
                </w:tcPr>
                <w:p w14:paraId="6A383371">
                  <w:pPr>
                    <w:spacing w:line="240" w:lineRule="auto"/>
                    <w:ind w:firstLine="0" w:firstLineChars="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符合性</w:t>
                  </w:r>
                </w:p>
              </w:tc>
            </w:tr>
            <w:tr w14:paraId="7590D3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727736D4">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（一）加强空间管制</w:t>
                  </w:r>
                </w:p>
              </w:tc>
            </w:tr>
            <w:tr w14:paraId="4EC93F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0FF2E780">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1</w:t>
                  </w:r>
                </w:p>
              </w:tc>
              <w:tc>
                <w:tcPr>
                  <w:tcW w:w="2858" w:type="pct"/>
                  <w:vAlign w:val="center"/>
                </w:tcPr>
                <w:p w14:paraId="0C8C1EB1">
                  <w:pPr>
                    <w:autoSpaceDE w:val="0"/>
                    <w:autoSpaceDN w:val="0"/>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规划区后续开发建设时应在嘉陵江沿岸布置不少于50m的绿化缓冲带。嘉陵江及其一级支流汇入口上游20公里、集中式饮用水水源取水口上游2公里范围内的沿岸地区（江河50年一遇洪水位向陆域一侧1公里范围内），禁止新建、扩建排放重金属（铬、镉、汞、砷、铅）、剧毒物质和持久性有机污染物的工业项目。南溪组团A区、C区环境空气质量一类区（缙云山风景名胜区、九峰山市级森林公园）300米缓冲带内现有企业大气污染物排放量不得增加，规划未实施的地块不得引进有工</w:t>
                  </w:r>
                  <w:r>
                    <w:rPr>
                      <w:rFonts w:hint="eastAsia" w:cs="Times New Roman"/>
                      <w:color w:val="000000" w:themeColor="text1"/>
                      <w:kern w:val="0"/>
                      <w:sz w:val="21"/>
                      <w:szCs w:val="21"/>
                      <w:highlight w:val="none"/>
                      <w:lang w:eastAsia="zh-CN"/>
                      <w14:textFill>
                        <w14:solidFill>
                          <w14:schemeClr w14:val="tx1"/>
                        </w14:solidFill>
                      </w14:textFill>
                    </w:rPr>
                    <w:t>业</w:t>
                  </w:r>
                  <w:r>
                    <w:rPr>
                      <w:rFonts w:hint="default" w:ascii="Times New Roman" w:hAnsi="Times New Roman" w:cs="Times New Roman"/>
                      <w:color w:val="000000" w:themeColor="text1"/>
                      <w:kern w:val="0"/>
                      <w:sz w:val="21"/>
                      <w:szCs w:val="21"/>
                      <w:highlight w:val="none"/>
                      <w14:textFill>
                        <w14:solidFill>
                          <w14:schemeClr w14:val="tx1"/>
                        </w14:solidFill>
                      </w14:textFill>
                    </w:rPr>
                    <w:t>废气排放的企业。规划区内企业环境防护距离应优化控制在规划区边界或用地红线以内。南溪组团A区、C区超出城市总体规划建设用地范围的地块暂不开发，未来按照国土空间规划的建设用地范围进行开发管理。</w:t>
                  </w:r>
                </w:p>
              </w:tc>
              <w:tc>
                <w:tcPr>
                  <w:tcW w:w="1191" w:type="pct"/>
                  <w:vAlign w:val="center"/>
                </w:tcPr>
                <w:p w14:paraId="1D389443">
                  <w:pPr>
                    <w:spacing w:line="240" w:lineRule="auto"/>
                    <w:ind w:firstLine="0" w:firstLineChars="0"/>
                    <w:jc w:val="left"/>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cs="Times New Roman"/>
                      <w:bCs/>
                      <w:color w:val="000000" w:themeColor="text1"/>
                      <w:sz w:val="21"/>
                      <w:szCs w:val="21"/>
                      <w:highlight w:val="none"/>
                      <w14:textFill>
                        <w14:solidFill>
                          <w14:schemeClr w14:val="tx1"/>
                        </w14:solidFill>
                      </w14:textFill>
                    </w:rPr>
                    <w:t>位于南溪组团A区，项目不属于嘉陵江50m范围内的绿化缓冲带；项目建成后不排放重金属（铬、镉、汞、砷、铅）、剧毒物质和持久性有机污染物；项目不在九峰山市级森林公园300m缓冲带范围之内，位于规划的工业园区内。</w:t>
                  </w:r>
                </w:p>
              </w:tc>
              <w:tc>
                <w:tcPr>
                  <w:tcW w:w="555" w:type="pct"/>
                  <w:vAlign w:val="center"/>
                </w:tcPr>
                <w:p w14:paraId="7F1C5999">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511505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17D707C3">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（二）严格环境准入</w:t>
                  </w:r>
                </w:p>
              </w:tc>
            </w:tr>
            <w:tr w14:paraId="2D7870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03E987F8">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2</w:t>
                  </w:r>
                </w:p>
              </w:tc>
              <w:tc>
                <w:tcPr>
                  <w:tcW w:w="2858" w:type="pct"/>
                  <w:vAlign w:val="center"/>
                </w:tcPr>
                <w:p w14:paraId="7F89D610">
                  <w:pPr>
                    <w:spacing w:line="240" w:lineRule="auto"/>
                    <w:ind w:firstLine="0" w:firstLineChars="0"/>
                    <w:jc w:val="left"/>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强化规划环评与合川区</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三线一单</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生态保护红线、环境质量底线、资源利用上线，生态环境准入清单</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的联动，主要管控措施应符合合川区</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三线一单</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要求。规划区应优化产业发展方向，落实生态环境准入清单，严格建设项目环境准入。坚持源头防控，倡导循环经济，提高清洁生产水平，从源头控制和减少污染物的产排量，按照清洁生产的要求，不断提升现有工业企业清洁生产水平，新建、改扩建项目清洁生产水平不得低于国内先进水平。</w:t>
                  </w:r>
                </w:p>
              </w:tc>
              <w:tc>
                <w:tcPr>
                  <w:tcW w:w="1191" w:type="pct"/>
                  <w:vAlign w:val="center"/>
                </w:tcPr>
                <w:p w14:paraId="7DAF635F">
                  <w:pPr>
                    <w:spacing w:line="240" w:lineRule="auto"/>
                    <w:ind w:firstLine="0" w:firstLineChars="0"/>
                    <w:jc w:val="left"/>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本项目符合合川区</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三线一单</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要求，主要能源为天然气和电力</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w:t>
                  </w:r>
                </w:p>
              </w:tc>
              <w:tc>
                <w:tcPr>
                  <w:tcW w:w="555" w:type="pct"/>
                  <w:vAlign w:val="center"/>
                </w:tcPr>
                <w:p w14:paraId="7F10F1AC">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5CBAEF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1150B170">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（三）加强大气污染防治</w:t>
                  </w:r>
                </w:p>
              </w:tc>
            </w:tr>
            <w:tr w14:paraId="6D7B70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40E20E49">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3</w:t>
                  </w:r>
                </w:p>
              </w:tc>
              <w:tc>
                <w:tcPr>
                  <w:tcW w:w="2858" w:type="pct"/>
                </w:tcPr>
                <w:p w14:paraId="6DCDFA99">
                  <w:pPr>
                    <w:spacing w:line="240" w:lineRule="auto"/>
                    <w:ind w:firstLine="0" w:firstLineChars="0"/>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加强现有企业大气污染治理和监管，确保各类大气污染物持续稳定达标排放。通过工艺改进、清洁生产、完善措施等手段减少废气无组织排放。鼓励规划区内企业以天然气、电等为能源，除现有的水泥厂、合川盐化外禁止燃煤；规划区内水泥</w:t>
                  </w:r>
                  <w:r>
                    <w:rPr>
                      <w:rFonts w:hint="eastAsia" w:cs="Times New Roman"/>
                      <w:bCs/>
                      <w:color w:val="000000" w:themeColor="text1"/>
                      <w:sz w:val="21"/>
                      <w:szCs w:val="21"/>
                      <w:highlight w:val="none"/>
                      <w:lang w:eastAsia="zh-CN"/>
                      <w14:textFill>
                        <w14:solidFill>
                          <w14:schemeClr w14:val="tx1"/>
                        </w14:solidFill>
                      </w14:textFill>
                    </w:rPr>
                    <w:t>生产</w:t>
                  </w:r>
                  <w:r>
                    <w:rPr>
                      <w:rFonts w:hint="default" w:ascii="Times New Roman" w:hAnsi="Times New Roman" w:cs="Times New Roman"/>
                      <w:bCs/>
                      <w:color w:val="000000" w:themeColor="text1"/>
                      <w:sz w:val="21"/>
                      <w:szCs w:val="21"/>
                      <w:highlight w:val="none"/>
                      <w14:textFill>
                        <w14:solidFill>
                          <w14:schemeClr w14:val="tx1"/>
                        </w14:solidFill>
                      </w14:textFill>
                    </w:rPr>
                    <w:t>企业应当按照市政府及有关部门关于错峰生产的调度要求，限产停产；排放挥发性有机物的企业其废气收集和处理必须满足国家及重庆市“十三五”挥发性有机物污染防治工作方案的相关要求。南溪组团B区应控制砷化镓芯片外延工序生产规模，采取严格的废气收集及处理措施，最大程度减少重金属废气排放对周边环境的影响。</w:t>
                  </w:r>
                </w:p>
              </w:tc>
              <w:tc>
                <w:tcPr>
                  <w:tcW w:w="1191" w:type="pct"/>
                  <w:vAlign w:val="center"/>
                </w:tcPr>
                <w:p w14:paraId="72DDA88F">
                  <w:pPr>
                    <w:spacing w:line="240" w:lineRule="auto"/>
                    <w:ind w:firstLine="0" w:firstLineChars="0"/>
                    <w:jc w:val="left"/>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本项目锅炉采用低氮燃烧，废气达标排放；项目使用的主要能源为电和天然气。</w:t>
                  </w:r>
                </w:p>
              </w:tc>
              <w:tc>
                <w:tcPr>
                  <w:tcW w:w="555" w:type="pct"/>
                  <w:vAlign w:val="center"/>
                </w:tcPr>
                <w:p w14:paraId="6DF36469">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6520E8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71334AD7">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（四）加强水环境保护</w:t>
                  </w:r>
                </w:p>
              </w:tc>
            </w:tr>
            <w:tr w14:paraId="61BBC7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2D817CAC">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4</w:t>
                  </w:r>
                </w:p>
              </w:tc>
              <w:tc>
                <w:tcPr>
                  <w:tcW w:w="2858" w:type="pct"/>
                  <w:vAlign w:val="center"/>
                </w:tcPr>
                <w:p w14:paraId="0BFC3F65">
                  <w:pPr>
                    <w:spacing w:line="240" w:lineRule="auto"/>
                    <w:ind w:firstLine="0" w:firstLineChars="0"/>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提高废水回用率，减少废水污染物排放。加强现有企业废水排放监管，确保规划区废水经污水处理厂处理达标后排放。规划区禁止含重金属</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汞、铬、镉、铅、砷</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废水排放。南溪组团B区污水处理厂应尽快进行提标改造，增设电子工业特征水污染物处理工艺。渭沱组团污水处理厂加快建设进度，确保渭沱组团B区生产废水、生活污水能进入污水处理厂集中处理达标后外排。</w:t>
                  </w:r>
                </w:p>
              </w:tc>
              <w:tc>
                <w:tcPr>
                  <w:tcW w:w="1191" w:type="pct"/>
                  <w:vAlign w:val="center"/>
                </w:tcPr>
                <w:p w14:paraId="52FAEA52">
                  <w:pPr>
                    <w:spacing w:line="240" w:lineRule="auto"/>
                    <w:ind w:firstLine="0" w:firstLineChars="0"/>
                    <w:jc w:val="left"/>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本项目不排放五类重点重金属、剧毒物质和持久性有机污染物，废水经污水处理站处理达标后排入园区污水处理厂。</w:t>
                  </w:r>
                </w:p>
              </w:tc>
              <w:tc>
                <w:tcPr>
                  <w:tcW w:w="555" w:type="pct"/>
                  <w:vAlign w:val="center"/>
                </w:tcPr>
                <w:p w14:paraId="0909453C">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符合</w:t>
                  </w:r>
                </w:p>
              </w:tc>
            </w:tr>
            <w:tr w14:paraId="362518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09384E2E">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（五）重视地下水污染防控</w:t>
                  </w:r>
                </w:p>
              </w:tc>
            </w:tr>
            <w:tr w14:paraId="0291B0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763DE278">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5</w:t>
                  </w:r>
                </w:p>
              </w:tc>
              <w:tc>
                <w:tcPr>
                  <w:tcW w:w="2858" w:type="pct"/>
                  <w:vAlign w:val="center"/>
                </w:tcPr>
                <w:p w14:paraId="6BC4710B">
                  <w:pPr>
                    <w:spacing w:line="240" w:lineRule="auto"/>
                    <w:ind w:firstLine="0" w:firstLineChars="0"/>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采取源头控制为主的原则，落实分区、分级防渗措施，防止规划实施对区域地下水环境的污染。按监测计划，应定期开展地下水跟踪监测工作，根据监测结果，督促相关企业完善相应的地下水污染防控措施。</w:t>
                  </w:r>
                </w:p>
              </w:tc>
              <w:tc>
                <w:tcPr>
                  <w:tcW w:w="1191" w:type="pct"/>
                  <w:vAlign w:val="center"/>
                </w:tcPr>
                <w:p w14:paraId="06F70C66">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eastAsia="zh-CN"/>
                      <w14:textFill>
                        <w14:solidFill>
                          <w14:schemeClr w14:val="tx1"/>
                        </w14:solidFill>
                      </w14:textFill>
                    </w:rPr>
                    <w:t>按照</w:t>
                  </w:r>
                  <w:r>
                    <w:rPr>
                      <w:rFonts w:hint="default" w:ascii="Times New Roman" w:hAnsi="Times New Roman" w:cs="Times New Roman"/>
                      <w:bCs/>
                      <w:color w:val="000000" w:themeColor="text1"/>
                      <w:sz w:val="21"/>
                      <w:szCs w:val="21"/>
                      <w:highlight w:val="none"/>
                      <w14:textFill>
                        <w14:solidFill>
                          <w14:schemeClr w14:val="tx1"/>
                        </w14:solidFill>
                      </w14:textFill>
                    </w:rPr>
                    <w:t>源头控制为主的原则，落实分区、分级防渗措施</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污水处理站</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区域按照重点防渗设置。</w:t>
                  </w:r>
                </w:p>
              </w:tc>
              <w:tc>
                <w:tcPr>
                  <w:tcW w:w="555" w:type="pct"/>
                  <w:vAlign w:val="center"/>
                </w:tcPr>
                <w:p w14:paraId="30148806">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614EB6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78011861">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（六）强化噪声污染防控</w:t>
                  </w:r>
                </w:p>
              </w:tc>
            </w:tr>
            <w:tr w14:paraId="54FAE1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2CF2BB6A">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6</w:t>
                  </w:r>
                </w:p>
              </w:tc>
              <w:tc>
                <w:tcPr>
                  <w:tcW w:w="2858" w:type="pct"/>
                  <w:vAlign w:val="center"/>
                </w:tcPr>
                <w:p w14:paraId="397F279F">
                  <w:pPr>
                    <w:spacing w:line="240" w:lineRule="auto"/>
                    <w:ind w:firstLine="0" w:firstLineChars="0"/>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合理布局噪声源，高噪声源应尽量远离居住区布置。加强规划区现有企业噪声治理，采用低噪声设备，采取消声、隔声、减震等措施，确保厂界噪声达标，尽量减少对周边居民的影响。</w:t>
                  </w:r>
                </w:p>
              </w:tc>
              <w:tc>
                <w:tcPr>
                  <w:tcW w:w="1191" w:type="pct"/>
                  <w:vAlign w:val="center"/>
                </w:tcPr>
                <w:p w14:paraId="060C5742">
                  <w:pPr>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本项目通过合理布局、减</w:t>
                  </w:r>
                  <w:r>
                    <w:rPr>
                      <w:rFonts w:hint="default" w:ascii="Times New Roman" w:hAnsi="Times New Roman" w:cs="Times New Roman"/>
                      <w:color w:val="000000" w:themeColor="text1"/>
                      <w:sz w:val="21"/>
                      <w:szCs w:val="21"/>
                      <w:highlight w:val="none"/>
                      <w:lang w:eastAsia="zh-CN"/>
                      <w14:textFill>
                        <w14:solidFill>
                          <w14:schemeClr w14:val="tx1"/>
                        </w14:solidFill>
                      </w14:textFill>
                    </w:rPr>
                    <w:t>振</w:t>
                  </w:r>
                  <w:r>
                    <w:rPr>
                      <w:rFonts w:hint="default" w:ascii="Times New Roman" w:hAnsi="Times New Roman" w:cs="Times New Roman"/>
                      <w:color w:val="000000" w:themeColor="text1"/>
                      <w:sz w:val="21"/>
                      <w:szCs w:val="21"/>
                      <w:highlight w:val="none"/>
                      <w14:textFill>
                        <w14:solidFill>
                          <w14:schemeClr w14:val="tx1"/>
                        </w14:solidFill>
                      </w14:textFill>
                    </w:rPr>
                    <w:t>隔声等措施后，经预测厂界噪声能够达标。</w:t>
                  </w:r>
                </w:p>
              </w:tc>
              <w:tc>
                <w:tcPr>
                  <w:tcW w:w="555" w:type="pct"/>
                  <w:vAlign w:val="center"/>
                </w:tcPr>
                <w:p w14:paraId="45EC645C">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535573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4EC17197">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（七）</w:t>
                  </w:r>
                  <w:r>
                    <w:rPr>
                      <w:rFonts w:hint="default" w:ascii="Times New Roman" w:hAnsi="Times New Roman" w:cs="Times New Roman"/>
                      <w:bCs/>
                      <w:color w:val="000000" w:themeColor="text1"/>
                      <w:sz w:val="21"/>
                      <w:szCs w:val="21"/>
                      <w:highlight w:val="none"/>
                      <w14:textFill>
                        <w14:solidFill>
                          <w14:schemeClr w14:val="tx1"/>
                        </w14:solidFill>
                      </w14:textFill>
                    </w:rPr>
                    <w:t>加强土壤和固体废物污染防治</w:t>
                  </w:r>
                </w:p>
              </w:tc>
            </w:tr>
            <w:tr w14:paraId="24930D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3312C806">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7</w:t>
                  </w:r>
                </w:p>
              </w:tc>
              <w:tc>
                <w:tcPr>
                  <w:tcW w:w="2858" w:type="pct"/>
                  <w:vAlign w:val="center"/>
                </w:tcPr>
                <w:p w14:paraId="76F38FBC">
                  <w:pPr>
                    <w:spacing w:line="240" w:lineRule="auto"/>
                    <w:ind w:firstLine="0" w:firstLineChars="0"/>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按照《重庆市贯彻落实土壤污染防治行动计划工作方案》和土壤污染防治目标责任书相关要求，有效防控土壤环境风险，防范建设用地新增污染。加强工业固体废物综合利用和处置，统筹解决好一般工业固体废物处置配套不足的问题，结合工业园区各组团发展需求，科学论证，加紧规划设置一般工业固体废物处置场或工业固体废物综合利用和处置设施。规划区内土地利用性质调整，应按相关规定要求开展土壤调查和风险评估</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经评估确定为污染地块的，应当在土地转让前开展治理修复。</w:t>
                  </w:r>
                </w:p>
              </w:tc>
              <w:tc>
                <w:tcPr>
                  <w:tcW w:w="1191" w:type="pct"/>
                  <w:vAlign w:val="center"/>
                </w:tcPr>
                <w:p w14:paraId="13A386BA">
                  <w:pPr>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本项目加强一般工业固废管控。</w:t>
                  </w:r>
                </w:p>
              </w:tc>
              <w:tc>
                <w:tcPr>
                  <w:tcW w:w="555" w:type="pct"/>
                  <w:vAlign w:val="center"/>
                </w:tcPr>
                <w:p w14:paraId="5F1BEAB5">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17C436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60B3F46C">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（八）强化环境风险防范</w:t>
                  </w:r>
                </w:p>
              </w:tc>
            </w:tr>
            <w:tr w14:paraId="5887C3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58734292">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8</w:t>
                  </w:r>
                </w:p>
              </w:tc>
              <w:tc>
                <w:tcPr>
                  <w:tcW w:w="2858" w:type="pct"/>
                  <w:vAlign w:val="center"/>
                </w:tcPr>
                <w:p w14:paraId="7E0EC8F6">
                  <w:pPr>
                    <w:spacing w:line="240" w:lineRule="auto"/>
                    <w:ind w:firstLine="0" w:firstLineChars="0"/>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进一步完善环境风险防范体系建设，相关企业尤其是涉及危化品的企业应严格落实各项环境风险防范措施，防范突发性环境风险事故。建立健全园区级风险防控体系，完善环境风险应急预案，加强对企业环境风险源的监督管理。强化事故废水应急收集及处理措施，完善园区“三级”环境风险防控体系，确保事故废水不对大口蛉县级自然保护区造成影响。应加快实施盐井水厂、方溪水厂</w:t>
                  </w:r>
                  <w:r>
                    <w:rPr>
                      <w:rFonts w:hint="eastAsia" w:cs="Times New Roman"/>
                      <w:bCs/>
                      <w:color w:val="000000" w:themeColor="text1"/>
                      <w:sz w:val="21"/>
                      <w:szCs w:val="21"/>
                      <w:highlight w:val="none"/>
                      <w:lang w:eastAsia="zh-CN"/>
                      <w14:textFill>
                        <w14:solidFill>
                          <w14:schemeClr w14:val="tx1"/>
                        </w14:solidFill>
                      </w14:textFill>
                    </w:rPr>
                    <w:t>拆</w:t>
                  </w:r>
                  <w:r>
                    <w:rPr>
                      <w:rFonts w:hint="default" w:ascii="Times New Roman" w:hAnsi="Times New Roman" w:cs="Times New Roman"/>
                      <w:bCs/>
                      <w:color w:val="000000" w:themeColor="text1"/>
                      <w:sz w:val="21"/>
                      <w:szCs w:val="21"/>
                      <w:highlight w:val="none"/>
                      <w14:textFill>
                        <w14:solidFill>
                          <w14:schemeClr w14:val="tx1"/>
                        </w14:solidFill>
                      </w14:textFill>
                    </w:rPr>
                    <w:t>迁关闭进度，确保居民饮用水安全。</w:t>
                  </w:r>
                </w:p>
              </w:tc>
              <w:tc>
                <w:tcPr>
                  <w:tcW w:w="1191" w:type="pct"/>
                  <w:vAlign w:val="center"/>
                </w:tcPr>
                <w:p w14:paraId="676A17EE">
                  <w:pPr>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企业严格按照各项要求落实环境风险防范措施，防范突发性环境风险事故。</w:t>
                  </w:r>
                </w:p>
              </w:tc>
              <w:tc>
                <w:tcPr>
                  <w:tcW w:w="555" w:type="pct"/>
                  <w:vAlign w:val="center"/>
                </w:tcPr>
                <w:p w14:paraId="37B77288">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3730A8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4AE5B490">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（九）建立健全园区管理机构</w:t>
                  </w:r>
                </w:p>
              </w:tc>
            </w:tr>
            <w:tr w14:paraId="4A5B5E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0F2A5BD2">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9</w:t>
                  </w:r>
                </w:p>
              </w:tc>
              <w:tc>
                <w:tcPr>
                  <w:tcW w:w="2858" w:type="pct"/>
                  <w:vAlign w:val="center"/>
                </w:tcPr>
                <w:p w14:paraId="50A2F325">
                  <w:pPr>
                    <w:pStyle w:val="69"/>
                    <w:adjustRightInd/>
                    <w:snapToGrid/>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合川工业园区以及合川信息安全产业服务中心应成立专门管理机构，加强环境管理。</w:t>
                  </w:r>
                </w:p>
              </w:tc>
              <w:tc>
                <w:tcPr>
                  <w:tcW w:w="1191" w:type="pct"/>
                  <w:vAlign w:val="center"/>
                </w:tcPr>
                <w:p w14:paraId="330D50E3">
                  <w:pPr>
                    <w:pStyle w:val="69"/>
                    <w:adjustRightInd/>
                    <w:snapToGrid/>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本</w:t>
                  </w:r>
                  <w:r>
                    <w:rPr>
                      <w:rFonts w:hint="default" w:ascii="Times New Roman" w:hAnsi="Times New Roman" w:cs="Times New Roman"/>
                      <w:color w:val="000000" w:themeColor="text1"/>
                      <w:kern w:val="0"/>
                      <w:sz w:val="21"/>
                      <w:szCs w:val="21"/>
                      <w:highlight w:val="none"/>
                      <w14:textFill>
                        <w14:solidFill>
                          <w14:schemeClr w14:val="tx1"/>
                        </w14:solidFill>
                      </w14:textFill>
                    </w:rPr>
                    <w:t>项目满足园区对环境管理的要求。</w:t>
                  </w:r>
                </w:p>
              </w:tc>
              <w:tc>
                <w:tcPr>
                  <w:tcW w:w="555" w:type="pct"/>
                  <w:vAlign w:val="center"/>
                </w:tcPr>
                <w:p w14:paraId="3ED92D3D">
                  <w:pPr>
                    <w:pStyle w:val="69"/>
                    <w:adjustRightInd/>
                    <w:snapToGrid/>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46780E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14:paraId="373999D9">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（十）加强环境管理</w:t>
                  </w:r>
                </w:p>
              </w:tc>
            </w:tr>
            <w:tr w14:paraId="16CF7D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4" w:type="pct"/>
                  <w:vAlign w:val="center"/>
                </w:tcPr>
                <w:p w14:paraId="2B1F84C5">
                  <w:pPr>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10</w:t>
                  </w:r>
                </w:p>
              </w:tc>
              <w:tc>
                <w:tcPr>
                  <w:tcW w:w="2858" w:type="pct"/>
                  <w:vAlign w:val="center"/>
                </w:tcPr>
                <w:p w14:paraId="4E58CD48">
                  <w:pPr>
                    <w:pStyle w:val="69"/>
                    <w:adjustRightInd/>
                    <w:snapToGrid/>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严格执行环境影响评价和环保</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14:textFill>
                        <w14:solidFill>
                          <w14:schemeClr w14:val="tx1"/>
                        </w14:solidFill>
                      </w14:textFill>
                    </w:rPr>
                    <w:t>三同时</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制度。本次规划环境影响评价及其审查意见将是各规划区开发建设中环境保护管理的依据。规划后续实施过程中，各规划区应尽快建立起环境质量跟踪监测体系，落实跟踪监测计划，并</w:t>
                  </w:r>
                  <w:r>
                    <w:rPr>
                      <w:rFonts w:hint="eastAsia" w:cs="Times New Roman"/>
                      <w:color w:val="000000" w:themeColor="text1"/>
                      <w:sz w:val="21"/>
                      <w:szCs w:val="21"/>
                      <w:highlight w:val="none"/>
                      <w:lang w:eastAsia="zh-CN"/>
                      <w14:textFill>
                        <w14:solidFill>
                          <w14:schemeClr w14:val="tx1"/>
                        </w14:solidFill>
                      </w14:textFill>
                    </w:rPr>
                    <w:t>按照</w:t>
                  </w:r>
                  <w:r>
                    <w:rPr>
                      <w:rFonts w:hint="default" w:ascii="Times New Roman" w:hAnsi="Times New Roman" w:cs="Times New Roman"/>
                      <w:color w:val="000000" w:themeColor="text1"/>
                      <w:sz w:val="21"/>
                      <w:szCs w:val="21"/>
                      <w:highlight w:val="none"/>
                      <w14:textFill>
                        <w14:solidFill>
                          <w14:schemeClr w14:val="tx1"/>
                        </w14:solidFill>
                      </w14:textFill>
                    </w:rPr>
                    <w:t>规定要求适时开展环境影响跟踪评价，提出改进措施。</w:t>
                  </w:r>
                </w:p>
              </w:tc>
              <w:tc>
                <w:tcPr>
                  <w:tcW w:w="1191" w:type="pct"/>
                  <w:vAlign w:val="center"/>
                </w:tcPr>
                <w:p w14:paraId="53D0AC5C">
                  <w:pPr>
                    <w:pStyle w:val="69"/>
                    <w:adjustRightInd/>
                    <w:snapToGrid/>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本项目严格执行环境影响评价和环保</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14:textFill>
                        <w14:solidFill>
                          <w14:schemeClr w14:val="tx1"/>
                        </w14:solidFill>
                      </w14:textFill>
                    </w:rPr>
                    <w:t>三同时</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14:textFill>
                        <w14:solidFill>
                          <w14:schemeClr w14:val="tx1"/>
                        </w14:solidFill>
                      </w14:textFill>
                    </w:rPr>
                    <w:t>制度，符合相关要求。</w:t>
                  </w:r>
                </w:p>
              </w:tc>
              <w:tc>
                <w:tcPr>
                  <w:tcW w:w="555" w:type="pct"/>
                  <w:vAlign w:val="center"/>
                </w:tcPr>
                <w:p w14:paraId="775D6469">
                  <w:pPr>
                    <w:pStyle w:val="69"/>
                    <w:adjustRightInd/>
                    <w:snapToGrid/>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bl>
          <w:p w14:paraId="1DC0E98A">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综上，本项目符合《重庆市合川工业园区南溪组团南溪片区控制性详细规划》、《合川工业园区南溪组团、渭沱组团B区规划环境影响报告书》及其审查意见函的相关要求。</w:t>
            </w:r>
          </w:p>
          <w:p w14:paraId="652EAF3C">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6DE483B5">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55710971">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254CCF63">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7EE0F772">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1389A0EE">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29243ACB">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34EBF035">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09F5A4CB">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highlight w:val="none"/>
                <w14:textFill>
                  <w14:solidFill>
                    <w14:schemeClr w14:val="tx1"/>
                  </w14:solidFill>
                </w14:textFill>
              </w:rPr>
            </w:pPr>
          </w:p>
          <w:p w14:paraId="73BB75CC">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szCs w:val="21"/>
                <w:highlight w:val="none"/>
                <w14:textFill>
                  <w14:solidFill>
                    <w14:schemeClr w14:val="tx1"/>
                  </w14:solidFill>
                </w14:textFill>
              </w:rPr>
            </w:pPr>
          </w:p>
        </w:tc>
      </w:tr>
      <w:tr w14:paraId="77A76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72" w:hRule="atLeast"/>
          <w:jc w:val="center"/>
        </w:trPr>
        <w:tc>
          <w:tcPr>
            <w:tcW w:w="908" w:type="dxa"/>
            <w:gridSpan w:val="2"/>
            <w:vAlign w:val="center"/>
          </w:tcPr>
          <w:p w14:paraId="134317E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其他符合性分析</w:t>
            </w:r>
          </w:p>
        </w:tc>
        <w:tc>
          <w:tcPr>
            <w:tcW w:w="8734" w:type="dxa"/>
            <w:gridSpan w:val="4"/>
            <w:vAlign w:val="center"/>
          </w:tcPr>
          <w:p w14:paraId="4A8306A9">
            <w:pPr>
              <w:autoSpaceDE w:val="0"/>
              <w:autoSpaceDN w:val="0"/>
              <w:adjustRightInd w:val="0"/>
              <w:snapToGrid w:val="0"/>
              <w:ind w:left="0" w:leftChars="0" w:firstLine="0" w:firstLineChars="0"/>
              <w:rPr>
                <w:b/>
                <w:color w:val="000000" w:themeColor="text1"/>
                <w:kern w:val="0"/>
                <w:szCs w:val="2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1.2</w:t>
            </w:r>
            <w:r>
              <w:rPr>
                <w:b/>
                <w:color w:val="000000" w:themeColor="text1"/>
                <w:kern w:val="0"/>
                <w:szCs w:val="21"/>
                <w:highlight w:val="none"/>
                <w14:textFill>
                  <w14:solidFill>
                    <w14:schemeClr w14:val="tx1"/>
                  </w14:solidFill>
                </w14:textFill>
              </w:rPr>
              <w:t>与</w:t>
            </w:r>
            <w:r>
              <w:rPr>
                <w:rFonts w:hint="eastAsia"/>
                <w:b/>
                <w:color w:val="000000" w:themeColor="text1"/>
                <w:kern w:val="0"/>
                <w:szCs w:val="21"/>
                <w:highlight w:val="none"/>
                <w:lang w:eastAsia="zh-CN"/>
                <w14:textFill>
                  <w14:solidFill>
                    <w14:schemeClr w14:val="tx1"/>
                  </w14:solidFill>
                </w14:textFill>
              </w:rPr>
              <w:t>“</w:t>
            </w:r>
            <w:r>
              <w:rPr>
                <w:b/>
                <w:color w:val="000000" w:themeColor="text1"/>
                <w:kern w:val="0"/>
                <w:szCs w:val="21"/>
                <w:highlight w:val="none"/>
                <w14:textFill>
                  <w14:solidFill>
                    <w14:schemeClr w14:val="tx1"/>
                  </w14:solidFill>
                </w14:textFill>
              </w:rPr>
              <w:t>三线一单</w:t>
            </w:r>
            <w:r>
              <w:rPr>
                <w:rFonts w:hint="eastAsia"/>
                <w:b/>
                <w:color w:val="000000" w:themeColor="text1"/>
                <w:kern w:val="0"/>
                <w:szCs w:val="21"/>
                <w:highlight w:val="none"/>
                <w:lang w:eastAsia="zh-CN"/>
                <w14:textFill>
                  <w14:solidFill>
                    <w14:schemeClr w14:val="tx1"/>
                  </w14:solidFill>
                </w14:textFill>
              </w:rPr>
              <w:t>”</w:t>
            </w:r>
            <w:r>
              <w:rPr>
                <w:b/>
                <w:color w:val="000000" w:themeColor="text1"/>
                <w:kern w:val="0"/>
                <w:szCs w:val="21"/>
                <w:highlight w:val="none"/>
                <w14:textFill>
                  <w14:solidFill>
                    <w14:schemeClr w14:val="tx1"/>
                  </w14:solidFill>
                </w14:textFill>
              </w:rPr>
              <w:t>符合性分析</w:t>
            </w:r>
          </w:p>
          <w:p w14:paraId="1621DD71">
            <w:pPr>
              <w:pStyle w:val="15"/>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本</w:t>
            </w:r>
            <w:r>
              <w:rPr>
                <w:rFonts w:hint="eastAsia"/>
                <w:color w:val="000000" w:themeColor="text1"/>
                <w:kern w:val="0"/>
                <w:szCs w:val="21"/>
                <w:highlight w:val="none"/>
                <w14:textFill>
                  <w14:solidFill>
                    <w14:schemeClr w14:val="tx1"/>
                  </w14:solidFill>
                </w14:textFill>
              </w:rPr>
              <w:t>项目位于</w:t>
            </w:r>
            <w:r>
              <w:rPr>
                <w:rFonts w:hint="eastAsia"/>
                <w:color w:val="000000" w:themeColor="text1"/>
                <w:sz w:val="24"/>
                <w:szCs w:val="24"/>
                <w:highlight w:val="none"/>
                <w14:textFill>
                  <w14:solidFill>
                    <w14:schemeClr w14:val="tx1"/>
                  </w14:solidFill>
                </w14:textFill>
              </w:rPr>
              <w:t>合川工业园区南溪组团</w:t>
            </w:r>
            <w:r>
              <w:rPr>
                <w:rFonts w:hint="eastAsia"/>
                <w:color w:val="000000" w:themeColor="text1"/>
                <w:sz w:val="24"/>
                <w:szCs w:val="24"/>
                <w:highlight w:val="none"/>
                <w:lang w:val="en-US" w:eastAsia="zh-CN"/>
                <w14:textFill>
                  <w14:solidFill>
                    <w14:schemeClr w14:val="tx1"/>
                  </w14:solidFill>
                </w14:textFill>
              </w:rPr>
              <w:t>A区</w:t>
            </w:r>
            <w:r>
              <w:rPr>
                <w:rFonts w:hint="eastAsia"/>
                <w:color w:val="000000" w:themeColor="text1"/>
                <w:kern w:val="0"/>
                <w:szCs w:val="21"/>
                <w:highlight w:val="none"/>
                <w14:textFill>
                  <w14:solidFill>
                    <w14:schemeClr w14:val="tx1"/>
                  </w14:solidFill>
                </w14:textFill>
              </w:rPr>
              <w:t>。根据《重庆市“三线一单”生态环境分区管控调整方案（2023年）》《建设项目环评“三线一单”符合性分析技术要点（试行）的通知》（渝环函〔2022〕397号）</w:t>
            </w:r>
            <w:r>
              <w:rPr>
                <w:rFonts w:hint="eastAsia"/>
                <w:color w:val="000000" w:themeColor="text1"/>
                <w:kern w:val="0"/>
                <w:szCs w:val="21"/>
                <w:highlight w:val="none"/>
                <w:lang w:eastAsia="zh-CN"/>
                <w14:textFill>
                  <w14:solidFill>
                    <w14:schemeClr w14:val="tx1"/>
                  </w14:solidFill>
                </w14:textFill>
              </w:rPr>
              <w:t>《</w:t>
            </w:r>
            <w:r>
              <w:rPr>
                <w:color w:val="000000" w:themeColor="text1"/>
                <w:highlight w:val="none"/>
                <w14:textFill>
                  <w14:solidFill>
                    <w14:schemeClr w14:val="tx1"/>
                  </w14:solidFill>
                </w14:textFill>
              </w:rPr>
              <w:t>重庆市合川区</w:t>
            </w:r>
            <w:r>
              <w:rPr>
                <w:rFonts w:hint="eastAsia"/>
                <w:color w:val="000000" w:themeColor="text1"/>
                <w:kern w:val="0"/>
                <w:szCs w:val="21"/>
                <w:highlight w:val="none"/>
                <w14:textFill>
                  <w14:solidFill>
                    <w14:schemeClr w14:val="tx1"/>
                  </w14:solidFill>
                </w14:textFill>
              </w:rPr>
              <w:t>“三线一单”</w:t>
            </w:r>
            <w:r>
              <w:rPr>
                <w:color w:val="000000" w:themeColor="text1"/>
                <w:highlight w:val="none"/>
                <w14:textFill>
                  <w14:solidFill>
                    <w14:schemeClr w14:val="tx1"/>
                  </w14:solidFill>
                </w14:textFill>
              </w:rPr>
              <w:t>生态环境分区管控调整方案（2023年）》</w:t>
            </w:r>
            <w:r>
              <w:rPr>
                <w:rFonts w:hint="eastAsia"/>
                <w:color w:val="000000" w:themeColor="text1"/>
                <w:kern w:val="0"/>
                <w:szCs w:val="21"/>
                <w:highlight w:val="none"/>
                <w14:textFill>
                  <w14:solidFill>
                    <w14:schemeClr w14:val="tx1"/>
                  </w14:solidFill>
                </w14:textFill>
              </w:rPr>
              <w:t>以及重庆市三线一单智检服务平台出具的《三线一单检测分析报告》，项目所处位置属于“合川区重点管控单元-</w:t>
            </w:r>
            <w:r>
              <w:rPr>
                <w:rFonts w:hint="eastAsia"/>
                <w:color w:val="000000" w:themeColor="text1"/>
                <w:kern w:val="0"/>
                <w:szCs w:val="21"/>
                <w:highlight w:val="none"/>
                <w:lang w:eastAsia="zh-CN"/>
                <w14:textFill>
                  <w14:solidFill>
                    <w14:schemeClr w14:val="tx1"/>
                  </w14:solidFill>
                </w14:textFill>
              </w:rPr>
              <w:t>南溪片区</w:t>
            </w:r>
            <w:r>
              <w:rPr>
                <w:rFonts w:hint="eastAsia"/>
                <w:color w:val="000000" w:themeColor="text1"/>
                <w:kern w:val="0"/>
                <w:szCs w:val="21"/>
                <w:highlight w:val="none"/>
                <w14:textFill>
                  <w14:solidFill>
                    <w14:schemeClr w14:val="tx1"/>
                  </w14:solidFill>
                </w14:textFill>
              </w:rPr>
              <w:t>”，为重点管控单元，环境管控单元编码</w:t>
            </w:r>
            <w:r>
              <w:rPr>
                <w:color w:val="000000" w:themeColor="text1"/>
                <w:kern w:val="0"/>
                <w:szCs w:val="21"/>
                <w:highlight w:val="none"/>
                <w14:textFill>
                  <w14:solidFill>
                    <w14:schemeClr w14:val="tx1"/>
                  </w14:solidFill>
                </w14:textFill>
              </w:rPr>
              <w:t>ZH5001172000</w:t>
            </w:r>
            <w:r>
              <w:rPr>
                <w:rFonts w:hint="eastAsia"/>
                <w:color w:val="000000" w:themeColor="text1"/>
                <w:kern w:val="0"/>
                <w:szCs w:val="21"/>
                <w:highlight w:val="none"/>
                <w:lang w:val="en-US" w:eastAsia="zh-CN"/>
                <w14:textFill>
                  <w14:solidFill>
                    <w14:schemeClr w14:val="tx1"/>
                  </w14:solidFill>
                </w14:textFill>
              </w:rPr>
              <w:t>2</w:t>
            </w:r>
            <w:r>
              <w:rPr>
                <w:rFonts w:hint="eastAsia"/>
                <w:color w:val="000000" w:themeColor="text1"/>
                <w:kern w:val="0"/>
                <w:szCs w:val="21"/>
                <w:highlight w:val="none"/>
                <w14:textFill>
                  <w14:solidFill>
                    <w14:schemeClr w14:val="tx1"/>
                  </w14:solidFill>
                </w14:textFill>
              </w:rPr>
              <w:t>。</w:t>
            </w:r>
          </w:p>
          <w:p w14:paraId="5AE83DC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表1</w:t>
            </w:r>
            <w:r>
              <w:rPr>
                <w:rFonts w:hint="eastAsia"/>
                <w:b/>
                <w:bCs/>
                <w:color w:val="000000" w:themeColor="text1"/>
                <w:kern w:val="0"/>
                <w:szCs w:val="21"/>
                <w:highlight w:val="none"/>
                <w:lang w:val="en-US" w:eastAsia="zh-CN"/>
                <w14:textFill>
                  <w14:solidFill>
                    <w14:schemeClr w14:val="tx1"/>
                  </w14:solidFill>
                </w14:textFill>
              </w:rPr>
              <w:t>.2-1</w:t>
            </w:r>
            <w:r>
              <w:rPr>
                <w:b/>
                <w:bCs/>
                <w:color w:val="000000" w:themeColor="text1"/>
                <w:kern w:val="0"/>
                <w:szCs w:val="21"/>
                <w:highlight w:val="none"/>
                <w14:textFill>
                  <w14:solidFill>
                    <w14:schemeClr w14:val="tx1"/>
                  </w14:solidFill>
                </w14:textFill>
              </w:rPr>
              <w:t xml:space="preserve"> 项目与</w:t>
            </w:r>
            <w:r>
              <w:rPr>
                <w:rFonts w:hint="eastAsia"/>
                <w:b/>
                <w:bCs/>
                <w:color w:val="000000" w:themeColor="text1"/>
                <w:kern w:val="0"/>
                <w:szCs w:val="21"/>
                <w:highlight w:val="none"/>
                <w14:textFill>
                  <w14:solidFill>
                    <w14:schemeClr w14:val="tx1"/>
                  </w14:solidFill>
                </w14:textFill>
              </w:rPr>
              <w:t>“三线</w:t>
            </w:r>
            <w:r>
              <w:rPr>
                <w:b/>
                <w:bCs/>
                <w:color w:val="000000" w:themeColor="text1"/>
                <w:kern w:val="0"/>
                <w:szCs w:val="21"/>
                <w:highlight w:val="none"/>
                <w14:textFill>
                  <w14:solidFill>
                    <w14:schemeClr w14:val="tx1"/>
                  </w14:solidFill>
                </w14:textFill>
              </w:rPr>
              <w:t>一单</w:t>
            </w:r>
            <w:r>
              <w:rPr>
                <w:rFonts w:hint="eastAsia"/>
                <w:b/>
                <w:bCs/>
                <w:color w:val="000000" w:themeColor="text1"/>
                <w:kern w:val="0"/>
                <w:szCs w:val="21"/>
                <w:highlight w:val="none"/>
                <w14:textFill>
                  <w14:solidFill>
                    <w14:schemeClr w14:val="tx1"/>
                  </w14:solidFill>
                </w14:textFill>
              </w:rPr>
              <w:t>”</w:t>
            </w:r>
            <w:r>
              <w:rPr>
                <w:b/>
                <w:bCs/>
                <w:color w:val="000000" w:themeColor="text1"/>
                <w:kern w:val="0"/>
                <w:szCs w:val="21"/>
                <w:highlight w:val="none"/>
                <w14:textFill>
                  <w14:solidFill>
                    <w14:schemeClr w14:val="tx1"/>
                  </w14:solidFill>
                </w14:textFill>
              </w:rPr>
              <w:t>管控要求符合性分析</w:t>
            </w:r>
          </w:p>
          <w:tbl>
            <w:tblPr>
              <w:tblStyle w:val="29"/>
              <w:tblW w:w="848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7"/>
              <w:gridCol w:w="686"/>
              <w:gridCol w:w="901"/>
              <w:gridCol w:w="2610"/>
              <w:gridCol w:w="2209"/>
              <w:gridCol w:w="1184"/>
            </w:tblGrid>
            <w:tr w14:paraId="79CE2B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484" w:type="dxa"/>
                  <w:gridSpan w:val="3"/>
                  <w:vAlign w:val="center"/>
                </w:tcPr>
                <w:p w14:paraId="71ED4934">
                  <w:pPr>
                    <w:pStyle w:val="2"/>
                    <w:keepNext w:val="0"/>
                    <w:keepLines w:val="0"/>
                    <w:pageBreakBefore w:val="0"/>
                    <w:widowControl w:val="0"/>
                    <w:kinsoku/>
                    <w:wordWrap/>
                    <w:overflowPunct/>
                    <w:topLinePunct w:val="0"/>
                    <w:bidi w:val="0"/>
                    <w:spacing w:line="240" w:lineRule="auto"/>
                    <w:ind w:firstLine="0" w:firstLineChars="0"/>
                    <w:jc w:val="center"/>
                    <w:textAlignment w:val="auto"/>
                    <w:rPr>
                      <w:b/>
                      <w:bCs w:val="0"/>
                      <w:color w:val="000000" w:themeColor="text1"/>
                      <w:sz w:val="21"/>
                      <w:szCs w:val="21"/>
                      <w:highlight w:val="none"/>
                      <w14:textFill>
                        <w14:solidFill>
                          <w14:schemeClr w14:val="tx1"/>
                        </w14:solidFill>
                      </w14:textFill>
                    </w:rPr>
                  </w:pPr>
                  <w:r>
                    <w:rPr>
                      <w:rFonts w:hint="eastAsia" w:hAnsi="宋体"/>
                      <w:b/>
                      <w:bCs w:val="0"/>
                      <w:color w:val="000000" w:themeColor="text1"/>
                      <w:kern w:val="2"/>
                      <w:sz w:val="21"/>
                      <w:szCs w:val="21"/>
                      <w:highlight w:val="none"/>
                      <w:lang w:bidi="ar"/>
                      <w14:textFill>
                        <w14:solidFill>
                          <w14:schemeClr w14:val="tx1"/>
                        </w14:solidFill>
                      </w14:textFill>
                    </w:rPr>
                    <w:t>环境管控单元编码</w:t>
                  </w:r>
                </w:p>
              </w:tc>
              <w:tc>
                <w:tcPr>
                  <w:tcW w:w="2610" w:type="dxa"/>
                  <w:vAlign w:val="center"/>
                </w:tcPr>
                <w:p w14:paraId="2947413D">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eastAsia="方正黑体_GBK"/>
                      <w:b/>
                      <w:bCs w:val="0"/>
                      <w:color w:val="000000" w:themeColor="text1"/>
                      <w:sz w:val="21"/>
                      <w:szCs w:val="21"/>
                      <w:highlight w:val="none"/>
                      <w14:textFill>
                        <w14:solidFill>
                          <w14:schemeClr w14:val="tx1"/>
                        </w14:solidFill>
                      </w14:textFill>
                    </w:rPr>
                  </w:pPr>
                  <w:r>
                    <w:rPr>
                      <w:rFonts w:hint="eastAsia" w:ascii="宋体" w:hAnsi="宋体" w:cs="宋体"/>
                      <w:b/>
                      <w:bCs w:val="0"/>
                      <w:color w:val="000000" w:themeColor="text1"/>
                      <w:sz w:val="21"/>
                      <w:szCs w:val="21"/>
                      <w:highlight w:val="none"/>
                      <w:lang w:bidi="ar"/>
                      <w14:textFill>
                        <w14:solidFill>
                          <w14:schemeClr w14:val="tx1"/>
                        </w14:solidFill>
                      </w14:textFill>
                    </w:rPr>
                    <w:t>环境管控单元名称</w:t>
                  </w:r>
                </w:p>
              </w:tc>
              <w:tc>
                <w:tcPr>
                  <w:tcW w:w="3393" w:type="dxa"/>
                  <w:gridSpan w:val="2"/>
                  <w:vAlign w:val="center"/>
                </w:tcPr>
                <w:p w14:paraId="35CD24E1">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eastAsia="方正黑体_GBK"/>
                      <w:b/>
                      <w:bCs w:val="0"/>
                      <w:color w:val="000000" w:themeColor="text1"/>
                      <w:sz w:val="21"/>
                      <w:szCs w:val="21"/>
                      <w:highlight w:val="none"/>
                      <w14:textFill>
                        <w14:solidFill>
                          <w14:schemeClr w14:val="tx1"/>
                        </w14:solidFill>
                      </w14:textFill>
                    </w:rPr>
                  </w:pPr>
                  <w:r>
                    <w:rPr>
                      <w:rFonts w:hint="eastAsia" w:ascii="宋体" w:hAnsi="宋体" w:cs="宋体"/>
                      <w:b/>
                      <w:bCs w:val="0"/>
                      <w:color w:val="000000" w:themeColor="text1"/>
                      <w:sz w:val="21"/>
                      <w:szCs w:val="21"/>
                      <w:highlight w:val="none"/>
                      <w:lang w:bidi="ar"/>
                      <w14:textFill>
                        <w14:solidFill>
                          <w14:schemeClr w14:val="tx1"/>
                        </w14:solidFill>
                      </w14:textFill>
                    </w:rPr>
                    <w:t>环境管控单元类型</w:t>
                  </w:r>
                </w:p>
              </w:tc>
            </w:tr>
            <w:tr w14:paraId="2D693F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2484" w:type="dxa"/>
                  <w:gridSpan w:val="3"/>
                  <w:vAlign w:val="center"/>
                </w:tcPr>
                <w:p w14:paraId="1BAA8C2D">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eastAsia="宋体" w:cs="Times New Roman"/>
                      <w:bCs/>
                      <w:color w:val="000000" w:themeColor="text1"/>
                      <w:kern w:val="2"/>
                      <w:sz w:val="21"/>
                      <w:szCs w:val="21"/>
                      <w:highlight w:val="none"/>
                      <w:lang w:eastAsia="zh-CN" w:bidi="ar"/>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ZH5001172000</w:t>
                  </w:r>
                  <w:r>
                    <w:rPr>
                      <w:rFonts w:hint="eastAsia" w:ascii="Times New Roman" w:cs="Times New Roman"/>
                      <w:color w:val="000000" w:themeColor="text1"/>
                      <w:sz w:val="21"/>
                      <w:szCs w:val="21"/>
                      <w:highlight w:val="none"/>
                      <w:lang w:val="en-US" w:eastAsia="zh-CN"/>
                      <w14:textFill>
                        <w14:solidFill>
                          <w14:schemeClr w14:val="tx1"/>
                        </w14:solidFill>
                      </w14:textFill>
                    </w:rPr>
                    <w:t>2</w:t>
                  </w:r>
                </w:p>
              </w:tc>
              <w:tc>
                <w:tcPr>
                  <w:tcW w:w="2610" w:type="dxa"/>
                  <w:vAlign w:val="center"/>
                </w:tcPr>
                <w:p w14:paraId="0545A929">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hint="eastAsia" w:hAnsi="宋体" w:eastAsia="宋体"/>
                      <w:bCs/>
                      <w:color w:val="000000" w:themeColor="text1"/>
                      <w:kern w:val="2"/>
                      <w:sz w:val="21"/>
                      <w:szCs w:val="21"/>
                      <w:highlight w:val="none"/>
                      <w:lang w:eastAsia="zh-CN" w:bidi="ar"/>
                      <w14:textFill>
                        <w14:solidFill>
                          <w14:schemeClr w14:val="tx1"/>
                        </w14:solidFill>
                      </w14:textFill>
                    </w:rPr>
                  </w:pPr>
                  <w:r>
                    <w:rPr>
                      <w:rFonts w:hint="eastAsia" w:hAnsi="宋体"/>
                      <w:bCs/>
                      <w:color w:val="000000" w:themeColor="text1"/>
                      <w:kern w:val="2"/>
                      <w:sz w:val="21"/>
                      <w:szCs w:val="21"/>
                      <w:highlight w:val="none"/>
                      <w:lang w:eastAsia="zh-CN" w:bidi="ar"/>
                      <w14:textFill>
                        <w14:solidFill>
                          <w14:schemeClr w14:val="tx1"/>
                        </w14:solidFill>
                      </w14:textFill>
                    </w:rPr>
                    <w:t>合川区工业城镇重点管控单元—南溪片区</w:t>
                  </w:r>
                </w:p>
              </w:tc>
              <w:tc>
                <w:tcPr>
                  <w:tcW w:w="3393" w:type="dxa"/>
                  <w:gridSpan w:val="2"/>
                  <w:vAlign w:val="center"/>
                </w:tcPr>
                <w:p w14:paraId="00556816">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hAnsi="宋体"/>
                      <w:bCs/>
                      <w:color w:val="000000" w:themeColor="text1"/>
                      <w:kern w:val="2"/>
                      <w:sz w:val="21"/>
                      <w:szCs w:val="21"/>
                      <w:highlight w:val="none"/>
                      <w:lang w:bidi="ar"/>
                      <w14:textFill>
                        <w14:solidFill>
                          <w14:schemeClr w14:val="tx1"/>
                        </w14:solidFill>
                      </w14:textFill>
                    </w:rPr>
                  </w:pPr>
                  <w:r>
                    <w:rPr>
                      <w:rFonts w:hint="eastAsia" w:hAnsi="宋体"/>
                      <w:bCs/>
                      <w:color w:val="000000" w:themeColor="text1"/>
                      <w:kern w:val="2"/>
                      <w:sz w:val="21"/>
                      <w:szCs w:val="21"/>
                      <w:highlight w:val="none"/>
                      <w:lang w:bidi="ar"/>
                      <w14:textFill>
                        <w14:solidFill>
                          <w14:schemeClr w14:val="tx1"/>
                        </w14:solidFill>
                      </w14:textFill>
                    </w:rPr>
                    <w:t>合川区重点管控单元</w:t>
                  </w:r>
                </w:p>
              </w:tc>
            </w:tr>
            <w:tr w14:paraId="1465E5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97" w:type="dxa"/>
                  <w:vAlign w:val="center"/>
                </w:tcPr>
                <w:p w14:paraId="19DBC4E9">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bCs/>
                      <w:color w:val="000000" w:themeColor="text1"/>
                      <w:sz w:val="21"/>
                      <w:szCs w:val="21"/>
                      <w:highlight w:val="none"/>
                      <w14:textFill>
                        <w14:solidFill>
                          <w14:schemeClr w14:val="tx1"/>
                        </w14:solidFill>
                      </w14:textFill>
                    </w:rPr>
                  </w:pPr>
                  <w:r>
                    <w:rPr>
                      <w:bCs/>
                      <w:color w:val="000000" w:themeColor="text1"/>
                      <w:sz w:val="21"/>
                      <w:szCs w:val="21"/>
                      <w:highlight w:val="none"/>
                      <w:lang w:bidi="ar"/>
                      <w14:textFill>
                        <w14:solidFill>
                          <w14:schemeClr w14:val="tx1"/>
                        </w14:solidFill>
                      </w14:textFill>
                    </w:rPr>
                    <w:t>管控要求层级</w:t>
                  </w:r>
                </w:p>
              </w:tc>
              <w:tc>
                <w:tcPr>
                  <w:tcW w:w="686" w:type="dxa"/>
                  <w:vAlign w:val="center"/>
                </w:tcPr>
                <w:p w14:paraId="1BBC8649">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bCs/>
                      <w:color w:val="000000" w:themeColor="text1"/>
                      <w:sz w:val="21"/>
                      <w:szCs w:val="21"/>
                      <w:highlight w:val="none"/>
                      <w14:textFill>
                        <w14:solidFill>
                          <w14:schemeClr w14:val="tx1"/>
                        </w14:solidFill>
                      </w14:textFill>
                    </w:rPr>
                  </w:pPr>
                  <w:r>
                    <w:rPr>
                      <w:bCs/>
                      <w:color w:val="000000" w:themeColor="text1"/>
                      <w:sz w:val="21"/>
                      <w:szCs w:val="21"/>
                      <w:highlight w:val="none"/>
                      <w:lang w:bidi="ar"/>
                      <w14:textFill>
                        <w14:solidFill>
                          <w14:schemeClr w14:val="tx1"/>
                        </w14:solidFill>
                      </w14:textFill>
                    </w:rPr>
                    <w:t>管控类型</w:t>
                  </w:r>
                </w:p>
              </w:tc>
              <w:tc>
                <w:tcPr>
                  <w:tcW w:w="3511" w:type="dxa"/>
                  <w:gridSpan w:val="2"/>
                  <w:vAlign w:val="center"/>
                </w:tcPr>
                <w:p w14:paraId="4220604B">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bCs/>
                      <w:color w:val="000000" w:themeColor="text1"/>
                      <w:sz w:val="21"/>
                      <w:szCs w:val="21"/>
                      <w:highlight w:val="none"/>
                      <w14:textFill>
                        <w14:solidFill>
                          <w14:schemeClr w14:val="tx1"/>
                        </w14:solidFill>
                      </w14:textFill>
                    </w:rPr>
                  </w:pPr>
                  <w:r>
                    <w:rPr>
                      <w:bCs/>
                      <w:color w:val="000000" w:themeColor="text1"/>
                      <w:sz w:val="21"/>
                      <w:szCs w:val="21"/>
                      <w:highlight w:val="none"/>
                      <w:lang w:bidi="ar"/>
                      <w14:textFill>
                        <w14:solidFill>
                          <w14:schemeClr w14:val="tx1"/>
                        </w14:solidFill>
                      </w14:textFill>
                    </w:rPr>
                    <w:t>管控要求</w:t>
                  </w:r>
                </w:p>
              </w:tc>
              <w:tc>
                <w:tcPr>
                  <w:tcW w:w="2209" w:type="dxa"/>
                  <w:vAlign w:val="center"/>
                </w:tcPr>
                <w:p w14:paraId="232678A9">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bCs/>
                      <w:color w:val="000000" w:themeColor="text1"/>
                      <w:sz w:val="21"/>
                      <w:szCs w:val="21"/>
                      <w:highlight w:val="none"/>
                      <w14:textFill>
                        <w14:solidFill>
                          <w14:schemeClr w14:val="tx1"/>
                        </w14:solidFill>
                      </w14:textFill>
                    </w:rPr>
                  </w:pPr>
                  <w:r>
                    <w:rPr>
                      <w:bCs/>
                      <w:color w:val="000000" w:themeColor="text1"/>
                      <w:sz w:val="21"/>
                      <w:szCs w:val="21"/>
                      <w:highlight w:val="none"/>
                      <w:lang w:bidi="ar"/>
                      <w14:textFill>
                        <w14:solidFill>
                          <w14:schemeClr w14:val="tx1"/>
                        </w14:solidFill>
                      </w14:textFill>
                    </w:rPr>
                    <w:t>建设项目相关情况</w:t>
                  </w:r>
                </w:p>
              </w:tc>
              <w:tc>
                <w:tcPr>
                  <w:tcW w:w="1184" w:type="dxa"/>
                  <w:vAlign w:val="center"/>
                </w:tcPr>
                <w:p w14:paraId="4C7C11F8">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bCs/>
                      <w:color w:val="000000" w:themeColor="text1"/>
                      <w:sz w:val="21"/>
                      <w:szCs w:val="21"/>
                      <w:highlight w:val="none"/>
                      <w14:textFill>
                        <w14:solidFill>
                          <w14:schemeClr w14:val="tx1"/>
                        </w14:solidFill>
                      </w14:textFill>
                    </w:rPr>
                  </w:pPr>
                  <w:r>
                    <w:rPr>
                      <w:bCs/>
                      <w:color w:val="000000" w:themeColor="text1"/>
                      <w:sz w:val="21"/>
                      <w:szCs w:val="21"/>
                      <w:highlight w:val="none"/>
                      <w:lang w:bidi="ar"/>
                      <w14:textFill>
                        <w14:solidFill>
                          <w14:schemeClr w14:val="tx1"/>
                        </w14:solidFill>
                      </w14:textFill>
                    </w:rPr>
                    <w:t>符合性分析结论</w:t>
                  </w:r>
                </w:p>
              </w:tc>
            </w:tr>
            <w:tr w14:paraId="724A9A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12" w:hRule="atLeast"/>
                <w:jc w:val="center"/>
              </w:trPr>
              <w:tc>
                <w:tcPr>
                  <w:tcW w:w="897" w:type="dxa"/>
                  <w:vMerge w:val="restart"/>
                  <w:vAlign w:val="center"/>
                </w:tcPr>
                <w:p w14:paraId="54E2B426">
                  <w:pPr>
                    <w:pStyle w:val="2"/>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r>
                    <w:rPr>
                      <w:rFonts w:hint="eastAsia" w:ascii="Times New Roman" w:cs="Times New Roman"/>
                      <w:color w:val="000000" w:themeColor="text1"/>
                      <w:sz w:val="21"/>
                      <w:szCs w:val="21"/>
                      <w:highlight w:val="none"/>
                      <w14:textFill>
                        <w14:solidFill>
                          <w14:schemeClr w14:val="tx1"/>
                        </w14:solidFill>
                      </w14:textFill>
                    </w:rPr>
                    <w:t>全市总体管控要求</w:t>
                  </w:r>
                </w:p>
              </w:tc>
              <w:tc>
                <w:tcPr>
                  <w:tcW w:w="686" w:type="dxa"/>
                  <w:vMerge w:val="restart"/>
                  <w:vAlign w:val="center"/>
                </w:tcPr>
                <w:p w14:paraId="6D1A8B1E">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空间布局约束</w:t>
                  </w:r>
                </w:p>
              </w:tc>
              <w:tc>
                <w:tcPr>
                  <w:tcW w:w="3511" w:type="dxa"/>
                  <w:gridSpan w:val="2"/>
                  <w:vAlign w:val="center"/>
                </w:tcPr>
                <w:p w14:paraId="089AD02A">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第一条  深入贯彻习近平生态文明思想，筑牢长江上游重要生态屏障，推动优势区域重点发展、生态功能区重点保护、</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14:textFill>
                        <w14:solidFill>
                          <w14:schemeClr w14:val="tx1"/>
                        </w14:solidFill>
                      </w14:textFill>
                    </w:rPr>
                    <w:instrText xml:space="preserve"> HYPERLINK "http://guihuayun.com/baike/%E5%9F%8E%E4%B9%A1%E8%9E%8D%E5%90%88%E5%8F%91%E5%B1%95" \t "http://www.gui-hua.com/post/_blank" </w:instrTex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城乡融合发展</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14:textFill>
                        <w14:solidFill>
                          <w14:schemeClr w14:val="tx1"/>
                        </w14:solidFill>
                      </w14:textFill>
                    </w:rPr>
                    <w:t>，优化重点区域、流域、产业的空间布局。</w:t>
                  </w:r>
                </w:p>
              </w:tc>
              <w:tc>
                <w:tcPr>
                  <w:tcW w:w="2209" w:type="dxa"/>
                  <w:vAlign w:val="center"/>
                </w:tcPr>
                <w:p w14:paraId="206AD951">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bidi="ar"/>
                      <w14:textFill>
                        <w14:solidFill>
                          <w14:schemeClr w14:val="tx1"/>
                        </w14:solidFill>
                      </w14:textFill>
                    </w:rPr>
                    <w:t>本项目主要从事食品加工，位于</w:t>
                  </w:r>
                  <w:r>
                    <w:rPr>
                      <w:rFonts w:hint="default" w:ascii="Times New Roman" w:hAnsi="Times New Roman" w:cs="Times New Roman"/>
                      <w:color w:val="000000" w:themeColor="text1"/>
                      <w:sz w:val="21"/>
                      <w:szCs w:val="21"/>
                      <w:highlight w:val="none"/>
                      <w14:textFill>
                        <w14:solidFill>
                          <w14:schemeClr w14:val="tx1"/>
                        </w14:solidFill>
                      </w14:textFill>
                    </w:rPr>
                    <w:t>合川工业园区南溪组团</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A区</w:t>
                  </w:r>
                  <w:r>
                    <w:rPr>
                      <w:rFonts w:hint="default" w:ascii="Times New Roman" w:hAnsi="Times New Roman" w:cs="Times New Roman"/>
                      <w:color w:val="000000" w:themeColor="text1"/>
                      <w:sz w:val="21"/>
                      <w:szCs w:val="21"/>
                      <w:highlight w:val="none"/>
                      <w:lang w:bidi="ar"/>
                      <w14:textFill>
                        <w14:solidFill>
                          <w14:schemeClr w14:val="tx1"/>
                        </w14:solidFill>
                      </w14:textFill>
                    </w:rPr>
                    <w:t>，不属于园区禁止、限制入驻企业，符合要求。</w:t>
                  </w:r>
                </w:p>
              </w:tc>
              <w:tc>
                <w:tcPr>
                  <w:tcW w:w="1184" w:type="dxa"/>
                  <w:vAlign w:val="center"/>
                </w:tcPr>
                <w:p w14:paraId="18CB53CB">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bidi="ar"/>
                      <w14:textFill>
                        <w14:solidFill>
                          <w14:schemeClr w14:val="tx1"/>
                        </w14:solidFill>
                      </w14:textFill>
                    </w:rPr>
                    <w:t>符合</w:t>
                  </w:r>
                </w:p>
              </w:tc>
            </w:tr>
            <w:tr w14:paraId="3B624D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34" w:hRule="atLeast"/>
                <w:jc w:val="center"/>
              </w:trPr>
              <w:tc>
                <w:tcPr>
                  <w:tcW w:w="897" w:type="dxa"/>
                  <w:vMerge w:val="continue"/>
                  <w:vAlign w:val="center"/>
                </w:tcPr>
                <w:p w14:paraId="3890B09F">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7A14E6E8">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lang w:bidi="ar"/>
                      <w14:textFill>
                        <w14:solidFill>
                          <w14:schemeClr w14:val="tx1"/>
                        </w14:solidFill>
                      </w14:textFill>
                    </w:rPr>
                  </w:pPr>
                </w:p>
              </w:tc>
              <w:tc>
                <w:tcPr>
                  <w:tcW w:w="3511" w:type="dxa"/>
                  <w:gridSpan w:val="2"/>
                  <w:vAlign w:val="center"/>
                </w:tcPr>
                <w:p w14:paraId="265ABF6C">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改建除外。禁止在长江、嘉陵江、乌江岸线一公里范围内布局新建重化工、纸浆制造、印染等存在环境风险的项目。</w:t>
                  </w:r>
                </w:p>
              </w:tc>
              <w:tc>
                <w:tcPr>
                  <w:tcW w:w="2209" w:type="dxa"/>
                  <w:vAlign w:val="center"/>
                </w:tcPr>
                <w:p w14:paraId="11FFCDDA">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lang w:bidi="ar"/>
                      <w14:textFill>
                        <w14:solidFill>
                          <w14:schemeClr w14:val="tx1"/>
                        </w14:solidFill>
                      </w14:textFill>
                    </w:rPr>
                    <w:t>本项目</w:t>
                  </w:r>
                  <w:r>
                    <w:rPr>
                      <w:rFonts w:hint="default" w:ascii="Times New Roman" w:hAnsi="Times New Roman" w:cs="Times New Roman"/>
                      <w:color w:val="000000" w:themeColor="text1"/>
                      <w:sz w:val="21"/>
                      <w:szCs w:val="21"/>
                      <w:highlight w:val="none"/>
                      <w14:textFill>
                        <w14:solidFill>
                          <w14:schemeClr w14:val="tx1"/>
                        </w14:solidFill>
                      </w14:textFill>
                    </w:rPr>
                    <w:t>位于合川工业园区南溪组团</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A区</w:t>
                  </w:r>
                  <w:r>
                    <w:rPr>
                      <w:rFonts w:hint="default" w:ascii="Times New Roman" w:hAnsi="Times New Roman" w:cs="Times New Roman"/>
                      <w:color w:val="000000" w:themeColor="text1"/>
                      <w:sz w:val="21"/>
                      <w:szCs w:val="21"/>
                      <w:highlight w:val="none"/>
                      <w:lang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不在长江干流及主要支流岸线1公里范围内</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bidi="ar"/>
                      <w14:textFill>
                        <w14:solidFill>
                          <w14:schemeClr w14:val="tx1"/>
                        </w14:solidFill>
                      </w14:textFill>
                    </w:rPr>
                    <w:t>不属于重化工、纺织、造纸等存在污染风险的工业项目。</w:t>
                  </w:r>
                </w:p>
              </w:tc>
              <w:tc>
                <w:tcPr>
                  <w:tcW w:w="1184" w:type="dxa"/>
                  <w:vAlign w:val="center"/>
                </w:tcPr>
                <w:p w14:paraId="1A096E5A">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lang w:bidi="ar"/>
                      <w14:textFill>
                        <w14:solidFill>
                          <w14:schemeClr w14:val="tx1"/>
                        </w14:solidFill>
                      </w14:textFill>
                    </w:rPr>
                    <w:t>符合</w:t>
                  </w:r>
                </w:p>
              </w:tc>
            </w:tr>
            <w:tr w14:paraId="5AC3A4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897" w:type="dxa"/>
                  <w:vMerge w:val="continue"/>
                  <w:vAlign w:val="center"/>
                </w:tcPr>
                <w:p w14:paraId="07AE8A3F">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2B748132">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lang w:bidi="ar"/>
                      <w14:textFill>
                        <w14:solidFill>
                          <w14:schemeClr w14:val="tx1"/>
                        </w14:solidFill>
                      </w14:textFill>
                    </w:rPr>
                  </w:pPr>
                </w:p>
              </w:tc>
              <w:tc>
                <w:tcPr>
                  <w:tcW w:w="3511" w:type="dxa"/>
                  <w:gridSpan w:val="2"/>
                  <w:shd w:val="clear" w:color="auto" w:fill="auto"/>
                  <w:vAlign w:val="center"/>
                </w:tcPr>
                <w:p w14:paraId="03E55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两高</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2209" w:type="dxa"/>
                  <w:vAlign w:val="center"/>
                </w:tcPr>
                <w:p w14:paraId="2A5DD012">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本项目不属于存在</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污染风险的工业项目</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高污染项目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，不属于</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两高</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84" w:type="dxa"/>
                  <w:vAlign w:val="center"/>
                </w:tcPr>
                <w:p w14:paraId="37189C2D">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013148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23" w:hRule="atLeast"/>
                <w:jc w:val="center"/>
              </w:trPr>
              <w:tc>
                <w:tcPr>
                  <w:tcW w:w="897" w:type="dxa"/>
                  <w:vMerge w:val="continue"/>
                  <w:vAlign w:val="center"/>
                </w:tcPr>
                <w:p w14:paraId="10178854">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32851C26">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lang w:bidi="ar"/>
                      <w14:textFill>
                        <w14:solidFill>
                          <w14:schemeClr w14:val="tx1"/>
                        </w14:solidFill>
                      </w14:textFill>
                    </w:rPr>
                  </w:pPr>
                </w:p>
              </w:tc>
              <w:tc>
                <w:tcPr>
                  <w:tcW w:w="3511" w:type="dxa"/>
                  <w:gridSpan w:val="2"/>
                  <w:shd w:val="clear" w:color="auto" w:fill="auto"/>
                  <w:vAlign w:val="center"/>
                </w:tcPr>
                <w:p w14:paraId="6A8AC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2209" w:type="dxa"/>
                  <w:shd w:val="clear" w:color="auto" w:fill="auto"/>
                  <w:vAlign w:val="center"/>
                </w:tcPr>
                <w:p w14:paraId="224AD7CA">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本项目不属于高耗能、高排放、低水平项目，不属于化工项目，项目位于</w:t>
                  </w:r>
                  <w:r>
                    <w:rPr>
                      <w:rFonts w:hint="default" w:ascii="Times New Roman" w:hAnsi="Times New Roman" w:cs="Times New Roman"/>
                      <w:color w:val="000000" w:themeColor="text1"/>
                      <w:sz w:val="21"/>
                      <w:szCs w:val="21"/>
                      <w:highlight w:val="none"/>
                      <w14:textFill>
                        <w14:solidFill>
                          <w14:schemeClr w14:val="tx1"/>
                        </w14:solidFill>
                      </w14:textFill>
                    </w:rPr>
                    <w:t>合川工业园区南溪组团</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A区</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tc>
              <w:tc>
                <w:tcPr>
                  <w:tcW w:w="1184" w:type="dxa"/>
                  <w:vAlign w:val="center"/>
                </w:tcPr>
                <w:p w14:paraId="7D2272D3">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3C3EA9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3" w:hRule="atLeast"/>
                <w:jc w:val="center"/>
              </w:trPr>
              <w:tc>
                <w:tcPr>
                  <w:tcW w:w="897" w:type="dxa"/>
                  <w:vMerge w:val="continue"/>
                  <w:vAlign w:val="center"/>
                </w:tcPr>
                <w:p w14:paraId="27B0D885">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4D5D00CA">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lang w:bidi="ar"/>
                      <w14:textFill>
                        <w14:solidFill>
                          <w14:schemeClr w14:val="tx1"/>
                        </w14:solidFill>
                      </w14:textFill>
                    </w:rPr>
                  </w:pPr>
                </w:p>
              </w:tc>
              <w:tc>
                <w:tcPr>
                  <w:tcW w:w="3511" w:type="dxa"/>
                  <w:gridSpan w:val="2"/>
                  <w:shd w:val="clear" w:color="auto" w:fill="auto"/>
                  <w:vAlign w:val="center"/>
                </w:tcPr>
                <w:p w14:paraId="149B05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第五条 新建、扩建有色金属冶炼、电镀、铅蓄电池等企业应布设在依法合规设立并经过规划环评的产业园区。</w:t>
                  </w:r>
                </w:p>
              </w:tc>
              <w:tc>
                <w:tcPr>
                  <w:tcW w:w="2209" w:type="dxa"/>
                  <w:shd w:val="clear" w:color="auto" w:fill="auto"/>
                  <w:vAlign w:val="center"/>
                </w:tcPr>
                <w:p w14:paraId="7844C055">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本项目不属于有色金属冶炼、电镀、铅蓄电池等</w:t>
                  </w:r>
                  <w:r>
                    <w:rPr>
                      <w:rFonts w:hint="eastAsia" w:cs="Times New Roman"/>
                      <w:snapToGrid w:val="0"/>
                      <w:color w:val="000000" w:themeColor="text1"/>
                      <w:kern w:val="0"/>
                      <w:sz w:val="21"/>
                      <w:szCs w:val="21"/>
                      <w:highlight w:val="none"/>
                      <w:lang w:eastAsia="zh-CN"/>
                      <w14:textFill>
                        <w14:solidFill>
                          <w14:schemeClr w14:val="tx1"/>
                        </w14:solidFill>
                      </w14:textFill>
                    </w:rPr>
                    <w:t>工业</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项目。</w:t>
                  </w:r>
                </w:p>
              </w:tc>
              <w:tc>
                <w:tcPr>
                  <w:tcW w:w="1184" w:type="dxa"/>
                  <w:vAlign w:val="center"/>
                </w:tcPr>
                <w:p w14:paraId="05B04E55">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0E9DC9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3" w:hRule="atLeast"/>
                <w:jc w:val="center"/>
              </w:trPr>
              <w:tc>
                <w:tcPr>
                  <w:tcW w:w="897" w:type="dxa"/>
                  <w:vMerge w:val="continue"/>
                  <w:vAlign w:val="center"/>
                </w:tcPr>
                <w:p w14:paraId="3F3639AE">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49A04DD4">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lang w:bidi="ar"/>
                      <w14:textFill>
                        <w14:solidFill>
                          <w14:schemeClr w14:val="tx1"/>
                        </w14:solidFill>
                      </w14:textFill>
                    </w:rPr>
                  </w:pPr>
                </w:p>
              </w:tc>
              <w:tc>
                <w:tcPr>
                  <w:tcW w:w="3511" w:type="dxa"/>
                  <w:gridSpan w:val="2"/>
                  <w:shd w:val="clear" w:color="auto" w:fill="auto"/>
                  <w:vAlign w:val="center"/>
                </w:tcPr>
                <w:p w14:paraId="2336EC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第六条 涉及环境防护距离的工业企业或项目应通过选址或调整布局原则上将环境防护距离控制在园区边界或用地红线内，提前合理规划项目地块布置、预防环境风险。</w:t>
                  </w:r>
                </w:p>
              </w:tc>
              <w:tc>
                <w:tcPr>
                  <w:tcW w:w="2209" w:type="dxa"/>
                  <w:shd w:val="clear" w:color="auto" w:fill="auto"/>
                  <w:vAlign w:val="center"/>
                </w:tcPr>
                <w:p w14:paraId="1F90C719">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本项目位于</w:t>
                  </w:r>
                  <w:r>
                    <w:rPr>
                      <w:rFonts w:hint="default" w:ascii="Times New Roman" w:hAnsi="Times New Roman" w:cs="Times New Roman"/>
                      <w:color w:val="000000" w:themeColor="text1"/>
                      <w:sz w:val="21"/>
                      <w:szCs w:val="21"/>
                      <w:highlight w:val="none"/>
                      <w14:textFill>
                        <w14:solidFill>
                          <w14:schemeClr w14:val="tx1"/>
                        </w14:solidFill>
                      </w14:textFill>
                    </w:rPr>
                    <w:t>合川工业园区南溪组团</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A区</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tc>
              <w:tc>
                <w:tcPr>
                  <w:tcW w:w="1184" w:type="dxa"/>
                  <w:vAlign w:val="center"/>
                </w:tcPr>
                <w:p w14:paraId="5115DF53">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14:paraId="73DF7A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97" w:type="dxa"/>
                  <w:vMerge w:val="continue"/>
                  <w:vAlign w:val="center"/>
                </w:tcPr>
                <w:p w14:paraId="620CCB34">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57050C55">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lang w:bidi="ar"/>
                      <w14:textFill>
                        <w14:solidFill>
                          <w14:schemeClr w14:val="tx1"/>
                        </w14:solidFill>
                      </w14:textFill>
                    </w:rPr>
                  </w:pPr>
                </w:p>
              </w:tc>
              <w:tc>
                <w:tcPr>
                  <w:tcW w:w="3511" w:type="dxa"/>
                  <w:gridSpan w:val="2"/>
                  <w:shd w:val="clear" w:color="auto" w:fill="auto"/>
                  <w:vAlign w:val="center"/>
                </w:tcPr>
                <w:p w14:paraId="5630BE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第七条 有效规范空间开发秩序，合理控制空间开发强度，切实将各类开发活动限制在资源环境承载能力之内，为构建高效协调可持续的国土空间开发格局奠定坚实基础。</w:t>
                  </w:r>
                </w:p>
              </w:tc>
              <w:tc>
                <w:tcPr>
                  <w:tcW w:w="2209" w:type="dxa"/>
                  <w:vAlign w:val="center"/>
                </w:tcPr>
                <w:p w14:paraId="49D56CF6">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开发活动限制在资源环境承载能力之内</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84" w:type="dxa"/>
                  <w:vAlign w:val="center"/>
                </w:tcPr>
                <w:p w14:paraId="26C3DF61">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755525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897" w:type="dxa"/>
                  <w:vMerge w:val="continue"/>
                </w:tcPr>
                <w:p w14:paraId="7B947D5C">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restart"/>
                  <w:vAlign w:val="center"/>
                </w:tcPr>
                <w:p w14:paraId="0A2748A3">
                  <w:pPr>
                    <w:keepNext w:val="0"/>
                    <w:keepLines w:val="0"/>
                    <w:pageBreakBefore w:val="0"/>
                    <w:widowControl w:val="0"/>
                    <w:suppressAutoHyphens/>
                    <w:kinsoku/>
                    <w:wordWrap/>
                    <w:overflowPunct/>
                    <w:topLinePunct w:val="0"/>
                    <w:autoSpaceDE/>
                    <w:autoSpaceDN/>
                    <w:bidi w:val="0"/>
                    <w:adjustRightInd/>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污染物排放管控</w:t>
                  </w:r>
                </w:p>
              </w:tc>
              <w:tc>
                <w:tcPr>
                  <w:tcW w:w="3511" w:type="dxa"/>
                  <w:gridSpan w:val="2"/>
                  <w:vAlign w:val="center"/>
                </w:tcPr>
                <w:p w14:paraId="0E6CFB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第八条</w:t>
                  </w:r>
                  <w:r>
                    <w:rPr>
                      <w:rFonts w:hint="eastAsia" w:cs="Times New Roman"/>
                      <w:b w:val="0"/>
                      <w:bCs w:val="0"/>
                      <w:snapToGrid/>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2209" w:type="dxa"/>
                  <w:vAlign w:val="center"/>
                </w:tcPr>
                <w:p w14:paraId="434A8C76">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石化、煤化工、燃煤发电（含热电）、钢铁、有色金属冶炼、制浆造纸行业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，不属于两高企业</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84" w:type="dxa"/>
                  <w:vAlign w:val="center"/>
                </w:tcPr>
                <w:p w14:paraId="5E0CDC15">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5B2739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31" w:hRule="atLeast"/>
                <w:jc w:val="center"/>
              </w:trPr>
              <w:tc>
                <w:tcPr>
                  <w:tcW w:w="897" w:type="dxa"/>
                  <w:vMerge w:val="continue"/>
                </w:tcPr>
                <w:p w14:paraId="196363B2">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1EA8E69A">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p>
              </w:tc>
              <w:tc>
                <w:tcPr>
                  <w:tcW w:w="3511" w:type="dxa"/>
                  <w:gridSpan w:val="2"/>
                  <w:vAlign w:val="center"/>
                </w:tcPr>
                <w:p w14:paraId="1BA01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第九条</w:t>
                  </w:r>
                  <w:r>
                    <w:rPr>
                      <w:rFonts w:hint="eastAsia" w:cs="Times New Roman"/>
                      <w:b w:val="0"/>
                      <w:bCs w:val="0"/>
                      <w:snapToGrid/>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2209" w:type="dxa"/>
                  <w:shd w:val="clear" w:color="auto" w:fill="auto"/>
                  <w:vAlign w:val="center"/>
                </w:tcPr>
                <w:p w14:paraId="4C530A5B">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合川区属于</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大气环境</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不达标区域</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，合川区</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人民政府</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已</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制定限期达标规划</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，并且</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项目产生的废气</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量少，天然气燃烧废气</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采取有效处理措施后达标排放，满足污染物排放管控要求。</w:t>
                  </w:r>
                </w:p>
              </w:tc>
              <w:tc>
                <w:tcPr>
                  <w:tcW w:w="1184" w:type="dxa"/>
                  <w:vAlign w:val="center"/>
                </w:tcPr>
                <w:p w14:paraId="1B74BEE7">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61422B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22" w:hRule="atLeast"/>
                <w:jc w:val="center"/>
              </w:trPr>
              <w:tc>
                <w:tcPr>
                  <w:tcW w:w="897" w:type="dxa"/>
                  <w:vMerge w:val="continue"/>
                </w:tcPr>
                <w:p w14:paraId="36856596">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347CCBAE">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p>
              </w:tc>
              <w:tc>
                <w:tcPr>
                  <w:tcW w:w="3511" w:type="dxa"/>
                  <w:gridSpan w:val="2"/>
                  <w:vAlign w:val="center"/>
                </w:tcPr>
                <w:p w14:paraId="4BC41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第十条</w:t>
                  </w:r>
                  <w:r>
                    <w:rPr>
                      <w:rFonts w:hint="eastAsia" w:cs="Times New Roman"/>
                      <w:b w:val="0"/>
                      <w:bCs w:val="0"/>
                      <w:snapToGrid/>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2209" w:type="dxa"/>
                  <w:shd w:val="clear" w:color="auto" w:fill="auto"/>
                  <w:vAlign w:val="center"/>
                </w:tcPr>
                <w:p w14:paraId="627305EF">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本项目不产生</w:t>
                  </w: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喷漆、喷粉、印刷等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84" w:type="dxa"/>
                  <w:vAlign w:val="center"/>
                </w:tcPr>
                <w:p w14:paraId="41A1A8AD">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6CFFA3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73" w:hRule="atLeast"/>
                <w:jc w:val="center"/>
              </w:trPr>
              <w:tc>
                <w:tcPr>
                  <w:tcW w:w="897" w:type="dxa"/>
                  <w:vMerge w:val="continue"/>
                </w:tcPr>
                <w:p w14:paraId="0B050726">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03A9F6D0">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121D3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第十一条</w:t>
                  </w:r>
                  <w:r>
                    <w:rPr>
                      <w:rFonts w:hint="eastAsia" w:cs="Times New Roman"/>
                      <w:b w:val="0"/>
                      <w:bCs w:val="0"/>
                      <w:snapToGrid/>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2209" w:type="dxa"/>
                  <w:shd w:val="clear" w:color="auto" w:fill="auto"/>
                  <w:vAlign w:val="center"/>
                </w:tcPr>
                <w:p w14:paraId="40B18226">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本项目自建污水处理站，处理达标后排入园区污水管网。</w:t>
                  </w:r>
                </w:p>
              </w:tc>
              <w:tc>
                <w:tcPr>
                  <w:tcW w:w="1184" w:type="dxa"/>
                  <w:vAlign w:val="center"/>
                </w:tcPr>
                <w:p w14:paraId="140F1D1B">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2CEC7D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73" w:hRule="atLeast"/>
                <w:jc w:val="center"/>
              </w:trPr>
              <w:tc>
                <w:tcPr>
                  <w:tcW w:w="897" w:type="dxa"/>
                  <w:vMerge w:val="continue"/>
                </w:tcPr>
                <w:p w14:paraId="6CD6FA9A">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3EDB6F7E">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36C3B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第十二条</w:t>
                  </w:r>
                  <w:r>
                    <w:rPr>
                      <w:rFonts w:hint="eastAsia" w:cs="Times New Roman"/>
                      <w:b w:val="0"/>
                      <w:bCs w:val="0"/>
                      <w:snapToGrid/>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2209" w:type="dxa"/>
                  <w:vAlign w:val="center"/>
                </w:tcPr>
                <w:p w14:paraId="18180455">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本项目</w:t>
                  </w:r>
                  <w:r>
                    <w:rPr>
                      <w:rFonts w:hint="default" w:ascii="Times New Roman" w:hAnsi="Times New Roman" w:cs="Times New Roman"/>
                      <w:color w:val="000000" w:themeColor="text1"/>
                      <w:sz w:val="21"/>
                      <w:szCs w:val="21"/>
                      <w:highlight w:val="none"/>
                      <w:lang w:eastAsia="zh-CN"/>
                      <w14:textFill>
                        <w14:solidFill>
                          <w14:schemeClr w14:val="tx1"/>
                        </w14:solidFill>
                      </w14:textFill>
                    </w:rPr>
                    <w:t>不涉及。</w:t>
                  </w:r>
                </w:p>
              </w:tc>
              <w:tc>
                <w:tcPr>
                  <w:tcW w:w="1184" w:type="dxa"/>
                  <w:vAlign w:val="center"/>
                </w:tcPr>
                <w:p w14:paraId="56B1AF1D">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0D4AC0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73" w:hRule="atLeast"/>
                <w:jc w:val="center"/>
              </w:trPr>
              <w:tc>
                <w:tcPr>
                  <w:tcW w:w="897" w:type="dxa"/>
                  <w:vMerge w:val="continue"/>
                </w:tcPr>
                <w:p w14:paraId="4A970087">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204BBF56">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4394D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第十三条</w:t>
                  </w:r>
                  <w:r>
                    <w:rPr>
                      <w:rFonts w:hint="eastAsia" w:cs="Times New Roman"/>
                      <w:b w:val="0"/>
                      <w:bCs w:val="0"/>
                      <w:snapToGrid/>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2209" w:type="dxa"/>
                  <w:vAlign w:val="center"/>
                </w:tcPr>
                <w:p w14:paraId="31B47AE0">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本项目</w:t>
                  </w:r>
                  <w:r>
                    <w:rPr>
                      <w:rFonts w:hint="default" w:ascii="Times New Roman" w:hAnsi="Times New Roman" w:cs="Times New Roman"/>
                      <w:color w:val="000000" w:themeColor="text1"/>
                      <w:sz w:val="21"/>
                      <w:szCs w:val="21"/>
                      <w:highlight w:val="none"/>
                      <w:lang w:eastAsia="zh-CN"/>
                      <w14:textFill>
                        <w14:solidFill>
                          <w14:schemeClr w14:val="tx1"/>
                        </w14:solidFill>
                      </w14:textFill>
                    </w:rPr>
                    <w:t>不涉及。</w:t>
                  </w:r>
                </w:p>
              </w:tc>
              <w:tc>
                <w:tcPr>
                  <w:tcW w:w="1184" w:type="dxa"/>
                  <w:vAlign w:val="center"/>
                </w:tcPr>
                <w:p w14:paraId="1A5FAC3B">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2FD62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73" w:hRule="atLeast"/>
                <w:jc w:val="center"/>
              </w:trPr>
              <w:tc>
                <w:tcPr>
                  <w:tcW w:w="897" w:type="dxa"/>
                  <w:vMerge w:val="continue"/>
                </w:tcPr>
                <w:p w14:paraId="784291A6">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175A9A96">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76EFE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第十四条</w:t>
                  </w:r>
                  <w:r>
                    <w:rPr>
                      <w:rFonts w:hint="eastAsia" w:cs="Times New Roman"/>
                      <w:b w:val="0"/>
                      <w:bCs w:val="0"/>
                      <w:snapToGrid/>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2209" w:type="dxa"/>
                  <w:vAlign w:val="center"/>
                </w:tcPr>
                <w:p w14:paraId="4A1CDF5E">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本项目</w:t>
                  </w:r>
                  <w:r>
                    <w:rPr>
                      <w:rFonts w:hint="default" w:ascii="Times New Roman" w:hAnsi="Times New Roman" w:cs="Times New Roman"/>
                      <w:color w:val="000000" w:themeColor="text1"/>
                      <w:sz w:val="21"/>
                      <w:szCs w:val="21"/>
                      <w:highlight w:val="none"/>
                      <w:lang w:eastAsia="zh-CN"/>
                      <w14:textFill>
                        <w14:solidFill>
                          <w14:schemeClr w14:val="tx1"/>
                        </w14:solidFill>
                      </w14:textFill>
                    </w:rPr>
                    <w:t>不涉及。</w:t>
                  </w:r>
                </w:p>
              </w:tc>
              <w:tc>
                <w:tcPr>
                  <w:tcW w:w="1184" w:type="dxa"/>
                  <w:vAlign w:val="center"/>
                </w:tcPr>
                <w:p w14:paraId="0A043BF0">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605B1B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7" w:hRule="atLeast"/>
                <w:jc w:val="center"/>
              </w:trPr>
              <w:tc>
                <w:tcPr>
                  <w:tcW w:w="897" w:type="dxa"/>
                  <w:vMerge w:val="continue"/>
                </w:tcPr>
                <w:p w14:paraId="51A47C49">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66800102">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16B50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第十五条</w:t>
                  </w:r>
                  <w:r>
                    <w:rPr>
                      <w:rFonts w:hint="eastAsia" w:cs="Times New Roman"/>
                      <w:b w:val="0"/>
                      <w:bCs w:val="0"/>
                      <w:snapToGrid/>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209" w:type="dxa"/>
                  <w:vAlign w:val="center"/>
                </w:tcPr>
                <w:p w14:paraId="110C9BDA">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本项目生活垃圾集中</w:t>
                  </w:r>
                  <w:r>
                    <w:rPr>
                      <w:rFonts w:hint="default" w:ascii="Times New Roman" w:hAnsi="Times New Roman" w:cs="Times New Roman"/>
                      <w:color w:val="000000" w:themeColor="text1"/>
                      <w:sz w:val="21"/>
                      <w:szCs w:val="21"/>
                      <w:highlight w:val="none"/>
                      <w14:textFill>
                        <w14:solidFill>
                          <w14:schemeClr w14:val="tx1"/>
                        </w14:solidFill>
                      </w14:textFill>
                    </w:rPr>
                    <w:t>收集后交由环卫部门处理</w:t>
                  </w:r>
                  <w:r>
                    <w:rPr>
                      <w:rFonts w:hint="default" w:ascii="Times New Roman" w:hAnsi="Times New Roman" w:cs="Times New Roman"/>
                      <w:color w:val="000000" w:themeColor="text1"/>
                      <w:sz w:val="21"/>
                      <w:szCs w:val="21"/>
                      <w:highlight w:val="none"/>
                      <w:lang w:eastAsia="zh-CN"/>
                      <w14:textFill>
                        <w14:solidFill>
                          <w14:schemeClr w14:val="tx1"/>
                        </w14:solidFill>
                      </w14:textFill>
                    </w:rPr>
                    <w:t>，不会对周围环境造成影响。</w:t>
                  </w:r>
                </w:p>
              </w:tc>
              <w:tc>
                <w:tcPr>
                  <w:tcW w:w="1184" w:type="dxa"/>
                  <w:vAlign w:val="center"/>
                </w:tcPr>
                <w:p w14:paraId="57AFC298">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666A04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93" w:hRule="atLeast"/>
                <w:jc w:val="center"/>
              </w:trPr>
              <w:tc>
                <w:tcPr>
                  <w:tcW w:w="897" w:type="dxa"/>
                  <w:vMerge w:val="continue"/>
                </w:tcPr>
                <w:p w14:paraId="1F16E7C7">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restart"/>
                  <w:vAlign w:val="center"/>
                </w:tcPr>
                <w:p w14:paraId="0533D882">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环境风险防控</w:t>
                  </w:r>
                </w:p>
              </w:tc>
              <w:tc>
                <w:tcPr>
                  <w:tcW w:w="3511" w:type="dxa"/>
                  <w:gridSpan w:val="2"/>
                  <w:shd w:val="clear" w:color="auto" w:fill="auto"/>
                  <w:vAlign w:val="center"/>
                </w:tcPr>
                <w:p w14:paraId="1A5DE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209" w:type="dxa"/>
                  <w:vAlign w:val="center"/>
                </w:tcPr>
                <w:p w14:paraId="5FBEA654">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本项目不涉及。</w:t>
                  </w:r>
                </w:p>
              </w:tc>
              <w:tc>
                <w:tcPr>
                  <w:tcW w:w="1184" w:type="dxa"/>
                  <w:vAlign w:val="center"/>
                </w:tcPr>
                <w:p w14:paraId="59C79C52">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13C085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897" w:type="dxa"/>
                  <w:vMerge w:val="continue"/>
                </w:tcPr>
                <w:p w14:paraId="45265AC4">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2D44750A">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lang w:bidi="ar"/>
                      <w14:textFill>
                        <w14:solidFill>
                          <w14:schemeClr w14:val="tx1"/>
                        </w14:solidFill>
                      </w14:textFill>
                    </w:rPr>
                  </w:pPr>
                </w:p>
              </w:tc>
              <w:tc>
                <w:tcPr>
                  <w:tcW w:w="3511" w:type="dxa"/>
                  <w:gridSpan w:val="2"/>
                  <w:shd w:val="clear" w:color="auto" w:fill="auto"/>
                  <w:vAlign w:val="center"/>
                </w:tcPr>
                <w:p w14:paraId="5A96F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第十七条  强化化工园区涉水突发环境事件四级环境风险防范体系建设。持续推进重点化工园区（化工集中区）建设有毒有害气体监测预警体系和水质生物毒性预警体系。</w:t>
                  </w:r>
                </w:p>
              </w:tc>
              <w:tc>
                <w:tcPr>
                  <w:tcW w:w="2209" w:type="dxa"/>
                  <w:vAlign w:val="center"/>
                </w:tcPr>
                <w:p w14:paraId="7F98E3E3">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本项目不属于重大环境安全隐患的工业项目。</w:t>
                  </w:r>
                </w:p>
              </w:tc>
              <w:tc>
                <w:tcPr>
                  <w:tcW w:w="1184" w:type="dxa"/>
                  <w:vAlign w:val="center"/>
                </w:tcPr>
                <w:p w14:paraId="24509EE8">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485EBB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44" w:hRule="atLeast"/>
                <w:jc w:val="center"/>
              </w:trPr>
              <w:tc>
                <w:tcPr>
                  <w:tcW w:w="897" w:type="dxa"/>
                  <w:vMerge w:val="continue"/>
                </w:tcPr>
                <w:p w14:paraId="216EB790">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restart"/>
                  <w:vAlign w:val="center"/>
                </w:tcPr>
                <w:p w14:paraId="1765FF75">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资源开发效率要求</w:t>
                  </w:r>
                </w:p>
              </w:tc>
              <w:tc>
                <w:tcPr>
                  <w:tcW w:w="3511" w:type="dxa"/>
                  <w:gridSpan w:val="2"/>
                  <w:shd w:val="clear" w:color="auto" w:fill="auto"/>
                  <w:vAlign w:val="top"/>
                </w:tcPr>
                <w:p w14:paraId="03386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2209" w:type="dxa"/>
                  <w:vAlign w:val="center"/>
                </w:tcPr>
                <w:p w14:paraId="77B9B123">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本项目不涉及。</w:t>
                  </w:r>
                </w:p>
              </w:tc>
              <w:tc>
                <w:tcPr>
                  <w:tcW w:w="1184" w:type="dxa"/>
                  <w:vAlign w:val="center"/>
                </w:tcPr>
                <w:p w14:paraId="23C0429F">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514C9C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32" w:hRule="atLeast"/>
                <w:jc w:val="center"/>
              </w:trPr>
              <w:tc>
                <w:tcPr>
                  <w:tcW w:w="897" w:type="dxa"/>
                  <w:vMerge w:val="continue"/>
                </w:tcPr>
                <w:p w14:paraId="2440B4A9">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34721AE1">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top"/>
                </w:tcPr>
                <w:p w14:paraId="6FEF5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2209" w:type="dxa"/>
                  <w:vAlign w:val="center"/>
                </w:tcPr>
                <w:p w14:paraId="45A153BB">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清洁生产水平</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达到</w:t>
                  </w:r>
                  <w:r>
                    <w:rPr>
                      <w:rFonts w:hint="default" w:ascii="Times New Roman" w:hAnsi="Times New Roman" w:eastAsia="宋体" w:cs="Times New Roman"/>
                      <w:color w:val="000000" w:themeColor="text1"/>
                      <w:sz w:val="21"/>
                      <w:szCs w:val="21"/>
                      <w:highlight w:val="none"/>
                      <w14:textFill>
                        <w14:solidFill>
                          <w14:schemeClr w14:val="tx1"/>
                        </w14:solidFill>
                      </w14:textFill>
                    </w:rPr>
                    <w:t>国家清洁生产标准的国内先进水平</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锅炉</w:t>
                  </w:r>
                  <w:r>
                    <w:rPr>
                      <w:rFonts w:hint="default" w:ascii="Times New Roman" w:hAnsi="Times New Roman" w:eastAsia="宋体" w:cs="Times New Roman"/>
                      <w:bCs/>
                      <w:color w:val="000000" w:themeColor="text1"/>
                      <w:sz w:val="21"/>
                      <w:szCs w:val="21"/>
                      <w:highlight w:val="none"/>
                      <w14:textFill>
                        <w14:solidFill>
                          <w14:schemeClr w14:val="tx1"/>
                        </w14:solidFill>
                      </w14:textFill>
                    </w:rPr>
                    <w:t>采用低氮燃烧</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锅炉</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锅炉</w:t>
                  </w:r>
                  <w:r>
                    <w:rPr>
                      <w:rFonts w:hint="default" w:ascii="Times New Roman" w:hAnsi="Times New Roman" w:eastAsia="宋体" w:cs="Times New Roman"/>
                      <w:bCs/>
                      <w:color w:val="000000" w:themeColor="text1"/>
                      <w:sz w:val="21"/>
                      <w:szCs w:val="21"/>
                      <w:highlight w:val="none"/>
                      <w14:textFill>
                        <w14:solidFill>
                          <w14:schemeClr w14:val="tx1"/>
                        </w14:solidFill>
                      </w14:textFill>
                    </w:rPr>
                    <w:t>废气达标排放</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1184" w:type="dxa"/>
                  <w:vAlign w:val="center"/>
                </w:tcPr>
                <w:p w14:paraId="4DA927CC">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5098CF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897" w:type="dxa"/>
                  <w:vMerge w:val="continue"/>
                </w:tcPr>
                <w:p w14:paraId="489FBB18">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66EFD5D8">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top"/>
                </w:tcPr>
                <w:p w14:paraId="0EC83E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第二十条  新建、扩建“两高”项目应采用先进适用的工艺技术和装备，单位产品物耗、能耗、水耗等达到清洁生产先进水平。</w:t>
                  </w:r>
                </w:p>
              </w:tc>
              <w:tc>
                <w:tcPr>
                  <w:tcW w:w="2209" w:type="dxa"/>
                  <w:shd w:val="clear" w:color="auto" w:fill="auto"/>
                  <w:vAlign w:val="center"/>
                </w:tcPr>
                <w:p w14:paraId="49238CC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两高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1184" w:type="dxa"/>
                  <w:vAlign w:val="center"/>
                </w:tcPr>
                <w:p w14:paraId="4E4BC7C7">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2F10EB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897" w:type="dxa"/>
                  <w:vMerge w:val="continue"/>
                </w:tcPr>
                <w:p w14:paraId="70ECF29B">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2B5FFB4C">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top"/>
                </w:tcPr>
                <w:p w14:paraId="4C9A36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2209" w:type="dxa"/>
                  <w:shd w:val="clear" w:color="auto" w:fill="auto"/>
                  <w:vAlign w:val="center"/>
                </w:tcPr>
                <w:p w14:paraId="2FC67AB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火电、石化、有色金属、造纸、印染等高耗水行业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项目，未采用</w:t>
                  </w:r>
                  <w:r>
                    <w:rPr>
                      <w:rFonts w:hint="default" w:ascii="Times New Roman" w:hAnsi="Times New Roman" w:eastAsia="宋体" w:cs="Times New Roman"/>
                      <w:color w:val="000000" w:themeColor="text1"/>
                      <w:sz w:val="21"/>
                      <w:szCs w:val="21"/>
                      <w:highlight w:val="none"/>
                      <w14:textFill>
                        <w14:solidFill>
                          <w14:schemeClr w14:val="tx1"/>
                        </w14:solidFill>
                      </w14:textFill>
                    </w:rPr>
                    <w:t>淘汰落后用水工艺和技术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84" w:type="dxa"/>
                  <w:vAlign w:val="center"/>
                </w:tcPr>
                <w:p w14:paraId="1D925727">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7955DC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897" w:type="dxa"/>
                  <w:vMerge w:val="continue"/>
                </w:tcPr>
                <w:p w14:paraId="68A4F00B">
                  <w:pPr>
                    <w:pStyle w:val="2"/>
                    <w:keepNext w:val="0"/>
                    <w:keepLines w:val="0"/>
                    <w:pageBreakBefore w:val="0"/>
                    <w:widowControl w:val="0"/>
                    <w:kinsoku/>
                    <w:wordWrap/>
                    <w:overflowPunct/>
                    <w:topLinePunct w:val="0"/>
                    <w:bidi w:val="0"/>
                    <w:spacing w:line="240" w:lineRule="auto"/>
                    <w:ind w:firstLine="0" w:firstLineChars="0"/>
                    <w:textAlignment w:val="auto"/>
                    <w:rPr>
                      <w:rFonts w:ascii="Times New Roman" w:cs="Times New Roman"/>
                      <w:color w:val="000000" w:themeColor="text1"/>
                      <w:sz w:val="21"/>
                      <w:szCs w:val="21"/>
                      <w:highlight w:val="none"/>
                      <w14:textFill>
                        <w14:solidFill>
                          <w14:schemeClr w14:val="tx1"/>
                        </w14:solidFill>
                      </w14:textFill>
                    </w:rPr>
                  </w:pPr>
                </w:p>
              </w:tc>
              <w:tc>
                <w:tcPr>
                  <w:tcW w:w="686" w:type="dxa"/>
                  <w:vMerge w:val="continue"/>
                  <w:vAlign w:val="center"/>
                </w:tcPr>
                <w:p w14:paraId="4BFE5615">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top"/>
                </w:tcPr>
                <w:p w14:paraId="08DCE7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2209" w:type="dxa"/>
                  <w:shd w:val="clear" w:color="auto" w:fill="auto"/>
                  <w:vAlign w:val="center"/>
                </w:tcPr>
                <w:p w14:paraId="71491C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不涉及</w:t>
                  </w:r>
                </w:p>
              </w:tc>
              <w:tc>
                <w:tcPr>
                  <w:tcW w:w="1184" w:type="dxa"/>
                  <w:vAlign w:val="center"/>
                </w:tcPr>
                <w:p w14:paraId="2037E003">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7F2EFB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4" w:hRule="atLeast"/>
                <w:jc w:val="center"/>
              </w:trPr>
              <w:tc>
                <w:tcPr>
                  <w:tcW w:w="897" w:type="dxa"/>
                  <w:vMerge w:val="restart"/>
                  <w:vAlign w:val="center"/>
                </w:tcPr>
                <w:p w14:paraId="5AA3C292">
                  <w:pPr>
                    <w:pStyle w:val="2"/>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区县总体管控要求</w:t>
                  </w:r>
                </w:p>
              </w:tc>
              <w:tc>
                <w:tcPr>
                  <w:tcW w:w="686" w:type="dxa"/>
                  <w:vMerge w:val="restart"/>
                  <w:vAlign w:val="center"/>
                </w:tcPr>
                <w:p w14:paraId="6D578E56">
                  <w:pPr>
                    <w:pStyle w:val="2"/>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空间布局约束</w:t>
                  </w:r>
                </w:p>
              </w:tc>
              <w:tc>
                <w:tcPr>
                  <w:tcW w:w="3511" w:type="dxa"/>
                  <w:gridSpan w:val="2"/>
                  <w:vAlign w:val="center"/>
                </w:tcPr>
                <w:p w14:paraId="75E3037E">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第一条 执行重点管控单元市级总体要求第一条、第二条、第三条、第四条、第五条、第六条和第七条</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w:t>
                  </w:r>
                </w:p>
              </w:tc>
              <w:tc>
                <w:tcPr>
                  <w:tcW w:w="2209" w:type="dxa"/>
                  <w:tcBorders>
                    <w:bottom w:val="single" w:color="auto" w:sz="4" w:space="0"/>
                  </w:tcBorders>
                  <w:vAlign w:val="center"/>
                </w:tcPr>
                <w:p w14:paraId="065F05C5">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重点管控单元市级总体要求第一条、第二条、第三条、第四条、第五条、第六条和第七条</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w:t>
                  </w:r>
                </w:p>
              </w:tc>
              <w:tc>
                <w:tcPr>
                  <w:tcW w:w="1184" w:type="dxa"/>
                  <w:tcBorders>
                    <w:bottom w:val="single" w:color="auto" w:sz="4" w:space="0"/>
                  </w:tcBorders>
                  <w:vAlign w:val="center"/>
                </w:tcPr>
                <w:p w14:paraId="776FDA9D">
                  <w:pPr>
                    <w:pStyle w:val="2"/>
                    <w:keepNext w:val="0"/>
                    <w:keepLines w:val="0"/>
                    <w:pageBreakBefore w:val="0"/>
                    <w:widowControl w:val="0"/>
                    <w:suppressAutoHyphens/>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011E14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6" w:hRule="atLeast"/>
                <w:jc w:val="center"/>
              </w:trPr>
              <w:tc>
                <w:tcPr>
                  <w:tcW w:w="897" w:type="dxa"/>
                  <w:vMerge w:val="continue"/>
                </w:tcPr>
                <w:p w14:paraId="79A711E9">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tcPr>
                <w:p w14:paraId="30E6C0E0">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3511" w:type="dxa"/>
                  <w:gridSpan w:val="2"/>
                  <w:vAlign w:val="center"/>
                </w:tcPr>
                <w:p w14:paraId="7B619F81">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第二条 嘉陵江岸线1公里范围内限制布局新建纸浆制造、印染等存在环境风险的项目。</w:t>
                  </w:r>
                </w:p>
              </w:tc>
              <w:tc>
                <w:tcPr>
                  <w:tcW w:w="2209" w:type="dxa"/>
                  <w:tcBorders>
                    <w:top w:val="single" w:color="auto" w:sz="4" w:space="0"/>
                    <w:bottom w:val="single" w:color="auto" w:sz="4" w:space="0"/>
                  </w:tcBorders>
                  <w:vAlign w:val="center"/>
                </w:tcPr>
                <w:p w14:paraId="774B2394">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距嘉陵江2.7km，且不属于</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纸浆制造、印染等存在环境风险的项目</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84" w:type="dxa"/>
                  <w:tcBorders>
                    <w:top w:val="single" w:color="auto" w:sz="4" w:space="0"/>
                    <w:bottom w:val="single" w:color="auto" w:sz="4" w:space="0"/>
                  </w:tcBorders>
                  <w:vAlign w:val="center"/>
                </w:tcPr>
                <w:p w14:paraId="59FA7413">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4A5F5D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897" w:type="dxa"/>
                  <w:vMerge w:val="continue"/>
                </w:tcPr>
                <w:p w14:paraId="305B01CA">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restart"/>
                  <w:vAlign w:val="center"/>
                </w:tcPr>
                <w:p w14:paraId="30FCB466">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污染物排放管控</w:t>
                  </w:r>
                </w:p>
              </w:tc>
              <w:tc>
                <w:tcPr>
                  <w:tcW w:w="3511" w:type="dxa"/>
                  <w:gridSpan w:val="2"/>
                  <w:shd w:val="clear" w:color="auto" w:fill="auto"/>
                  <w:vAlign w:val="center"/>
                </w:tcPr>
                <w:p w14:paraId="3FDAA6B9">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第三条 执行重点管控单元市级总体要求第八条、第九条、第十条、第十一条、第十二条、第十三条、第十四条和第十五条。</w:t>
                  </w:r>
                </w:p>
              </w:tc>
              <w:tc>
                <w:tcPr>
                  <w:tcW w:w="2209" w:type="dxa"/>
                  <w:tcBorders>
                    <w:top w:val="single" w:color="auto" w:sz="4" w:space="0"/>
                  </w:tcBorders>
                  <w:shd w:val="clear" w:color="auto" w:fill="auto"/>
                  <w:vAlign w:val="center"/>
                </w:tcPr>
                <w:p w14:paraId="1BBA4E0D">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重点管控单元市级总体要求第八条、第九条、第十条、第十一条、第十二条、第十三条、第十四条和第十五条。</w:t>
                  </w:r>
                </w:p>
              </w:tc>
              <w:tc>
                <w:tcPr>
                  <w:tcW w:w="1184" w:type="dxa"/>
                  <w:tcBorders>
                    <w:top w:val="single" w:color="auto" w:sz="4" w:space="0"/>
                  </w:tcBorders>
                  <w:vAlign w:val="center"/>
                </w:tcPr>
                <w:p w14:paraId="09E63174">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14A508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897" w:type="dxa"/>
                  <w:vMerge w:val="continue"/>
                </w:tcPr>
                <w:p w14:paraId="25F88402">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323802D9">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0D874028">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第四条 持续推进农村人居环境整治，巩固拓展农村厕所革命成果，引导农村新建住房配套建设卫生厕所，推进人口规模较大村庄配套建设公共厕所；强化畜禽粪污资源化利用，加强散养畜禽管理；推进农药化肥减量增效；加强水产养殖污染专项治理，在养殖区内新建、改扩建水产专用养殖场（池）应配套建设养殖尾水治理设施，实现养殖尾水达标排放、循环使用或资源化利用。</w:t>
                  </w:r>
                </w:p>
              </w:tc>
              <w:tc>
                <w:tcPr>
                  <w:tcW w:w="2209" w:type="dxa"/>
                  <w:shd w:val="clear" w:color="auto" w:fill="auto"/>
                  <w:vAlign w:val="center"/>
                </w:tcPr>
                <w:p w14:paraId="084344AC">
                  <w:pPr>
                    <w:pStyle w:val="45"/>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本项目不涉及。</w:t>
                  </w:r>
                </w:p>
              </w:tc>
              <w:tc>
                <w:tcPr>
                  <w:tcW w:w="1184" w:type="dxa"/>
                  <w:vAlign w:val="center"/>
                </w:tcPr>
                <w:p w14:paraId="0BB5C254">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1DBB8F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897" w:type="dxa"/>
                  <w:vMerge w:val="continue"/>
                </w:tcPr>
                <w:p w14:paraId="1204E2EE">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20E14AF7">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51B3FEAE">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第五条 持续推进水泥等高排放重点管控企业超低排放改造；加大新型干法水泥窑、玻璃行业废气深度治理力度，深化烧结砖瓦窑生产企业深度治理，推进烧结砖瓦窑脱硫脱硝除尘改造；新建燃煤机组实施超低排放；燃气锅炉实施低氮改造。</w:t>
                  </w:r>
                </w:p>
              </w:tc>
              <w:tc>
                <w:tcPr>
                  <w:tcW w:w="2209" w:type="dxa"/>
                  <w:shd w:val="clear" w:color="auto" w:fill="auto"/>
                  <w:vAlign w:val="center"/>
                </w:tcPr>
                <w:p w14:paraId="4A0E1E0C">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锅炉</w:t>
                  </w:r>
                  <w:r>
                    <w:rPr>
                      <w:rFonts w:hint="default" w:ascii="Times New Roman" w:hAnsi="Times New Roman" w:eastAsia="宋体" w:cs="Times New Roman"/>
                      <w:bCs/>
                      <w:color w:val="000000" w:themeColor="text1"/>
                      <w:sz w:val="21"/>
                      <w:szCs w:val="21"/>
                      <w:highlight w:val="none"/>
                      <w14:textFill>
                        <w14:solidFill>
                          <w14:schemeClr w14:val="tx1"/>
                        </w14:solidFill>
                      </w14:textFill>
                    </w:rPr>
                    <w:t>采用低氮燃烧</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锅炉</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锅炉</w:t>
                  </w:r>
                  <w:r>
                    <w:rPr>
                      <w:rFonts w:hint="default" w:ascii="Times New Roman" w:hAnsi="Times New Roman" w:eastAsia="宋体" w:cs="Times New Roman"/>
                      <w:bCs/>
                      <w:color w:val="000000" w:themeColor="text1"/>
                      <w:sz w:val="21"/>
                      <w:szCs w:val="21"/>
                      <w:highlight w:val="none"/>
                      <w14:textFill>
                        <w14:solidFill>
                          <w14:schemeClr w14:val="tx1"/>
                        </w14:solidFill>
                      </w14:textFill>
                    </w:rPr>
                    <w:t>废气达标排放</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1184" w:type="dxa"/>
                  <w:vAlign w:val="center"/>
                </w:tcPr>
                <w:p w14:paraId="6D6E4705">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048660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897" w:type="dxa"/>
                  <w:vMerge w:val="continue"/>
                </w:tcPr>
                <w:p w14:paraId="009D2CF3">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1CDBC739">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448D56FC">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第六条 严格施工扬尘管理，建筑面积8万平方米以上工地全部安装扬尘在线监测系统并联网。加强道路扬尘控制，强化运渣车辆冒装撒漏监管。推进混凝土搅拌站和非煤矿山物料储运系统密闭化改造。</w:t>
                  </w:r>
                </w:p>
              </w:tc>
              <w:tc>
                <w:tcPr>
                  <w:tcW w:w="2209" w:type="dxa"/>
                  <w:shd w:val="clear" w:color="auto" w:fill="auto"/>
                  <w:vAlign w:val="center"/>
                </w:tcPr>
                <w:p w14:paraId="40C95DE8">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本项目施工期将</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严格管理施工扬尘，加强控制道路扬尘，强化监管运渣车辆冒装撒漏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84" w:type="dxa"/>
                  <w:vAlign w:val="center"/>
                </w:tcPr>
                <w:p w14:paraId="5E8A3013">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43F61B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897" w:type="dxa"/>
                  <w:vMerge w:val="continue"/>
                </w:tcPr>
                <w:p w14:paraId="62ADE187">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1AD48030">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32ACB882">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第七条 加快大宗货物和中长途货物运输“公转铁、公转水”，大力发展铁水、公铁、公水等多式联运，大宗物料优先采用铁路、管道或水路运输，短途接驳优先使用新能源车辆运输；加强船舶和非道路移动机械排气污染防治，提高燃油车船能效标准，健全交通运输装备能效标识制度，加快淘汰高耗能高排放老旧车船。全面实施汽车国六排放标准和非道路移动柴油机械国四排放标准。</w:t>
                  </w:r>
                </w:p>
              </w:tc>
              <w:tc>
                <w:tcPr>
                  <w:tcW w:w="2209" w:type="dxa"/>
                  <w:shd w:val="clear" w:color="auto" w:fill="auto"/>
                  <w:vAlign w:val="center"/>
                </w:tcPr>
                <w:p w14:paraId="0A6206A4">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不涉及。</w:t>
                  </w:r>
                </w:p>
              </w:tc>
              <w:tc>
                <w:tcPr>
                  <w:tcW w:w="1184" w:type="dxa"/>
                  <w:vAlign w:val="center"/>
                </w:tcPr>
                <w:p w14:paraId="47920165">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274B01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897" w:type="dxa"/>
                  <w:vMerge w:val="continue"/>
                </w:tcPr>
                <w:p w14:paraId="082F45FC">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0FA4D701">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25DFD37D">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第八条 推动新建小区公共烟道建设油烟集中处置设施，实现居民生活油烟达标排放，减少生活有机溶剂使用，针对建筑装修、汽修喷涂作业、干洗等行业，严格执行有机溶剂VOCs含量限值标准，鼓励使用低毒、低挥发性溶剂。</w:t>
                  </w:r>
                </w:p>
              </w:tc>
              <w:tc>
                <w:tcPr>
                  <w:tcW w:w="2209" w:type="dxa"/>
                  <w:shd w:val="clear" w:color="auto" w:fill="auto"/>
                  <w:vAlign w:val="center"/>
                </w:tcPr>
                <w:p w14:paraId="7C3DDA42">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不涉及。</w:t>
                  </w:r>
                </w:p>
              </w:tc>
              <w:tc>
                <w:tcPr>
                  <w:tcW w:w="1184" w:type="dxa"/>
                  <w:vAlign w:val="center"/>
                </w:tcPr>
                <w:p w14:paraId="4C3E58D6">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78D24F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96" w:hRule="atLeast"/>
                <w:jc w:val="center"/>
              </w:trPr>
              <w:tc>
                <w:tcPr>
                  <w:tcW w:w="897" w:type="dxa"/>
                  <w:vMerge w:val="continue"/>
                </w:tcPr>
                <w:p w14:paraId="3D353FE2">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restart"/>
                  <w:vAlign w:val="center"/>
                </w:tcPr>
                <w:p w14:paraId="44AF8E3A">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环境风险防控</w:t>
                  </w:r>
                </w:p>
              </w:tc>
              <w:tc>
                <w:tcPr>
                  <w:tcW w:w="3511" w:type="dxa"/>
                  <w:gridSpan w:val="2"/>
                  <w:shd w:val="clear" w:color="auto" w:fill="auto"/>
                  <w:vAlign w:val="center"/>
                </w:tcPr>
                <w:p w14:paraId="57783277">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第九条 执行重点管控单元市级总体要求第十六条。</w:t>
                  </w:r>
                </w:p>
              </w:tc>
              <w:tc>
                <w:tcPr>
                  <w:tcW w:w="2209" w:type="dxa"/>
                  <w:tcBorders>
                    <w:bottom w:val="single" w:color="auto" w:sz="4" w:space="0"/>
                  </w:tcBorders>
                  <w:shd w:val="clear" w:color="auto" w:fill="auto"/>
                  <w:vAlign w:val="center"/>
                </w:tcPr>
                <w:p w14:paraId="3E90B68E">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重点管控单元市级总体要求第十六条。</w:t>
                  </w:r>
                </w:p>
              </w:tc>
              <w:tc>
                <w:tcPr>
                  <w:tcW w:w="1184" w:type="dxa"/>
                  <w:vMerge w:val="restart"/>
                  <w:vAlign w:val="center"/>
                </w:tcPr>
                <w:p w14:paraId="24AA3852">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5B3D3E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897" w:type="dxa"/>
                  <w:vMerge w:val="continue"/>
                </w:tcPr>
                <w:p w14:paraId="66D140E1">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5601BD6F">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492867DF">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第十条 强化工业园区环境风险管控。完善工业园区现有重大风险源的风险防范体系和应急预案，定期开展应急事故演练，并加强监管；实施技术、工艺、设备等生态化、循环化改造，加快布局分散的企业向园区集中，按要求设置生态隔离带，建设相应的防护工程。强化环境应急队伍建设和物资储备。</w:t>
                  </w:r>
                </w:p>
              </w:tc>
              <w:tc>
                <w:tcPr>
                  <w:tcW w:w="2209" w:type="dxa"/>
                  <w:tcBorders>
                    <w:top w:val="single" w:color="auto" w:sz="4" w:space="0"/>
                    <w:bottom w:val="single" w:color="auto" w:sz="4" w:space="0"/>
                  </w:tcBorders>
                  <w:shd w:val="clear" w:color="auto" w:fill="auto"/>
                  <w:vAlign w:val="center"/>
                </w:tcPr>
                <w:p w14:paraId="380F5407">
                  <w:pPr>
                    <w:pStyle w:val="45"/>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本项目不属于重大环境安全隐患的工业项目。</w:t>
                  </w:r>
                </w:p>
              </w:tc>
              <w:tc>
                <w:tcPr>
                  <w:tcW w:w="1184" w:type="dxa"/>
                  <w:vMerge w:val="continue"/>
                  <w:tcBorders>
                    <w:bottom w:val="single" w:color="auto" w:sz="4" w:space="0"/>
                  </w:tcBorders>
                  <w:vAlign w:val="center"/>
                </w:tcPr>
                <w:p w14:paraId="20BD4FAA">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p>
              </w:tc>
            </w:tr>
            <w:tr w14:paraId="5E7B9E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897" w:type="dxa"/>
                  <w:vMerge w:val="continue"/>
                </w:tcPr>
                <w:p w14:paraId="41E35172">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75748DFD">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ascii="Times New Roman" w:cs="Times New Roman"/>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4255CE1B">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第十一条 工业集聚区内的项目对水环境存在安全隐患的，应当建立车间、工厂和集聚区三级环境风险防范体系。</w:t>
                  </w:r>
                </w:p>
              </w:tc>
              <w:tc>
                <w:tcPr>
                  <w:tcW w:w="2209" w:type="dxa"/>
                  <w:tcBorders>
                    <w:top w:val="single" w:color="auto" w:sz="4" w:space="0"/>
                    <w:bottom w:val="single" w:color="auto" w:sz="4" w:space="0"/>
                  </w:tcBorders>
                  <w:shd w:val="clear" w:color="auto" w:fill="auto"/>
                  <w:vAlign w:val="center"/>
                </w:tcPr>
                <w:p w14:paraId="2BDAD587">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环境风险较小，项目建成后按照要求</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建立车间、工厂和集聚区三级环境风险防范体系</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w:t>
                  </w:r>
                </w:p>
              </w:tc>
              <w:tc>
                <w:tcPr>
                  <w:tcW w:w="1184" w:type="dxa"/>
                  <w:tcBorders>
                    <w:top w:val="single" w:color="auto" w:sz="4" w:space="0"/>
                    <w:bottom w:val="single" w:color="auto" w:sz="4" w:space="0"/>
                  </w:tcBorders>
                  <w:vAlign w:val="center"/>
                </w:tcPr>
                <w:p w14:paraId="687277B8">
                  <w:pPr>
                    <w:pStyle w:val="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77F2BB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6" w:hRule="atLeast"/>
                <w:jc w:val="center"/>
              </w:trPr>
              <w:tc>
                <w:tcPr>
                  <w:tcW w:w="897" w:type="dxa"/>
                  <w:vMerge w:val="continue"/>
                </w:tcPr>
                <w:p w14:paraId="5066DADE">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1F0420F9">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7CD65239">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第十二条 深化区域联防联控机制，进一步健全与遂宁、广安、潼南、铜梁、北碚等地突发环境事件应急响应机制，有效预防和应对跨区域的突发环境风险事件。</w:t>
                  </w:r>
                </w:p>
              </w:tc>
              <w:tc>
                <w:tcPr>
                  <w:tcW w:w="2209" w:type="dxa"/>
                  <w:tcBorders>
                    <w:top w:val="single" w:color="auto" w:sz="4" w:space="0"/>
                    <w:bottom w:val="single" w:color="auto" w:sz="4" w:space="0"/>
                  </w:tcBorders>
                  <w:shd w:val="clear" w:color="auto" w:fill="auto"/>
                  <w:vAlign w:val="center"/>
                </w:tcPr>
                <w:p w14:paraId="37FBD427">
                  <w:pPr>
                    <w:pStyle w:val="45"/>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本项目不涉及</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84" w:type="dxa"/>
                  <w:tcBorders>
                    <w:top w:val="single" w:color="auto" w:sz="4" w:space="0"/>
                  </w:tcBorders>
                  <w:vAlign w:val="center"/>
                </w:tcPr>
                <w:p w14:paraId="01A8E811">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0536F1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45" w:hRule="atLeast"/>
                <w:jc w:val="center"/>
              </w:trPr>
              <w:tc>
                <w:tcPr>
                  <w:tcW w:w="897" w:type="dxa"/>
                  <w:vMerge w:val="continue"/>
                </w:tcPr>
                <w:p w14:paraId="4B0B4762">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restart"/>
                  <w:vAlign w:val="center"/>
                </w:tcPr>
                <w:p w14:paraId="09D31B94">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资源利用效率</w:t>
                  </w:r>
                </w:p>
              </w:tc>
              <w:tc>
                <w:tcPr>
                  <w:tcW w:w="3511" w:type="dxa"/>
                  <w:gridSpan w:val="2"/>
                  <w:shd w:val="clear" w:color="auto" w:fill="auto"/>
                  <w:vAlign w:val="center"/>
                </w:tcPr>
                <w:p w14:paraId="08F0795F">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第十三条 执行重点管控单元市级总体要求第十八条、第十九条、第二十条、第二十一条和第二十二条。</w:t>
                  </w:r>
                </w:p>
              </w:tc>
              <w:tc>
                <w:tcPr>
                  <w:tcW w:w="2209" w:type="dxa"/>
                  <w:tcBorders>
                    <w:top w:val="single" w:color="auto" w:sz="4" w:space="0"/>
                    <w:bottom w:val="single" w:color="auto" w:sz="4" w:space="0"/>
                  </w:tcBorders>
                  <w:vAlign w:val="center"/>
                </w:tcPr>
                <w:p w14:paraId="23B275BA">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重点管控单元市级总体要求第十八条、第十九条、第二十条、第二十一条和第二十二条。</w:t>
                  </w:r>
                </w:p>
              </w:tc>
              <w:tc>
                <w:tcPr>
                  <w:tcW w:w="1184" w:type="dxa"/>
                  <w:tcBorders>
                    <w:bottom w:val="single" w:color="auto" w:sz="4" w:space="0"/>
                  </w:tcBorders>
                  <w:vAlign w:val="center"/>
                </w:tcPr>
                <w:p w14:paraId="010FFA4E">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40C0E2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30" w:hRule="atLeast"/>
                <w:jc w:val="center"/>
              </w:trPr>
              <w:tc>
                <w:tcPr>
                  <w:tcW w:w="897" w:type="dxa"/>
                  <w:vMerge w:val="continue"/>
                </w:tcPr>
                <w:p w14:paraId="6A307924">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45FC77F0">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1C31DC4D">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第十四条 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2209" w:type="dxa"/>
                  <w:tcBorders>
                    <w:top w:val="single" w:color="auto" w:sz="4" w:space="0"/>
                    <w:bottom w:val="single" w:color="auto" w:sz="4" w:space="0"/>
                  </w:tcBorders>
                  <w:vAlign w:val="center"/>
                </w:tcPr>
                <w:p w14:paraId="37189F6A">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本项目不涉及煤炭使用。</w:t>
                  </w:r>
                </w:p>
              </w:tc>
              <w:tc>
                <w:tcPr>
                  <w:tcW w:w="1184" w:type="dxa"/>
                  <w:tcBorders>
                    <w:bottom w:val="single" w:color="auto" w:sz="4" w:space="0"/>
                  </w:tcBorders>
                  <w:vAlign w:val="center"/>
                </w:tcPr>
                <w:p w14:paraId="59BA8DF1">
                  <w:pPr>
                    <w:keepNext w:val="0"/>
                    <w:keepLines w:val="0"/>
                    <w:pageBreakBefore w:val="0"/>
                    <w:widowControl w:val="0"/>
                    <w:suppressAutoHyphens/>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44A2BD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6" w:hRule="atLeast"/>
                <w:jc w:val="center"/>
              </w:trPr>
              <w:tc>
                <w:tcPr>
                  <w:tcW w:w="897" w:type="dxa"/>
                  <w:vMerge w:val="continue"/>
                </w:tcPr>
                <w:p w14:paraId="0972B87C">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394FDF8D">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382736D6">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第十五条 持续开展重点河流和水库富营养化监测预警及控制，科学实施梯级航电工程生态调度，保证生态基流。</w:t>
                  </w:r>
                </w:p>
              </w:tc>
              <w:tc>
                <w:tcPr>
                  <w:tcW w:w="2209" w:type="dxa"/>
                  <w:tcBorders>
                    <w:top w:val="single" w:color="auto" w:sz="4" w:space="0"/>
                    <w:bottom w:val="single" w:color="auto" w:sz="4" w:space="0"/>
                  </w:tcBorders>
                  <w:vAlign w:val="center"/>
                </w:tcPr>
                <w:p w14:paraId="6C5096E3">
                  <w:pPr>
                    <w:pStyle w:val="2"/>
                    <w:keepNext w:val="0"/>
                    <w:keepLines w:val="0"/>
                    <w:pageBreakBefore w:val="0"/>
                    <w:widowControl w:val="0"/>
                    <w:suppressAutoHyphens/>
                    <w:kinsoku/>
                    <w:wordWrap/>
                    <w:overflowPunct/>
                    <w:topLinePunct w:val="0"/>
                    <w:bidi w:val="0"/>
                    <w:snapToGrid w:val="0"/>
                    <w:spacing w:line="240" w:lineRule="auto"/>
                    <w:ind w:firstLine="0" w:firstLineChars="0"/>
                    <w:jc w:val="both"/>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本项目不涉及。</w:t>
                  </w:r>
                </w:p>
              </w:tc>
              <w:tc>
                <w:tcPr>
                  <w:tcW w:w="1184" w:type="dxa"/>
                  <w:tcBorders>
                    <w:bottom w:val="single" w:color="auto" w:sz="4" w:space="0"/>
                  </w:tcBorders>
                  <w:vAlign w:val="center"/>
                </w:tcPr>
                <w:p w14:paraId="715D460C">
                  <w:pPr>
                    <w:keepNext w:val="0"/>
                    <w:keepLines w:val="0"/>
                    <w:pageBreakBefore w:val="0"/>
                    <w:widowControl w:val="0"/>
                    <w:suppressAutoHyphens/>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09438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30" w:hRule="atLeast"/>
                <w:jc w:val="center"/>
              </w:trPr>
              <w:tc>
                <w:tcPr>
                  <w:tcW w:w="897" w:type="dxa"/>
                  <w:vMerge w:val="continue"/>
                </w:tcPr>
                <w:p w14:paraId="10D3151C">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206210F4">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025AC06D">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第十六条 在高污染燃料禁燃区内，禁止销售、燃用高污染燃料；禁止新建、扩建燃用高污染燃料的设施，已建成的，应当在城市人民政府规定的期限内改用天然气、页岩气、液化石油气、电或者其他清洁能源。</w:t>
                  </w:r>
                </w:p>
              </w:tc>
              <w:tc>
                <w:tcPr>
                  <w:tcW w:w="2209" w:type="dxa"/>
                  <w:tcBorders>
                    <w:top w:val="single" w:color="auto" w:sz="4" w:space="0"/>
                    <w:bottom w:val="single" w:color="auto" w:sz="4" w:space="0"/>
                  </w:tcBorders>
                  <w:vAlign w:val="center"/>
                </w:tcPr>
                <w:p w14:paraId="7BE010BD">
                  <w:pPr>
                    <w:pStyle w:val="2"/>
                    <w:keepNext w:val="0"/>
                    <w:keepLines w:val="0"/>
                    <w:pageBreakBefore w:val="0"/>
                    <w:widowControl w:val="0"/>
                    <w:suppressAutoHyphens/>
                    <w:kinsoku/>
                    <w:wordWrap/>
                    <w:overflowPunct/>
                    <w:topLinePunct w:val="0"/>
                    <w:bidi w:val="0"/>
                    <w:snapToGrid w:val="0"/>
                    <w:spacing w:line="240" w:lineRule="auto"/>
                    <w:ind w:firstLine="0" w:firstLineChars="0"/>
                    <w:jc w:val="both"/>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本项目不涉及高污染燃料使用。</w:t>
                  </w:r>
                </w:p>
              </w:tc>
              <w:tc>
                <w:tcPr>
                  <w:tcW w:w="1184" w:type="dxa"/>
                  <w:tcBorders>
                    <w:bottom w:val="single" w:color="auto" w:sz="4" w:space="0"/>
                  </w:tcBorders>
                  <w:vAlign w:val="center"/>
                </w:tcPr>
                <w:p w14:paraId="7B2EC0C6">
                  <w:pPr>
                    <w:keepNext w:val="0"/>
                    <w:keepLines w:val="0"/>
                    <w:pageBreakBefore w:val="0"/>
                    <w:widowControl w:val="0"/>
                    <w:suppressAutoHyphens/>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2C3747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30" w:hRule="atLeast"/>
                <w:jc w:val="center"/>
              </w:trPr>
              <w:tc>
                <w:tcPr>
                  <w:tcW w:w="897" w:type="dxa"/>
                  <w:vMerge w:val="continue"/>
                </w:tcPr>
                <w:p w14:paraId="6DF41C30">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70574C57">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shd w:val="clear" w:color="auto" w:fill="auto"/>
                  <w:vAlign w:val="center"/>
                </w:tcPr>
                <w:p w14:paraId="3BA17094">
                  <w:pPr>
                    <w:pStyle w:val="45"/>
                    <w:keepNext w:val="0"/>
                    <w:keepLines w:val="0"/>
                    <w:pageBreakBefore w:val="0"/>
                    <w:widowControl w:val="0"/>
                    <w:kinsoku/>
                    <w:wordWrap/>
                    <w:overflowPunct/>
                    <w:topLinePunct w:val="0"/>
                    <w:bidi w:val="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第十七条 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2209" w:type="dxa"/>
                  <w:tcBorders>
                    <w:top w:val="single" w:color="auto" w:sz="4" w:space="0"/>
                    <w:bottom w:val="single" w:color="auto" w:sz="4" w:space="0"/>
                  </w:tcBorders>
                  <w:vAlign w:val="center"/>
                </w:tcPr>
                <w:p w14:paraId="4FBAA95C">
                  <w:pPr>
                    <w:pStyle w:val="2"/>
                    <w:keepNext w:val="0"/>
                    <w:keepLines w:val="0"/>
                    <w:pageBreakBefore w:val="0"/>
                    <w:widowControl w:val="0"/>
                    <w:suppressAutoHyphens/>
                    <w:kinsoku/>
                    <w:wordWrap/>
                    <w:overflowPunct/>
                    <w:topLinePunct w:val="0"/>
                    <w:bidi w:val="0"/>
                    <w:snapToGrid w:val="0"/>
                    <w:spacing w:line="240" w:lineRule="auto"/>
                    <w:ind w:firstLine="0" w:firstLineChars="0"/>
                    <w:jc w:val="both"/>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本项目不涉及</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长江流域河湖岸线</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利用、占用。</w:t>
                  </w:r>
                </w:p>
              </w:tc>
              <w:tc>
                <w:tcPr>
                  <w:tcW w:w="1184" w:type="dxa"/>
                  <w:tcBorders>
                    <w:bottom w:val="single" w:color="auto" w:sz="4" w:space="0"/>
                  </w:tcBorders>
                  <w:vAlign w:val="center"/>
                </w:tcPr>
                <w:p w14:paraId="4ADEA682">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符合</w:t>
                  </w:r>
                </w:p>
              </w:tc>
            </w:tr>
            <w:tr w14:paraId="5A7C0F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8" w:hRule="atLeast"/>
                <w:jc w:val="center"/>
              </w:trPr>
              <w:tc>
                <w:tcPr>
                  <w:tcW w:w="897" w:type="dxa"/>
                  <w:vMerge w:val="restart"/>
                  <w:vAlign w:val="center"/>
                </w:tcPr>
                <w:p w14:paraId="6F597651">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单元管控要求</w:t>
                  </w:r>
                </w:p>
              </w:tc>
              <w:tc>
                <w:tcPr>
                  <w:tcW w:w="686" w:type="dxa"/>
                  <w:vMerge w:val="restart"/>
                  <w:vAlign w:val="center"/>
                </w:tcPr>
                <w:p w14:paraId="713AEB25">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空间布局约束</w:t>
                  </w:r>
                </w:p>
              </w:tc>
              <w:tc>
                <w:tcPr>
                  <w:tcW w:w="3511" w:type="dxa"/>
                  <w:gridSpan w:val="2"/>
                  <w:vAlign w:val="center"/>
                </w:tcPr>
                <w:p w14:paraId="455B8117">
                  <w:pPr>
                    <w:keepNext w:val="0"/>
                    <w:keepLines w:val="0"/>
                    <w:pageBreakBefore w:val="0"/>
                    <w:widowControl w:val="0"/>
                    <w:kinsoku/>
                    <w:wordWrap/>
                    <w:overflowPunct/>
                    <w:topLinePunct w:val="0"/>
                    <w:bidi w:val="0"/>
                    <w:spacing w:line="240" w:lineRule="auto"/>
                    <w:ind w:firstLine="0" w:firstLineChars="0"/>
                    <w:jc w:val="both"/>
                    <w:textAlignment w:val="auto"/>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紧邻居住用地、学校等保护目标的工业用地后续不宜布局高噪声以及涉及喷涂、铸造、屠宰、发酵等异味较大或其他易扰民的工业项目。</w:t>
                  </w:r>
                </w:p>
              </w:tc>
              <w:tc>
                <w:tcPr>
                  <w:tcW w:w="2209" w:type="dxa"/>
                  <w:tcBorders>
                    <w:top w:val="single" w:color="auto" w:sz="4" w:space="0"/>
                  </w:tcBorders>
                  <w:vAlign w:val="center"/>
                </w:tcPr>
                <w:p w14:paraId="2E3A2631">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不属于文件禁止</w:t>
                  </w:r>
                  <w:r>
                    <w:rPr>
                      <w:color w:val="000000" w:themeColor="text1"/>
                      <w:sz w:val="21"/>
                      <w:szCs w:val="21"/>
                      <w:highlight w:val="none"/>
                      <w14:textFill>
                        <w14:solidFill>
                          <w14:schemeClr w14:val="tx1"/>
                        </w14:solidFill>
                      </w14:textFill>
                    </w:rPr>
                    <w:t>建设项目</w:t>
                  </w:r>
                  <w:r>
                    <w:rPr>
                      <w:rFonts w:hint="eastAsia"/>
                      <w:color w:val="000000" w:themeColor="text1"/>
                      <w:sz w:val="21"/>
                      <w:szCs w:val="21"/>
                      <w:highlight w:val="none"/>
                      <w14:textFill>
                        <w14:solidFill>
                          <w14:schemeClr w14:val="tx1"/>
                        </w14:solidFill>
                      </w14:textFill>
                    </w:rPr>
                    <w:t>。</w:t>
                  </w:r>
                </w:p>
              </w:tc>
              <w:tc>
                <w:tcPr>
                  <w:tcW w:w="1184" w:type="dxa"/>
                  <w:tcBorders>
                    <w:top w:val="single" w:color="auto" w:sz="4" w:space="0"/>
                  </w:tcBorders>
                  <w:vAlign w:val="center"/>
                </w:tcPr>
                <w:p w14:paraId="7F6B61D2">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ascii="Times New Roman" w:cs="Times New Roman"/>
                      <w:color w:val="000000" w:themeColor="text1"/>
                      <w:kern w:val="2"/>
                      <w:sz w:val="21"/>
                      <w:szCs w:val="21"/>
                      <w:highlight w:val="none"/>
                      <w14:textFill>
                        <w14:solidFill>
                          <w14:schemeClr w14:val="tx1"/>
                        </w14:solidFill>
                      </w14:textFill>
                    </w:rPr>
                  </w:pPr>
                  <w:r>
                    <w:rPr>
                      <w:rFonts w:hint="eastAsia" w:ascii="Times New Roman" w:cs="Times New Roman"/>
                      <w:color w:val="000000" w:themeColor="text1"/>
                      <w:kern w:val="2"/>
                      <w:sz w:val="21"/>
                      <w:szCs w:val="21"/>
                      <w:highlight w:val="none"/>
                      <w14:textFill>
                        <w14:solidFill>
                          <w14:schemeClr w14:val="tx1"/>
                        </w14:solidFill>
                      </w14:textFill>
                    </w:rPr>
                    <w:t>符合</w:t>
                  </w:r>
                </w:p>
              </w:tc>
            </w:tr>
            <w:tr w14:paraId="69BB9B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97" w:type="dxa"/>
                  <w:vMerge w:val="continue"/>
                  <w:vAlign w:val="center"/>
                </w:tcPr>
                <w:p w14:paraId="38C834DF">
                  <w:pPr>
                    <w:pStyle w:val="2"/>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686" w:type="dxa"/>
                  <w:vMerge w:val="continue"/>
                  <w:vAlign w:val="center"/>
                </w:tcPr>
                <w:p w14:paraId="7CDCB3AF">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vAlign w:val="center"/>
                </w:tcPr>
                <w:p w14:paraId="66C20967">
                  <w:pPr>
                    <w:pStyle w:val="21"/>
                    <w:keepNext w:val="0"/>
                    <w:keepLines w:val="0"/>
                    <w:pageBreakBefore w:val="0"/>
                    <w:widowControl w:val="0"/>
                    <w:kinsoku/>
                    <w:wordWrap/>
                    <w:overflowPunct/>
                    <w:topLinePunct w:val="0"/>
                    <w:bidi w:val="0"/>
                    <w:ind w:left="0" w:leftChars="0" w:firstLine="0" w:firstLineChars="0"/>
                    <w:textAlignment w:val="auto"/>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医药健康产业禁止新建、扩建化学原料药生产项目。</w:t>
                  </w:r>
                </w:p>
              </w:tc>
              <w:tc>
                <w:tcPr>
                  <w:tcW w:w="2209" w:type="dxa"/>
                  <w:vAlign w:val="center"/>
                </w:tcPr>
                <w:p w14:paraId="30CAAF54">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不属于</w:t>
                  </w:r>
                  <w:r>
                    <w:rPr>
                      <w:rFonts w:hint="eastAsia"/>
                      <w:color w:val="000000" w:themeColor="text1"/>
                      <w:kern w:val="0"/>
                      <w:sz w:val="21"/>
                      <w:szCs w:val="21"/>
                      <w:highlight w:val="none"/>
                      <w:lang w:val="en-US" w:eastAsia="zh-CN"/>
                      <w14:textFill>
                        <w14:solidFill>
                          <w14:schemeClr w14:val="tx1"/>
                        </w14:solidFill>
                      </w14:textFill>
                    </w:rPr>
                    <w:t>化学原料药生产项目。</w:t>
                  </w:r>
                </w:p>
              </w:tc>
              <w:tc>
                <w:tcPr>
                  <w:tcW w:w="1184" w:type="dxa"/>
                  <w:vAlign w:val="center"/>
                </w:tcPr>
                <w:p w14:paraId="0371A768">
                  <w:pPr>
                    <w:keepNext w:val="0"/>
                    <w:keepLines w:val="0"/>
                    <w:pageBreakBefore w:val="0"/>
                    <w:widowControl w:val="0"/>
                    <w:suppressAutoHyphens/>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cs="Times New Roman"/>
                      <w:color w:val="000000" w:themeColor="text1"/>
                      <w:kern w:val="2"/>
                      <w:sz w:val="21"/>
                      <w:szCs w:val="21"/>
                      <w:highlight w:val="none"/>
                      <w14:textFill>
                        <w14:solidFill>
                          <w14:schemeClr w14:val="tx1"/>
                        </w14:solidFill>
                      </w14:textFill>
                    </w:rPr>
                  </w:pPr>
                  <w:r>
                    <w:rPr>
                      <w:rFonts w:hint="eastAsia" w:ascii="Times New Roman" w:cs="Times New Roman"/>
                      <w:color w:val="000000" w:themeColor="text1"/>
                      <w:kern w:val="2"/>
                      <w:sz w:val="21"/>
                      <w:szCs w:val="21"/>
                      <w:highlight w:val="none"/>
                      <w14:textFill>
                        <w14:solidFill>
                          <w14:schemeClr w14:val="tx1"/>
                        </w14:solidFill>
                      </w14:textFill>
                    </w:rPr>
                    <w:t>符合</w:t>
                  </w:r>
                </w:p>
              </w:tc>
            </w:tr>
            <w:tr w14:paraId="3FD7F6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897" w:type="dxa"/>
                  <w:vMerge w:val="continue"/>
                </w:tcPr>
                <w:p w14:paraId="5216FD7C">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restart"/>
                  <w:vAlign w:val="center"/>
                </w:tcPr>
                <w:p w14:paraId="3F119787">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污染物排放管控</w:t>
                  </w:r>
                </w:p>
              </w:tc>
              <w:tc>
                <w:tcPr>
                  <w:tcW w:w="3511" w:type="dxa"/>
                  <w:gridSpan w:val="2"/>
                </w:tcPr>
                <w:p w14:paraId="5029A5D6">
                  <w:pPr>
                    <w:keepNext w:val="0"/>
                    <w:keepLines w:val="0"/>
                    <w:pageBreakBefore w:val="0"/>
                    <w:widowControl w:val="0"/>
                    <w:kinsoku/>
                    <w:wordWrap/>
                    <w:overflowPunct/>
                    <w:topLinePunct w:val="0"/>
                    <w:bidi w:val="0"/>
                    <w:spacing w:line="240" w:lineRule="auto"/>
                    <w:ind w:firstLine="0" w:firstLineChars="0"/>
                    <w:jc w:val="left"/>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持续推进台泥水泥、金九建材超低排放改造，鼓励玻璃制品等行业在已达标的基础上深度治理，并持续实行水泥行业错峰生产。</w:t>
                  </w:r>
                </w:p>
              </w:tc>
              <w:tc>
                <w:tcPr>
                  <w:tcW w:w="2209" w:type="dxa"/>
                  <w:vAlign w:val="center"/>
                </w:tcPr>
                <w:p w14:paraId="74D78A67">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w:t>
                  </w:r>
                  <w:r>
                    <w:rPr>
                      <w:rFonts w:hint="eastAsia"/>
                      <w:color w:val="000000" w:themeColor="text1"/>
                      <w:sz w:val="21"/>
                      <w:szCs w:val="21"/>
                      <w:highlight w:val="none"/>
                      <w:lang w:val="en-US" w:eastAsia="zh-CN"/>
                      <w14:textFill>
                        <w14:solidFill>
                          <w14:schemeClr w14:val="tx1"/>
                        </w14:solidFill>
                      </w14:textFill>
                    </w:rPr>
                    <w:t>涉及。</w:t>
                  </w:r>
                </w:p>
              </w:tc>
              <w:tc>
                <w:tcPr>
                  <w:tcW w:w="1184" w:type="dxa"/>
                  <w:vAlign w:val="center"/>
                </w:tcPr>
                <w:p w14:paraId="351EDB30">
                  <w:pPr>
                    <w:keepNext w:val="0"/>
                    <w:keepLines w:val="0"/>
                    <w:pageBreakBefore w:val="0"/>
                    <w:widowControl w:val="0"/>
                    <w:suppressAutoHyphens/>
                    <w:kinsoku/>
                    <w:wordWrap/>
                    <w:overflowPunct/>
                    <w:topLinePunct w:val="0"/>
                    <w:autoSpaceDE/>
                    <w:autoSpaceDN/>
                    <w:bidi w:val="0"/>
                    <w:adjustRightInd/>
                    <w:snapToGrid w:val="0"/>
                    <w:spacing w:line="240" w:lineRule="auto"/>
                    <w:ind w:firstLine="0" w:firstLineChars="0"/>
                    <w:jc w:val="center"/>
                    <w:textAlignment w:val="auto"/>
                    <w:rPr>
                      <w:rFonts w:ascii="Times New Roman" w:cs="Times New Roman"/>
                      <w:color w:val="000000" w:themeColor="text1"/>
                      <w:kern w:val="2"/>
                      <w:sz w:val="21"/>
                      <w:szCs w:val="21"/>
                      <w:highlight w:val="none"/>
                      <w14:textFill>
                        <w14:solidFill>
                          <w14:schemeClr w14:val="tx1"/>
                        </w14:solidFill>
                      </w14:textFill>
                    </w:rPr>
                  </w:pPr>
                  <w:r>
                    <w:rPr>
                      <w:rFonts w:hint="eastAsia" w:ascii="Times New Roman" w:cs="Times New Roman"/>
                      <w:color w:val="000000" w:themeColor="text1"/>
                      <w:kern w:val="2"/>
                      <w:sz w:val="21"/>
                      <w:szCs w:val="21"/>
                      <w:highlight w:val="none"/>
                      <w14:textFill>
                        <w14:solidFill>
                          <w14:schemeClr w14:val="tx1"/>
                        </w14:solidFill>
                      </w14:textFill>
                    </w:rPr>
                    <w:t>符合</w:t>
                  </w:r>
                </w:p>
              </w:tc>
            </w:tr>
            <w:tr w14:paraId="103BDC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897" w:type="dxa"/>
                  <w:vMerge w:val="continue"/>
                </w:tcPr>
                <w:p w14:paraId="5C90D9B8">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1527644C">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tcPr>
                <w:p w14:paraId="3F5471C0">
                  <w:pPr>
                    <w:keepNext w:val="0"/>
                    <w:keepLines w:val="0"/>
                    <w:pageBreakBefore w:val="0"/>
                    <w:widowControl w:val="0"/>
                    <w:kinsoku/>
                    <w:wordWrap/>
                    <w:overflowPunct/>
                    <w:topLinePunct w:val="0"/>
                    <w:bidi w:val="0"/>
                    <w:spacing w:line="240" w:lineRule="auto"/>
                    <w:ind w:firstLine="0" w:firstLineChars="0"/>
                    <w:jc w:val="left"/>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优先选择化石能源替代、原料工艺优化、产业结构升级等源头治理措施实现污染物和温室气体协同减排。</w:t>
                  </w:r>
                </w:p>
              </w:tc>
              <w:tc>
                <w:tcPr>
                  <w:tcW w:w="2209" w:type="dxa"/>
                  <w:vAlign w:val="center"/>
                </w:tcPr>
                <w:p w14:paraId="3E7A8212">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本项目锅炉</w:t>
                  </w:r>
                  <w:r>
                    <w:rPr>
                      <w:color w:val="000000" w:themeColor="text1"/>
                      <w:sz w:val="21"/>
                      <w:szCs w:val="21"/>
                      <w:highlight w:val="none"/>
                      <w14:textFill>
                        <w14:solidFill>
                          <w14:schemeClr w14:val="tx1"/>
                        </w14:solidFill>
                      </w14:textFill>
                    </w:rPr>
                    <w:t>采用低氮燃烧</w:t>
                  </w:r>
                  <w:r>
                    <w:rPr>
                      <w:rFonts w:hint="eastAsia"/>
                      <w:color w:val="000000" w:themeColor="text1"/>
                      <w:sz w:val="21"/>
                      <w:szCs w:val="21"/>
                      <w:highlight w:val="none"/>
                      <w14:textFill>
                        <w14:solidFill>
                          <w14:schemeClr w14:val="tx1"/>
                        </w14:solidFill>
                      </w14:textFill>
                    </w:rPr>
                    <w:t>技术，</w:t>
                  </w:r>
                  <w:r>
                    <w:rPr>
                      <w:color w:val="000000" w:themeColor="text1"/>
                      <w:sz w:val="21"/>
                      <w:szCs w:val="21"/>
                      <w:highlight w:val="none"/>
                      <w14:textFill>
                        <w14:solidFill>
                          <w14:schemeClr w14:val="tx1"/>
                        </w14:solidFill>
                      </w14:textFill>
                    </w:rPr>
                    <w:t>天然气燃烧废气达标排放。</w:t>
                  </w:r>
                </w:p>
              </w:tc>
              <w:tc>
                <w:tcPr>
                  <w:tcW w:w="1184" w:type="dxa"/>
                  <w:vAlign w:val="center"/>
                </w:tcPr>
                <w:p w14:paraId="23C3783B">
                  <w:pPr>
                    <w:keepNext w:val="0"/>
                    <w:keepLines w:val="0"/>
                    <w:pageBreakBefore w:val="0"/>
                    <w:widowControl w:val="0"/>
                    <w:suppressAutoHyphens/>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cs="Times New Roman"/>
                      <w:color w:val="000000" w:themeColor="text1"/>
                      <w:kern w:val="2"/>
                      <w:sz w:val="21"/>
                      <w:szCs w:val="21"/>
                      <w:highlight w:val="none"/>
                      <w14:textFill>
                        <w14:solidFill>
                          <w14:schemeClr w14:val="tx1"/>
                        </w14:solidFill>
                      </w14:textFill>
                    </w:rPr>
                  </w:pPr>
                  <w:r>
                    <w:rPr>
                      <w:rFonts w:hint="eastAsia" w:ascii="Times New Roman" w:cs="Times New Roman"/>
                      <w:color w:val="000000" w:themeColor="text1"/>
                      <w:kern w:val="2"/>
                      <w:sz w:val="21"/>
                      <w:szCs w:val="21"/>
                      <w:highlight w:val="none"/>
                      <w14:textFill>
                        <w14:solidFill>
                          <w14:schemeClr w14:val="tx1"/>
                        </w14:solidFill>
                      </w14:textFill>
                    </w:rPr>
                    <w:t>符合</w:t>
                  </w:r>
                </w:p>
              </w:tc>
            </w:tr>
            <w:tr w14:paraId="55949E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23" w:hRule="atLeast"/>
                <w:jc w:val="center"/>
              </w:trPr>
              <w:tc>
                <w:tcPr>
                  <w:tcW w:w="897" w:type="dxa"/>
                  <w:vMerge w:val="continue"/>
                </w:tcPr>
                <w:p w14:paraId="3DC96131">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Merge w:val="continue"/>
                  <w:vAlign w:val="center"/>
                </w:tcPr>
                <w:p w14:paraId="030631A0">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3511" w:type="dxa"/>
                  <w:gridSpan w:val="2"/>
                </w:tcPr>
                <w:p w14:paraId="06CB3CAD">
                  <w:pPr>
                    <w:keepNext w:val="0"/>
                    <w:keepLines w:val="0"/>
                    <w:pageBreakBefore w:val="0"/>
                    <w:widowControl w:val="0"/>
                    <w:kinsoku/>
                    <w:wordWrap/>
                    <w:overflowPunct/>
                    <w:topLinePunct w:val="0"/>
                    <w:bidi w:val="0"/>
                    <w:spacing w:line="240" w:lineRule="auto"/>
                    <w:ind w:firstLine="0" w:firstLineChars="0"/>
                    <w:jc w:val="left"/>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开展工业园区污水处理设施建设及配套污水管网排查整治。加快实施园区管网混错接改造、管网更新、破损修复改造等，推动园区生产废水应纳尽纳。排放工业废水的企业应当采取有效措施，收集和处理产生的全部废水，防止污染环境。含有毒有害水污染物的工业废水应当分类收集和处理，不得稀释排放。</w:t>
                  </w:r>
                </w:p>
              </w:tc>
              <w:tc>
                <w:tcPr>
                  <w:tcW w:w="2209" w:type="dxa"/>
                  <w:vAlign w:val="center"/>
                </w:tcPr>
                <w:p w14:paraId="5B84E1E0">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lang w:val="en-US" w:eastAsia="zh-CN"/>
                      <w14:textFill>
                        <w14:solidFill>
                          <w14:schemeClr w14:val="tx1"/>
                        </w14:solidFill>
                      </w14:textFill>
                    </w:rPr>
                    <w:t>污水经污水处理站处理达标后再排入</w:t>
                  </w:r>
                  <w:r>
                    <w:rPr>
                      <w:rFonts w:hint="eastAsia"/>
                      <w:color w:val="000000" w:themeColor="text1"/>
                      <w:sz w:val="21"/>
                      <w:szCs w:val="21"/>
                      <w:highlight w:val="none"/>
                      <w14:textFill>
                        <w14:solidFill>
                          <w14:schemeClr w14:val="tx1"/>
                        </w14:solidFill>
                      </w14:textFill>
                    </w:rPr>
                    <w:t>园区污水处理</w:t>
                  </w:r>
                  <w:r>
                    <w:rPr>
                      <w:rFonts w:hint="eastAsia"/>
                      <w:color w:val="000000" w:themeColor="text1"/>
                      <w:sz w:val="21"/>
                      <w:szCs w:val="21"/>
                      <w:highlight w:val="none"/>
                      <w:lang w:val="en-US" w:eastAsia="zh-CN"/>
                      <w14:textFill>
                        <w14:solidFill>
                          <w14:schemeClr w14:val="tx1"/>
                        </w14:solidFill>
                      </w14:textFill>
                    </w:rPr>
                    <w:t>厂</w:t>
                  </w:r>
                  <w:r>
                    <w:rPr>
                      <w:rFonts w:hint="eastAsia"/>
                      <w:color w:val="000000" w:themeColor="text1"/>
                      <w:sz w:val="21"/>
                      <w:szCs w:val="21"/>
                      <w:highlight w:val="none"/>
                      <w14:textFill>
                        <w14:solidFill>
                          <w14:schemeClr w14:val="tx1"/>
                        </w14:solidFill>
                      </w14:textFill>
                    </w:rPr>
                    <w:t>。</w:t>
                  </w:r>
                </w:p>
              </w:tc>
              <w:tc>
                <w:tcPr>
                  <w:tcW w:w="1184" w:type="dxa"/>
                  <w:vAlign w:val="center"/>
                </w:tcPr>
                <w:p w14:paraId="2614298F">
                  <w:pPr>
                    <w:keepNext w:val="0"/>
                    <w:keepLines w:val="0"/>
                    <w:pageBreakBefore w:val="0"/>
                    <w:widowControl w:val="0"/>
                    <w:suppressAutoHyphens/>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cs="Times New Roman"/>
                      <w:color w:val="000000" w:themeColor="text1"/>
                      <w:kern w:val="2"/>
                      <w:sz w:val="21"/>
                      <w:szCs w:val="21"/>
                      <w:highlight w:val="none"/>
                      <w14:textFill>
                        <w14:solidFill>
                          <w14:schemeClr w14:val="tx1"/>
                        </w14:solidFill>
                      </w14:textFill>
                    </w:rPr>
                  </w:pPr>
                  <w:r>
                    <w:rPr>
                      <w:rFonts w:hint="eastAsia" w:ascii="Times New Roman" w:cs="Times New Roman"/>
                      <w:color w:val="000000" w:themeColor="text1"/>
                      <w:kern w:val="2"/>
                      <w:sz w:val="21"/>
                      <w:szCs w:val="21"/>
                      <w:highlight w:val="none"/>
                      <w14:textFill>
                        <w14:solidFill>
                          <w14:schemeClr w14:val="tx1"/>
                        </w14:solidFill>
                      </w14:textFill>
                    </w:rPr>
                    <w:t>符合</w:t>
                  </w:r>
                </w:p>
              </w:tc>
            </w:tr>
            <w:tr w14:paraId="2DDB3D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94" w:hRule="atLeast"/>
                <w:jc w:val="center"/>
              </w:trPr>
              <w:tc>
                <w:tcPr>
                  <w:tcW w:w="897" w:type="dxa"/>
                  <w:vMerge w:val="continue"/>
                </w:tcPr>
                <w:p w14:paraId="43C7B27A">
                  <w:pPr>
                    <w:pStyle w:val="2"/>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686" w:type="dxa"/>
                  <w:vAlign w:val="center"/>
                </w:tcPr>
                <w:p w14:paraId="0268F09F">
                  <w:pPr>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资源开发效率要求</w:t>
                  </w:r>
                </w:p>
              </w:tc>
              <w:tc>
                <w:tcPr>
                  <w:tcW w:w="3511" w:type="dxa"/>
                  <w:gridSpan w:val="2"/>
                  <w:vAlign w:val="center"/>
                </w:tcPr>
                <w:p w14:paraId="34057E3A">
                  <w:pPr>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新建、扩建“两高</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项目应采用先进适用的工艺技术和装备，单位产品物耗、能耗、水耗、污染物排放等达到清洁生产先进水平</w:t>
                  </w:r>
                  <w:r>
                    <w:rPr>
                      <w:rFonts w:ascii="宋体" w:hAnsi="宋体" w:eastAsia="宋体" w:cs="宋体"/>
                      <w:b w:val="0"/>
                      <w:color w:val="000000" w:themeColor="text1"/>
                      <w:sz w:val="21"/>
                      <w:szCs w:val="21"/>
                      <w:highlight w:val="none"/>
                      <w14:textFill>
                        <w14:solidFill>
                          <w14:schemeClr w14:val="tx1"/>
                        </w14:solidFill>
                      </w14:textFill>
                    </w:rPr>
                    <w:t>。</w:t>
                  </w:r>
                </w:p>
              </w:tc>
              <w:tc>
                <w:tcPr>
                  <w:tcW w:w="2209" w:type="dxa"/>
                  <w:vAlign w:val="center"/>
                </w:tcPr>
                <w:p w14:paraId="563DF117">
                  <w:pPr>
                    <w:keepNext w:val="0"/>
                    <w:keepLines w:val="0"/>
                    <w:pageBreakBefore w:val="0"/>
                    <w:widowControl w:val="0"/>
                    <w:suppressAutoHyphens/>
                    <w:kinsoku/>
                    <w:wordWrap/>
                    <w:overflowPunct/>
                    <w:topLinePunct w:val="0"/>
                    <w:bidi w:val="0"/>
                    <w:snapToGrid w:val="0"/>
                    <w:spacing w:line="240" w:lineRule="auto"/>
                    <w:ind w:firstLine="0" w:firstLineChars="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lang w:val="en-US" w:eastAsia="zh-CN"/>
                      <w14:textFill>
                        <w14:solidFill>
                          <w14:schemeClr w14:val="tx1"/>
                        </w14:solidFill>
                      </w14:textFill>
                    </w:rPr>
                    <w:t>不属于</w:t>
                  </w:r>
                  <w:r>
                    <w:rPr>
                      <w:rFonts w:hint="eastAsia"/>
                      <w:color w:val="000000" w:themeColor="text1"/>
                      <w:sz w:val="21"/>
                      <w:szCs w:val="21"/>
                      <w:highlight w:val="none"/>
                      <w14:textFill>
                        <w14:solidFill>
                          <w14:schemeClr w14:val="tx1"/>
                        </w14:solidFill>
                      </w14:textFill>
                    </w:rPr>
                    <w:t>“两高</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项目。</w:t>
                  </w:r>
                </w:p>
              </w:tc>
              <w:tc>
                <w:tcPr>
                  <w:tcW w:w="1184" w:type="dxa"/>
                  <w:vAlign w:val="center"/>
                </w:tcPr>
                <w:p w14:paraId="581DAD37">
                  <w:pPr>
                    <w:pStyle w:val="2"/>
                    <w:keepNext w:val="0"/>
                    <w:keepLines w:val="0"/>
                    <w:pageBreakBefore w:val="0"/>
                    <w:widowControl w:val="0"/>
                    <w:suppressAutoHyphens/>
                    <w:kinsoku/>
                    <w:wordWrap/>
                    <w:overflowPunct/>
                    <w:topLinePunct w:val="0"/>
                    <w:bidi w:val="0"/>
                    <w:snapToGrid w:val="0"/>
                    <w:spacing w:line="240" w:lineRule="auto"/>
                    <w:ind w:firstLine="0" w:firstLineChars="0"/>
                    <w:jc w:val="center"/>
                    <w:textAlignment w:val="auto"/>
                    <w:rPr>
                      <w:rFonts w:ascii="Times New Roman" w:cs="Times New Roman"/>
                      <w:color w:val="000000" w:themeColor="text1"/>
                      <w:kern w:val="2"/>
                      <w:sz w:val="21"/>
                      <w:szCs w:val="21"/>
                      <w:highlight w:val="none"/>
                      <w14:textFill>
                        <w14:solidFill>
                          <w14:schemeClr w14:val="tx1"/>
                        </w14:solidFill>
                      </w14:textFill>
                    </w:rPr>
                  </w:pPr>
                  <w:r>
                    <w:rPr>
                      <w:rFonts w:hint="eastAsia" w:ascii="Times New Roman" w:cs="Times New Roman"/>
                      <w:color w:val="000000" w:themeColor="text1"/>
                      <w:kern w:val="2"/>
                      <w:sz w:val="21"/>
                      <w:szCs w:val="21"/>
                      <w:highlight w:val="none"/>
                      <w14:textFill>
                        <w14:solidFill>
                          <w14:schemeClr w14:val="tx1"/>
                        </w14:solidFill>
                      </w14:textFill>
                    </w:rPr>
                    <w:t>符合</w:t>
                  </w:r>
                </w:p>
              </w:tc>
            </w:tr>
          </w:tbl>
          <w:p w14:paraId="5B3EDF8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综上，本项目符合“三线一单”管控要求。</w:t>
            </w:r>
          </w:p>
          <w:p w14:paraId="5693C5BE">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ascii="Times New Roman" w:hAnsi="Times New Roman" w:cs="Times New Roman"/>
                <w:b/>
                <w:bCs/>
                <w:color w:val="000000" w:themeColor="text1"/>
                <w:sz w:val="24"/>
                <w:szCs w:val="24"/>
                <w:highlight w:val="none"/>
                <w14:textFill>
                  <w14:solidFill>
                    <w14:schemeClr w14:val="tx1"/>
                  </w14:solidFill>
                </w14:textFill>
              </w:rPr>
            </w:pPr>
            <w:r>
              <w:rPr>
                <w:rFonts w:ascii="Times New Roman" w:hAnsi="Times New Roman" w:cs="Times New Roman"/>
                <w:b/>
                <w:bCs/>
                <w:color w:val="000000" w:themeColor="text1"/>
                <w:sz w:val="24"/>
                <w:szCs w:val="24"/>
                <w:highlight w:val="none"/>
                <w14:textFill>
                  <w14:solidFill>
                    <w14:schemeClr w14:val="tx1"/>
                  </w14:solidFill>
                </w14:textFill>
              </w:rPr>
              <w:t>1.</w:t>
            </w:r>
            <w:r>
              <w:rPr>
                <w:rFonts w:hint="eastAsia" w:cs="Times New Roman"/>
                <w:b/>
                <w:bCs/>
                <w:color w:val="000000" w:themeColor="text1"/>
                <w:sz w:val="24"/>
                <w:szCs w:val="24"/>
                <w:highlight w:val="none"/>
                <w:lang w:val="en-US" w:eastAsia="zh-CN"/>
                <w14:textFill>
                  <w14:solidFill>
                    <w14:schemeClr w14:val="tx1"/>
                  </w14:solidFill>
                </w14:textFill>
              </w:rPr>
              <w:t>3</w:t>
            </w:r>
            <w:r>
              <w:rPr>
                <w:rFonts w:ascii="Times New Roman" w:hAnsi="Times New Roman" w:cs="Times New Roman"/>
                <w:b/>
                <w:bCs/>
                <w:color w:val="000000" w:themeColor="text1"/>
                <w:sz w:val="24"/>
                <w:szCs w:val="24"/>
                <w:highlight w:val="none"/>
                <w14:textFill>
                  <w14:solidFill>
                    <w14:schemeClr w14:val="tx1"/>
                  </w14:solidFill>
                </w14:textFill>
              </w:rPr>
              <w:t xml:space="preserve"> 产业政策符合性</w:t>
            </w:r>
          </w:p>
          <w:p w14:paraId="6B7DC82C">
            <w:pPr>
              <w:pStyle w:val="19"/>
              <w:keepNext w:val="0"/>
              <w:keepLines w:val="0"/>
              <w:pageBreakBefore w:val="0"/>
              <w:widowControl w:val="0"/>
              <w:kinsoku/>
              <w:wordWrap/>
              <w:overflowPunct/>
              <w:topLinePunct w:val="0"/>
              <w:bidi w:val="0"/>
              <w:adjustRightInd/>
              <w:snapToGrid/>
              <w:spacing w:after="0" w:line="360" w:lineRule="auto"/>
              <w:ind w:left="0" w:leftChars="0" w:firstLine="0" w:firstLineChars="0"/>
              <w:textAlignment w:val="auto"/>
              <w:rPr>
                <w:rFonts w:ascii="Times New Roman" w:hAnsi="Times New Roman" w:cs="Times New Roman"/>
                <w:b/>
                <w:color w:val="000000" w:themeColor="text1"/>
                <w:sz w:val="24"/>
                <w:szCs w:val="24"/>
                <w:highlight w:val="none"/>
                <w14:textFill>
                  <w14:solidFill>
                    <w14:schemeClr w14:val="tx1"/>
                  </w14:solidFill>
                </w14:textFill>
              </w:rPr>
            </w:pPr>
            <w:r>
              <w:rPr>
                <w:rFonts w:ascii="Times New Roman" w:hAnsi="Times New Roman" w:cs="Times New Roman"/>
                <w:b/>
                <w:color w:val="000000" w:themeColor="text1"/>
                <w:sz w:val="24"/>
                <w:szCs w:val="24"/>
                <w:highlight w:val="none"/>
                <w14:textFill>
                  <w14:solidFill>
                    <w14:schemeClr w14:val="tx1"/>
                  </w14:solidFill>
                </w14:textFill>
              </w:rPr>
              <w:t>1.</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3</w:t>
            </w:r>
            <w:r>
              <w:rPr>
                <w:rFonts w:ascii="Times New Roman" w:hAnsi="Times New Roman" w:cs="Times New Roman"/>
                <w:b/>
                <w:color w:val="000000" w:themeColor="text1"/>
                <w:sz w:val="24"/>
                <w:szCs w:val="24"/>
                <w:highlight w:val="none"/>
                <w14:textFill>
                  <w14:solidFill>
                    <w14:schemeClr w14:val="tx1"/>
                  </w14:solidFill>
                </w14:textFill>
              </w:rPr>
              <w:t>.1与《产业结构调整指导目录》的符合性</w:t>
            </w:r>
          </w:p>
          <w:p w14:paraId="2CE31A7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本</w:t>
            </w:r>
            <w:r>
              <w:rPr>
                <w:rFonts w:hint="eastAsia"/>
                <w:color w:val="000000" w:themeColor="text1"/>
                <w:kern w:val="0"/>
                <w:szCs w:val="21"/>
                <w:highlight w:val="none"/>
                <w14:textFill>
                  <w14:solidFill>
                    <w14:schemeClr w14:val="tx1"/>
                  </w14:solidFill>
                </w14:textFill>
              </w:rPr>
              <w:t>项目</w:t>
            </w:r>
            <w:r>
              <w:rPr>
                <w:color w:val="000000" w:themeColor="text1"/>
                <w:kern w:val="0"/>
                <w:szCs w:val="21"/>
                <w:highlight w:val="none"/>
                <w14:textFill>
                  <w14:solidFill>
                    <w14:schemeClr w14:val="tx1"/>
                  </w14:solidFill>
                </w14:textFill>
              </w:rPr>
              <w:t>属</w:t>
            </w:r>
            <w:r>
              <w:rPr>
                <w:color w:val="000000" w:themeColor="text1"/>
                <w:szCs w:val="22"/>
                <w:highlight w:val="none"/>
                <w14:textFill>
                  <w14:solidFill>
                    <w14:schemeClr w14:val="tx1"/>
                  </w14:solidFill>
                </w14:textFill>
              </w:rPr>
              <w:t>于</w:t>
            </w:r>
            <w:r>
              <w:rPr>
                <w:rFonts w:hint="eastAsia"/>
                <w:color w:val="000000" w:themeColor="text1"/>
                <w:szCs w:val="21"/>
                <w:highlight w:val="none"/>
                <w14:textFill>
                  <w14:solidFill>
                    <w14:schemeClr w14:val="tx1"/>
                  </w14:solidFill>
                </w14:textFill>
              </w:rPr>
              <w:t>C1353肉制品及副产品加工</w:t>
            </w:r>
            <w:r>
              <w:rPr>
                <w:rFonts w:hint="eastAsia"/>
                <w:color w:val="000000" w:themeColor="text1"/>
                <w:szCs w:val="21"/>
                <w:highlight w:val="none"/>
                <w:lang w:eastAsia="zh-CN"/>
                <w14:textFill>
                  <w14:solidFill>
                    <w14:schemeClr w14:val="tx1"/>
                  </w14:solidFill>
                </w14:textFill>
              </w:rPr>
              <w:t>和</w:t>
            </w:r>
            <w:r>
              <w:rPr>
                <w:color w:val="000000" w:themeColor="text1"/>
                <w:szCs w:val="22"/>
                <w:highlight w:val="none"/>
                <w14:textFill>
                  <w14:solidFill>
                    <w14:schemeClr w14:val="tx1"/>
                  </w14:solidFill>
                </w14:textFill>
              </w:rPr>
              <w:t>D4430热力生产和供应</w:t>
            </w:r>
            <w:r>
              <w:rPr>
                <w:rFonts w:hint="eastAsia"/>
                <w:color w:val="000000" w:themeColor="text1"/>
                <w:szCs w:val="22"/>
                <w:highlight w:val="none"/>
                <w14:textFill>
                  <w14:solidFill>
                    <w14:schemeClr w14:val="tx1"/>
                  </w14:solidFill>
                </w14:textFill>
              </w:rPr>
              <w:t>，</w:t>
            </w:r>
            <w:r>
              <w:rPr>
                <w:color w:val="000000" w:themeColor="text1"/>
                <w:kern w:val="0"/>
                <w:szCs w:val="21"/>
                <w:highlight w:val="none"/>
                <w14:textFill>
                  <w14:solidFill>
                    <w14:schemeClr w14:val="tx1"/>
                  </w14:solidFill>
                </w14:textFill>
              </w:rPr>
              <w:t>根据《产业结构调整指导目录（20</w:t>
            </w:r>
            <w:r>
              <w:rPr>
                <w:rFonts w:hint="eastAsia"/>
                <w:color w:val="000000" w:themeColor="text1"/>
                <w:kern w:val="0"/>
                <w:szCs w:val="21"/>
                <w:highlight w:val="none"/>
                <w:lang w:val="en-US" w:eastAsia="zh-CN"/>
                <w14:textFill>
                  <w14:solidFill>
                    <w14:schemeClr w14:val="tx1"/>
                  </w14:solidFill>
                </w14:textFill>
              </w:rPr>
              <w:t>24</w:t>
            </w:r>
            <w:r>
              <w:rPr>
                <w:color w:val="000000" w:themeColor="text1"/>
                <w:kern w:val="0"/>
                <w:szCs w:val="21"/>
                <w:highlight w:val="none"/>
                <w14:textFill>
                  <w14:solidFill>
                    <w14:schemeClr w14:val="tx1"/>
                  </w14:solidFill>
                </w14:textFill>
              </w:rPr>
              <w:t>年本）》，不属于禁止、限制类，为允许类项目；项目采用的工艺设备不属于《产业结构调整指导目录（</w:t>
            </w:r>
            <w:r>
              <w:rPr>
                <w:rFonts w:hint="eastAsia"/>
                <w:color w:val="000000" w:themeColor="text1"/>
                <w:kern w:val="0"/>
                <w:szCs w:val="21"/>
                <w:highlight w:val="none"/>
                <w:lang w:val="en-US" w:eastAsia="zh-CN"/>
                <w14:textFill>
                  <w14:solidFill>
                    <w14:schemeClr w14:val="tx1"/>
                  </w14:solidFill>
                </w14:textFill>
              </w:rPr>
              <w:t>2024</w:t>
            </w:r>
            <w:r>
              <w:rPr>
                <w:color w:val="000000" w:themeColor="text1"/>
                <w:kern w:val="0"/>
                <w:szCs w:val="21"/>
                <w:highlight w:val="none"/>
                <w14:textFill>
                  <w14:solidFill>
                    <w14:schemeClr w14:val="tx1"/>
                  </w14:solidFill>
                </w14:textFill>
              </w:rPr>
              <w:t>年本）》和《部分工业行业淘汰落后生产工艺装备和产品指导目录（2010年本）》中淘汰范畴。因此，项目符合国家现行产业政策。</w:t>
            </w:r>
          </w:p>
          <w:p w14:paraId="2E2319D3">
            <w:pPr>
              <w:pStyle w:val="19"/>
              <w:keepNext w:val="0"/>
              <w:keepLines w:val="0"/>
              <w:pageBreakBefore w:val="0"/>
              <w:widowControl w:val="0"/>
              <w:kinsoku/>
              <w:wordWrap/>
              <w:overflowPunct/>
              <w:topLinePunct w:val="0"/>
              <w:bidi w:val="0"/>
              <w:adjustRightInd/>
              <w:snapToGrid/>
              <w:spacing w:after="0" w:line="360" w:lineRule="auto"/>
              <w:ind w:left="0" w:leftChars="0" w:firstLine="480" w:firstLineChars="200"/>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重庆市合川区发展和改革委员会</w:t>
            </w:r>
            <w:r>
              <w:rPr>
                <w:rFonts w:hint="eastAsia" w:ascii="Times New Roman" w:hAnsi="Times New Roman" w:cs="Times New Roman"/>
                <w:color w:val="000000" w:themeColor="text1"/>
                <w:sz w:val="24"/>
                <w:szCs w:val="24"/>
                <w:highlight w:val="none"/>
                <w:lang w:eastAsia="zh-CN"/>
                <w14:textFill>
                  <w14:solidFill>
                    <w14:schemeClr w14:val="tx1"/>
                  </w14:solidFill>
                </w14:textFill>
              </w:rPr>
              <w:t>以</w:t>
            </w:r>
            <w:r>
              <w:rPr>
                <w:rFonts w:ascii="Times New Roman" w:hAnsi="Times New Roman" w:cs="Times New Roman"/>
                <w:color w:val="000000" w:themeColor="text1"/>
                <w:sz w:val="24"/>
                <w:szCs w:val="24"/>
                <w:highlight w:val="none"/>
                <w14:textFill>
                  <w14:solidFill>
                    <w14:schemeClr w14:val="tx1"/>
                  </w14:solidFill>
                </w14:textFill>
              </w:rPr>
              <w:t>《重庆市企业投资项目备案证》（</w:t>
            </w:r>
            <w:r>
              <w:rPr>
                <w:rFonts w:hint="eastAsia" w:ascii="Times New Roman" w:hAnsi="Times New Roman" w:cs="Times New Roman"/>
                <w:color w:val="000000" w:themeColor="text1"/>
                <w:sz w:val="24"/>
                <w:szCs w:val="24"/>
                <w:highlight w:val="none"/>
                <w14:textFill>
                  <w14:solidFill>
                    <w14:schemeClr w14:val="tx1"/>
                  </w14:solidFill>
                </w14:textFill>
              </w:rPr>
              <w:t>2301-500117-04-05-580380</w:t>
            </w:r>
            <w:r>
              <w:rPr>
                <w:rFonts w:ascii="Times New Roman" w:hAnsi="Times New Roman" w:cs="Times New Roman"/>
                <w:color w:val="000000" w:themeColor="text1"/>
                <w:sz w:val="24"/>
                <w:szCs w:val="24"/>
                <w:highlight w:val="none"/>
                <w14:textFill>
                  <w14:solidFill>
                    <w14:schemeClr w14:val="tx1"/>
                  </w14:solidFill>
                </w14:textFill>
              </w:rPr>
              <w:t>）对本项目予以备案。</w:t>
            </w:r>
          </w:p>
          <w:p w14:paraId="1B915E0A">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left"/>
              <w:textAlignment w:val="auto"/>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lang w:val="en-US" w:eastAsia="zh-CN"/>
                <w14:textFill>
                  <w14:solidFill>
                    <w14:schemeClr w14:val="tx1"/>
                  </w14:solidFill>
                </w14:textFill>
              </w:rPr>
              <w:t>1.3</w:t>
            </w:r>
            <w:r>
              <w:rPr>
                <w:b/>
                <w:color w:val="000000" w:themeColor="text1"/>
                <w:kern w:val="0"/>
                <w:szCs w:val="21"/>
                <w:highlight w:val="none"/>
                <w14:textFill>
                  <w14:solidFill>
                    <w14:schemeClr w14:val="tx1"/>
                  </w14:solidFill>
                </w14:textFill>
              </w:rPr>
              <w:t>与其他相关生态环境保护法律法规政策、生态环境保护规划的符合性分析</w:t>
            </w:r>
          </w:p>
          <w:p w14:paraId="71240553">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1.3.1</w:t>
            </w:r>
            <w:r>
              <w:rPr>
                <w:b/>
                <w:bCs/>
                <w:color w:val="000000" w:themeColor="text1"/>
                <w:kern w:val="0"/>
                <w:szCs w:val="21"/>
                <w:highlight w:val="none"/>
                <w14:textFill>
                  <w14:solidFill>
                    <w14:schemeClr w14:val="tx1"/>
                  </w14:solidFill>
                </w14:textFill>
              </w:rPr>
              <w:t>与《</w:t>
            </w:r>
            <w:r>
              <w:rPr>
                <w:rFonts w:hint="eastAsia"/>
                <w:b/>
                <w:bCs/>
                <w:color w:val="000000" w:themeColor="text1"/>
                <w:kern w:val="0"/>
                <w:szCs w:val="21"/>
                <w:highlight w:val="none"/>
                <w14:textFill>
                  <w14:solidFill>
                    <w14:schemeClr w14:val="tx1"/>
                  </w14:solidFill>
                </w14:textFill>
              </w:rPr>
              <w:t>重庆市发展和改革委员会关于印发重庆市产业投资准入工作手册的通知</w:t>
            </w:r>
            <w:r>
              <w:rPr>
                <w:b/>
                <w:bCs/>
                <w:color w:val="000000" w:themeColor="text1"/>
                <w:kern w:val="0"/>
                <w:szCs w:val="21"/>
                <w:highlight w:val="none"/>
                <w14:textFill>
                  <w14:solidFill>
                    <w14:schemeClr w14:val="tx1"/>
                  </w14:solidFill>
                </w14:textFill>
              </w:rPr>
              <w:t>》（渝发改投</w:t>
            </w:r>
            <w:r>
              <w:rPr>
                <w:rFonts w:hint="eastAsia"/>
                <w:b/>
                <w:bCs/>
                <w:color w:val="000000" w:themeColor="text1"/>
                <w:kern w:val="0"/>
                <w:szCs w:val="21"/>
                <w:highlight w:val="none"/>
                <w14:textFill>
                  <w14:solidFill>
                    <w14:schemeClr w14:val="tx1"/>
                  </w14:solidFill>
                </w14:textFill>
              </w:rPr>
              <w:t>资</w:t>
            </w:r>
            <w:r>
              <w:rPr>
                <w:b/>
                <w:bCs/>
                <w:color w:val="000000" w:themeColor="text1"/>
                <w:kern w:val="0"/>
                <w:szCs w:val="21"/>
                <w:highlight w:val="none"/>
                <w14:textFill>
                  <w14:solidFill>
                    <w14:schemeClr w14:val="tx1"/>
                  </w14:solidFill>
                </w14:textFill>
              </w:rPr>
              <w:t>〔2022〕1436号</w:t>
            </w:r>
            <w:r>
              <w:rPr>
                <w:rFonts w:hint="eastAsia"/>
                <w:b/>
                <w:bCs/>
                <w:color w:val="000000" w:themeColor="text1"/>
                <w:kern w:val="0"/>
                <w:szCs w:val="21"/>
                <w:highlight w:val="none"/>
                <w:lang w:eastAsia="zh-CN"/>
                <w14:textFill>
                  <w14:solidFill>
                    <w14:schemeClr w14:val="tx1"/>
                  </w14:solidFill>
                </w14:textFill>
              </w:rPr>
              <w:t>）</w:t>
            </w:r>
            <w:r>
              <w:rPr>
                <w:b/>
                <w:bCs/>
                <w:color w:val="000000" w:themeColor="text1"/>
                <w:kern w:val="0"/>
                <w:szCs w:val="21"/>
                <w:highlight w:val="none"/>
                <w14:textFill>
                  <w14:solidFill>
                    <w14:schemeClr w14:val="tx1"/>
                  </w14:solidFill>
                </w14:textFill>
              </w:rPr>
              <w:t>符合性分析</w:t>
            </w:r>
          </w:p>
          <w:p w14:paraId="2B479A7A">
            <w:pPr>
              <w:pStyle w:val="5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000000" w:themeColor="text1"/>
                <w:kern w:val="0"/>
                <w:szCs w:val="21"/>
                <w:highlight w:val="none"/>
                <w:lang w:eastAsia="zh-CN"/>
                <w14:textFill>
                  <w14:solidFill>
                    <w14:schemeClr w14:val="tx1"/>
                  </w14:solidFill>
                </w14:textFill>
              </w:rPr>
            </w:pPr>
            <w:r>
              <w:rPr>
                <w:b/>
                <w:bCs/>
                <w:color w:val="000000" w:themeColor="text1"/>
                <w:kern w:val="0"/>
                <w:szCs w:val="21"/>
                <w:highlight w:val="none"/>
                <w14:textFill>
                  <w14:solidFill>
                    <w14:schemeClr w14:val="tx1"/>
                  </w14:solidFill>
                </w14:textFill>
              </w:rPr>
              <w:t>表1</w:t>
            </w:r>
            <w:r>
              <w:rPr>
                <w:rFonts w:hint="eastAsia"/>
                <w:b/>
                <w:bCs/>
                <w:color w:val="000000" w:themeColor="text1"/>
                <w:kern w:val="0"/>
                <w:szCs w:val="21"/>
                <w:highlight w:val="none"/>
                <w:lang w:val="en-US" w:eastAsia="zh-CN"/>
                <w14:textFill>
                  <w14:solidFill>
                    <w14:schemeClr w14:val="tx1"/>
                  </w14:solidFill>
                </w14:textFill>
              </w:rPr>
              <w:t>.3</w:t>
            </w:r>
            <w:r>
              <w:rPr>
                <w:b/>
                <w:bCs/>
                <w:color w:val="000000" w:themeColor="text1"/>
                <w:kern w:val="0"/>
                <w:szCs w:val="21"/>
                <w:highlight w:val="none"/>
                <w14:textFill>
                  <w14:solidFill>
                    <w14:schemeClr w14:val="tx1"/>
                  </w14:solidFill>
                </w14:textFill>
              </w:rPr>
              <w:t>-</w:t>
            </w:r>
            <w:r>
              <w:rPr>
                <w:rFonts w:hint="eastAsia"/>
                <w:b/>
                <w:bCs/>
                <w:color w:val="000000" w:themeColor="text1"/>
                <w:kern w:val="0"/>
                <w:szCs w:val="21"/>
                <w:highlight w:val="none"/>
                <w:lang w:val="en-US" w:eastAsia="zh-CN"/>
                <w14:textFill>
                  <w14:solidFill>
                    <w14:schemeClr w14:val="tx1"/>
                  </w14:solidFill>
                </w14:textFill>
              </w:rPr>
              <w:t>1</w:t>
            </w:r>
            <w:r>
              <w:rPr>
                <w:b/>
                <w:bCs/>
                <w:color w:val="000000" w:themeColor="text1"/>
                <w:kern w:val="0"/>
                <w:szCs w:val="21"/>
                <w:highlight w:val="none"/>
                <w14:textFill>
                  <w14:solidFill>
                    <w14:schemeClr w14:val="tx1"/>
                  </w14:solidFill>
                </w14:textFill>
              </w:rPr>
              <w:t>与《</w:t>
            </w:r>
            <w:r>
              <w:rPr>
                <w:rFonts w:hint="eastAsia"/>
                <w:b/>
                <w:bCs/>
                <w:color w:val="000000" w:themeColor="text1"/>
                <w:kern w:val="0"/>
                <w:szCs w:val="21"/>
                <w:highlight w:val="none"/>
                <w14:textFill>
                  <w14:solidFill>
                    <w14:schemeClr w14:val="tx1"/>
                  </w14:solidFill>
                </w14:textFill>
              </w:rPr>
              <w:t>重庆市发展和改革委员会关于印发重庆市产业投资准入工作手册的通知</w:t>
            </w:r>
            <w:r>
              <w:rPr>
                <w:b/>
                <w:bCs/>
                <w:color w:val="000000" w:themeColor="text1"/>
                <w:kern w:val="0"/>
                <w:szCs w:val="21"/>
                <w:highlight w:val="none"/>
                <w14:textFill>
                  <w14:solidFill>
                    <w14:schemeClr w14:val="tx1"/>
                  </w14:solidFill>
                </w14:textFill>
              </w:rPr>
              <w:t>》（渝发改投</w:t>
            </w:r>
            <w:r>
              <w:rPr>
                <w:rFonts w:hint="eastAsia"/>
                <w:b/>
                <w:bCs/>
                <w:color w:val="000000" w:themeColor="text1"/>
                <w:kern w:val="0"/>
                <w:szCs w:val="21"/>
                <w:highlight w:val="none"/>
                <w14:textFill>
                  <w14:solidFill>
                    <w14:schemeClr w14:val="tx1"/>
                  </w14:solidFill>
                </w14:textFill>
              </w:rPr>
              <w:t>资</w:t>
            </w:r>
            <w:r>
              <w:rPr>
                <w:b/>
                <w:bCs/>
                <w:color w:val="000000" w:themeColor="text1"/>
                <w:kern w:val="0"/>
                <w:szCs w:val="21"/>
                <w:highlight w:val="none"/>
                <w14:textFill>
                  <w14:solidFill>
                    <w14:schemeClr w14:val="tx1"/>
                  </w14:solidFill>
                </w14:textFill>
              </w:rPr>
              <w:t>〔2022〕1436号）</w:t>
            </w:r>
            <w:r>
              <w:rPr>
                <w:rFonts w:hint="eastAsia"/>
                <w:b/>
                <w:bCs/>
                <w:color w:val="000000" w:themeColor="text1"/>
                <w:kern w:val="0"/>
                <w:szCs w:val="21"/>
                <w:highlight w:val="none"/>
                <w:lang w:eastAsia="zh-CN"/>
                <w14:textFill>
                  <w14:solidFill>
                    <w14:schemeClr w14:val="tx1"/>
                  </w14:solidFill>
                </w14:textFill>
              </w:rPr>
              <w:t>的</w:t>
            </w:r>
            <w:r>
              <w:rPr>
                <w:b/>
                <w:bCs/>
                <w:color w:val="000000" w:themeColor="text1"/>
                <w:kern w:val="0"/>
                <w:szCs w:val="21"/>
                <w:highlight w:val="none"/>
                <w14:textFill>
                  <w14:solidFill>
                    <w14:schemeClr w14:val="tx1"/>
                  </w14:solidFill>
                </w14:textFill>
              </w:rPr>
              <w:t>符合性</w:t>
            </w:r>
            <w:r>
              <w:rPr>
                <w:rFonts w:hint="eastAsia"/>
                <w:b/>
                <w:bCs/>
                <w:color w:val="000000" w:themeColor="text1"/>
                <w:kern w:val="0"/>
                <w:szCs w:val="21"/>
                <w:highlight w:val="none"/>
                <w:lang w:eastAsia="zh-CN"/>
                <w14:textFill>
                  <w14:solidFill>
                    <w14:schemeClr w14:val="tx1"/>
                  </w14:solidFill>
                </w14:textFill>
              </w:rPr>
              <w:t>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2"/>
              <w:gridCol w:w="4821"/>
              <w:gridCol w:w="2065"/>
              <w:gridCol w:w="854"/>
            </w:tblGrid>
            <w:tr w14:paraId="168FA3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5E040788">
                  <w:pPr>
                    <w:pStyle w:val="45"/>
                    <w:keepNext w:val="0"/>
                    <w:keepLines w:val="0"/>
                    <w:pageBreakBefore w:val="0"/>
                    <w:widowControl w:val="0"/>
                    <w:kinsoku/>
                    <w:wordWrap/>
                    <w:overflowPunct/>
                    <w:topLinePunct w:val="0"/>
                    <w:autoSpaceDE/>
                    <w:autoSpaceDN/>
                    <w:bidi w:val="0"/>
                    <w:adjustRightInd w:val="0"/>
                    <w:snapToGrid w:val="0"/>
                    <w:jc w:val="center"/>
                    <w:textAlignment w:val="auto"/>
                    <w:rPr>
                      <w:b/>
                      <w:bCs/>
                      <w:snapToGrid w:val="0"/>
                      <w:color w:val="000000" w:themeColor="text1"/>
                      <w:kern w:val="0"/>
                      <w:sz w:val="21"/>
                      <w:szCs w:val="21"/>
                      <w:highlight w:val="none"/>
                      <w14:textFill>
                        <w14:solidFill>
                          <w14:schemeClr w14:val="tx1"/>
                        </w14:solidFill>
                      </w14:textFill>
                    </w:rPr>
                  </w:pPr>
                  <w:r>
                    <w:rPr>
                      <w:b/>
                      <w:bCs/>
                      <w:snapToGrid w:val="0"/>
                      <w:color w:val="000000" w:themeColor="text1"/>
                      <w:kern w:val="0"/>
                      <w:sz w:val="21"/>
                      <w:szCs w:val="21"/>
                      <w:highlight w:val="none"/>
                      <w14:textFill>
                        <w14:solidFill>
                          <w14:schemeClr w14:val="tx1"/>
                        </w14:solidFill>
                      </w14:textFill>
                    </w:rPr>
                    <w:t>序号</w:t>
                  </w:r>
                </w:p>
              </w:tc>
              <w:tc>
                <w:tcPr>
                  <w:tcW w:w="2834" w:type="pct"/>
                  <w:vAlign w:val="center"/>
                </w:tcPr>
                <w:p w14:paraId="24998E98">
                  <w:pPr>
                    <w:pStyle w:val="45"/>
                    <w:keepNext w:val="0"/>
                    <w:keepLines w:val="0"/>
                    <w:pageBreakBefore w:val="0"/>
                    <w:widowControl w:val="0"/>
                    <w:kinsoku/>
                    <w:wordWrap/>
                    <w:overflowPunct/>
                    <w:topLinePunct w:val="0"/>
                    <w:autoSpaceDE/>
                    <w:autoSpaceDN/>
                    <w:bidi w:val="0"/>
                    <w:adjustRightInd w:val="0"/>
                    <w:snapToGrid w:val="0"/>
                    <w:jc w:val="center"/>
                    <w:textAlignment w:val="auto"/>
                    <w:rPr>
                      <w:b/>
                      <w:bCs/>
                      <w:snapToGrid w:val="0"/>
                      <w:color w:val="000000" w:themeColor="text1"/>
                      <w:kern w:val="0"/>
                      <w:sz w:val="21"/>
                      <w:szCs w:val="21"/>
                      <w:highlight w:val="none"/>
                      <w14:textFill>
                        <w14:solidFill>
                          <w14:schemeClr w14:val="tx1"/>
                        </w14:solidFill>
                      </w14:textFill>
                    </w:rPr>
                  </w:pPr>
                  <w:r>
                    <w:rPr>
                      <w:b/>
                      <w:bCs/>
                      <w:snapToGrid w:val="0"/>
                      <w:color w:val="000000" w:themeColor="text1"/>
                      <w:kern w:val="0"/>
                      <w:sz w:val="21"/>
                      <w:szCs w:val="21"/>
                      <w:highlight w:val="none"/>
                      <w14:textFill>
                        <w14:solidFill>
                          <w14:schemeClr w14:val="tx1"/>
                        </w14:solidFill>
                      </w14:textFill>
                    </w:rPr>
                    <w:t>规定要求</w:t>
                  </w:r>
                </w:p>
              </w:tc>
              <w:tc>
                <w:tcPr>
                  <w:tcW w:w="1214" w:type="pct"/>
                  <w:vAlign w:val="center"/>
                </w:tcPr>
                <w:p w14:paraId="589865EC">
                  <w:pPr>
                    <w:pStyle w:val="45"/>
                    <w:keepNext w:val="0"/>
                    <w:keepLines w:val="0"/>
                    <w:pageBreakBefore w:val="0"/>
                    <w:widowControl w:val="0"/>
                    <w:kinsoku/>
                    <w:wordWrap/>
                    <w:overflowPunct/>
                    <w:topLinePunct w:val="0"/>
                    <w:autoSpaceDE/>
                    <w:autoSpaceDN/>
                    <w:bidi w:val="0"/>
                    <w:adjustRightInd w:val="0"/>
                    <w:snapToGrid w:val="0"/>
                    <w:jc w:val="center"/>
                    <w:textAlignment w:val="auto"/>
                    <w:rPr>
                      <w:b/>
                      <w:bCs/>
                      <w:snapToGrid w:val="0"/>
                      <w:color w:val="000000" w:themeColor="text1"/>
                      <w:kern w:val="0"/>
                      <w:sz w:val="21"/>
                      <w:szCs w:val="21"/>
                      <w:highlight w:val="none"/>
                      <w14:textFill>
                        <w14:solidFill>
                          <w14:schemeClr w14:val="tx1"/>
                        </w14:solidFill>
                      </w14:textFill>
                    </w:rPr>
                  </w:pPr>
                  <w:r>
                    <w:rPr>
                      <w:b/>
                      <w:bCs/>
                      <w:snapToGrid w:val="0"/>
                      <w:color w:val="000000" w:themeColor="text1"/>
                      <w:kern w:val="0"/>
                      <w:sz w:val="21"/>
                      <w:szCs w:val="21"/>
                      <w:highlight w:val="none"/>
                      <w14:textFill>
                        <w14:solidFill>
                          <w14:schemeClr w14:val="tx1"/>
                        </w14:solidFill>
                      </w14:textFill>
                    </w:rPr>
                    <w:t>本项目执行情况</w:t>
                  </w:r>
                </w:p>
              </w:tc>
              <w:tc>
                <w:tcPr>
                  <w:tcW w:w="502" w:type="pct"/>
                  <w:vAlign w:val="center"/>
                </w:tcPr>
                <w:p w14:paraId="73F70F46">
                  <w:pPr>
                    <w:pStyle w:val="45"/>
                    <w:keepNext w:val="0"/>
                    <w:keepLines w:val="0"/>
                    <w:pageBreakBefore w:val="0"/>
                    <w:widowControl w:val="0"/>
                    <w:kinsoku/>
                    <w:wordWrap/>
                    <w:overflowPunct/>
                    <w:topLinePunct w:val="0"/>
                    <w:autoSpaceDE/>
                    <w:autoSpaceDN/>
                    <w:bidi w:val="0"/>
                    <w:adjustRightInd w:val="0"/>
                    <w:snapToGrid w:val="0"/>
                    <w:jc w:val="center"/>
                    <w:textAlignment w:val="auto"/>
                    <w:rPr>
                      <w:b/>
                      <w:bCs/>
                      <w:snapToGrid w:val="0"/>
                      <w:color w:val="000000" w:themeColor="text1"/>
                      <w:kern w:val="0"/>
                      <w:sz w:val="21"/>
                      <w:szCs w:val="21"/>
                      <w:highlight w:val="none"/>
                      <w14:textFill>
                        <w14:solidFill>
                          <w14:schemeClr w14:val="tx1"/>
                        </w14:solidFill>
                      </w14:textFill>
                    </w:rPr>
                  </w:pPr>
                  <w:r>
                    <w:rPr>
                      <w:b/>
                      <w:bCs/>
                      <w:snapToGrid w:val="0"/>
                      <w:color w:val="000000" w:themeColor="text1"/>
                      <w:kern w:val="0"/>
                      <w:sz w:val="21"/>
                      <w:szCs w:val="21"/>
                      <w:highlight w:val="none"/>
                      <w14:textFill>
                        <w14:solidFill>
                          <w14:schemeClr w14:val="tx1"/>
                        </w14:solidFill>
                      </w14:textFill>
                    </w:rPr>
                    <w:t>符合性</w:t>
                  </w:r>
                </w:p>
              </w:tc>
            </w:tr>
            <w:tr w14:paraId="4A43AA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2B312509">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一</w:t>
                  </w:r>
                </w:p>
              </w:tc>
              <w:tc>
                <w:tcPr>
                  <w:tcW w:w="4551" w:type="pct"/>
                  <w:gridSpan w:val="3"/>
                  <w:vAlign w:val="center"/>
                </w:tcPr>
                <w:p w14:paraId="068972EB">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全市范围内不予准入的产业</w:t>
                  </w:r>
                </w:p>
              </w:tc>
            </w:tr>
            <w:tr w14:paraId="351094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5A4FA594">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1</w:t>
                  </w:r>
                </w:p>
              </w:tc>
              <w:tc>
                <w:tcPr>
                  <w:tcW w:w="2834" w:type="pct"/>
                  <w:vAlign w:val="center"/>
                </w:tcPr>
                <w:p w14:paraId="0FF52ECD">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国家产业结构调整指导目录中的淘汰类项目。</w:t>
                  </w:r>
                </w:p>
              </w:tc>
              <w:tc>
                <w:tcPr>
                  <w:tcW w:w="1214" w:type="pct"/>
                  <w:vAlign w:val="center"/>
                </w:tcPr>
                <w:p w14:paraId="64681CBE">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属于</w:t>
                  </w:r>
                  <w:r>
                    <w:rPr>
                      <w:rFonts w:hint="eastAsia"/>
                      <w:snapToGrid w:val="0"/>
                      <w:color w:val="000000" w:themeColor="text1"/>
                      <w:kern w:val="0"/>
                      <w:sz w:val="21"/>
                      <w:szCs w:val="21"/>
                      <w:highlight w:val="none"/>
                      <w14:textFill>
                        <w14:solidFill>
                          <w14:schemeClr w14:val="tx1"/>
                        </w14:solidFill>
                      </w14:textFill>
                    </w:rPr>
                    <w:t>允许类</w:t>
                  </w:r>
                  <w:r>
                    <w:rPr>
                      <w:snapToGrid w:val="0"/>
                      <w:color w:val="000000" w:themeColor="text1"/>
                      <w:kern w:val="0"/>
                      <w:sz w:val="21"/>
                      <w:szCs w:val="21"/>
                      <w:highlight w:val="none"/>
                      <w14:textFill>
                        <w14:solidFill>
                          <w14:schemeClr w14:val="tx1"/>
                        </w14:solidFill>
                      </w14:textFill>
                    </w:rPr>
                    <w:t>项目。</w:t>
                  </w:r>
                </w:p>
              </w:tc>
              <w:tc>
                <w:tcPr>
                  <w:tcW w:w="502" w:type="pct"/>
                  <w:vAlign w:val="center"/>
                </w:tcPr>
                <w:p w14:paraId="37B7AC5E">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5B6658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3626BCFD">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2</w:t>
                  </w:r>
                </w:p>
              </w:tc>
              <w:tc>
                <w:tcPr>
                  <w:tcW w:w="2834" w:type="pct"/>
                  <w:vAlign w:val="center"/>
                </w:tcPr>
                <w:p w14:paraId="2C9E8104">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天然林商业性采伐。</w:t>
                  </w:r>
                </w:p>
              </w:tc>
              <w:tc>
                <w:tcPr>
                  <w:tcW w:w="1214" w:type="pct"/>
                  <w:vAlign w:val="center"/>
                </w:tcPr>
                <w:p w14:paraId="4E9B502E">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不属于天然林商业性采伐。</w:t>
                  </w:r>
                </w:p>
              </w:tc>
              <w:tc>
                <w:tcPr>
                  <w:tcW w:w="502" w:type="pct"/>
                  <w:vAlign w:val="center"/>
                </w:tcPr>
                <w:p w14:paraId="5B468FAF">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742F92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4DA7FE9E">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3</w:t>
                  </w:r>
                </w:p>
              </w:tc>
              <w:tc>
                <w:tcPr>
                  <w:tcW w:w="2834" w:type="pct"/>
                  <w:vAlign w:val="center"/>
                </w:tcPr>
                <w:p w14:paraId="1F5723FD">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法律法规和相关政策明令不予准入的其他项目。</w:t>
                  </w:r>
                </w:p>
              </w:tc>
              <w:tc>
                <w:tcPr>
                  <w:tcW w:w="1214" w:type="pct"/>
                  <w:vAlign w:val="center"/>
                </w:tcPr>
                <w:p w14:paraId="1BE0CFD3">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不属于</w:t>
                  </w:r>
                  <w:r>
                    <w:rPr>
                      <w:rFonts w:hint="eastAsia"/>
                      <w:snapToGrid w:val="0"/>
                      <w:color w:val="000000" w:themeColor="text1"/>
                      <w:kern w:val="0"/>
                      <w:sz w:val="21"/>
                      <w:szCs w:val="21"/>
                      <w:highlight w:val="none"/>
                      <w14:textFill>
                        <w14:solidFill>
                          <w14:schemeClr w14:val="tx1"/>
                        </w14:solidFill>
                      </w14:textFill>
                    </w:rPr>
                    <w:t>法律法规和相关政策明令不予准入的其他项目。</w:t>
                  </w:r>
                </w:p>
              </w:tc>
              <w:tc>
                <w:tcPr>
                  <w:tcW w:w="502" w:type="pct"/>
                  <w:vAlign w:val="center"/>
                </w:tcPr>
                <w:p w14:paraId="3D394495">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549530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5311F2F6">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二</w:t>
                  </w:r>
                </w:p>
              </w:tc>
              <w:tc>
                <w:tcPr>
                  <w:tcW w:w="4551" w:type="pct"/>
                  <w:gridSpan w:val="3"/>
                  <w:vAlign w:val="center"/>
                </w:tcPr>
                <w:p w14:paraId="11627FFA">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重点区域不予准入的产业</w:t>
                  </w:r>
                </w:p>
              </w:tc>
            </w:tr>
            <w:tr w14:paraId="16C24F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3AC60190">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1</w:t>
                  </w:r>
                </w:p>
              </w:tc>
              <w:tc>
                <w:tcPr>
                  <w:tcW w:w="2834" w:type="pct"/>
                </w:tcPr>
                <w:p w14:paraId="720E185B">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外环绕城高速公路以内长江、嘉陵江水域采砂。</w:t>
                  </w:r>
                </w:p>
              </w:tc>
              <w:tc>
                <w:tcPr>
                  <w:tcW w:w="1214" w:type="pct"/>
                  <w:vAlign w:val="center"/>
                </w:tcPr>
                <w:p w14:paraId="4C1CC5CB">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5B54EF34">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051CC3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7BF119BE">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2</w:t>
                  </w:r>
                </w:p>
              </w:tc>
              <w:tc>
                <w:tcPr>
                  <w:tcW w:w="2834" w:type="pct"/>
                </w:tcPr>
                <w:p w14:paraId="57108D23">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二十五度以上陡坡地开垦种植农作物。</w:t>
                  </w:r>
                </w:p>
              </w:tc>
              <w:tc>
                <w:tcPr>
                  <w:tcW w:w="1214" w:type="pct"/>
                  <w:vAlign w:val="center"/>
                </w:tcPr>
                <w:p w14:paraId="1F459175">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7A3299DA">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2EF254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05CAA146">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3</w:t>
                  </w:r>
                </w:p>
              </w:tc>
              <w:tc>
                <w:tcPr>
                  <w:tcW w:w="2834" w:type="pct"/>
                </w:tcPr>
                <w:p w14:paraId="266A1338">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在自然保护区核心区、缓冲区的岸线和河段范围内投资建设旅游和生产经营项目。</w:t>
                  </w:r>
                </w:p>
              </w:tc>
              <w:tc>
                <w:tcPr>
                  <w:tcW w:w="1214" w:type="pct"/>
                  <w:vAlign w:val="center"/>
                </w:tcPr>
                <w:p w14:paraId="70F5497B">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4D7F45E0">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1DA10E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274638F7">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4</w:t>
                  </w:r>
                </w:p>
              </w:tc>
              <w:tc>
                <w:tcPr>
                  <w:tcW w:w="2834" w:type="pct"/>
                </w:tcPr>
                <w:p w14:paraId="54A64911">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214" w:type="pct"/>
                  <w:vAlign w:val="center"/>
                </w:tcPr>
                <w:p w14:paraId="35885350">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24872370">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7122FF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78BF092B">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5</w:t>
                  </w:r>
                </w:p>
              </w:tc>
              <w:tc>
                <w:tcPr>
                  <w:tcW w:w="2834" w:type="pct"/>
                </w:tcPr>
                <w:p w14:paraId="7E21716C">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长江干流岸线3公里范围内和重要支流岸线1公里范围内新建、改建、扩建尾矿库、冶炼渣库和磷石膏库（以提升安全、生态环境保护水平为目的改建除外）。</w:t>
                  </w:r>
                </w:p>
              </w:tc>
              <w:tc>
                <w:tcPr>
                  <w:tcW w:w="1214" w:type="pct"/>
                  <w:vAlign w:val="center"/>
                </w:tcPr>
                <w:p w14:paraId="48FA0019">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3216E39D">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7E3CE5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7FE9E71A">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6</w:t>
                  </w:r>
                </w:p>
              </w:tc>
              <w:tc>
                <w:tcPr>
                  <w:tcW w:w="2834" w:type="pct"/>
                </w:tcPr>
                <w:p w14:paraId="7DE3E4B9">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在风景名胜区核心景区的岸线和河段范围内投资建设与风景名胜资源保护无关的项目。</w:t>
                  </w:r>
                </w:p>
              </w:tc>
              <w:tc>
                <w:tcPr>
                  <w:tcW w:w="1214" w:type="pct"/>
                  <w:vAlign w:val="center"/>
                </w:tcPr>
                <w:p w14:paraId="51584712">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7D2AD9CC">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4A3589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5A88B084">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7</w:t>
                  </w:r>
                </w:p>
              </w:tc>
              <w:tc>
                <w:tcPr>
                  <w:tcW w:w="2834" w:type="pct"/>
                </w:tcPr>
                <w:p w14:paraId="19A141FD">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在国家湿地公园的岸线和河段范围内挖沙、采矿，以及任何不符合主体功能定位的投资建设项目。</w:t>
                  </w:r>
                </w:p>
              </w:tc>
              <w:tc>
                <w:tcPr>
                  <w:tcW w:w="1214" w:type="pct"/>
                  <w:vAlign w:val="center"/>
                </w:tcPr>
                <w:p w14:paraId="47DC38F0">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07DFDEFD">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3B6D44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1F6F321C">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8</w:t>
                  </w:r>
                </w:p>
              </w:tc>
              <w:tc>
                <w:tcPr>
                  <w:tcW w:w="2834" w:type="pct"/>
                </w:tcPr>
                <w:p w14:paraId="2CB56E55">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在《长江岸线保护和开发利用总体规划》划定的岸线保护区和</w:t>
                  </w:r>
                  <w:r>
                    <w:rPr>
                      <w:rFonts w:hint="eastAsia"/>
                      <w:snapToGrid w:val="0"/>
                      <w:color w:val="000000" w:themeColor="text1"/>
                      <w:kern w:val="0"/>
                      <w:sz w:val="21"/>
                      <w:szCs w:val="21"/>
                      <w:highlight w:val="none"/>
                      <w:lang w:eastAsia="zh-CN"/>
                      <w14:textFill>
                        <w14:solidFill>
                          <w14:schemeClr w14:val="tx1"/>
                        </w14:solidFill>
                      </w14:textFill>
                    </w:rPr>
                    <w:t>保护</w:t>
                  </w:r>
                  <w:r>
                    <w:rPr>
                      <w:rFonts w:hint="eastAsia"/>
                      <w:snapToGrid w:val="0"/>
                      <w:color w:val="000000" w:themeColor="text1"/>
                      <w:kern w:val="0"/>
                      <w:sz w:val="21"/>
                      <w:szCs w:val="21"/>
                      <w:highlight w:val="none"/>
                      <w14:textFill>
                        <w14:solidFill>
                          <w14:schemeClr w14:val="tx1"/>
                        </w14:solidFill>
                      </w14:textFill>
                    </w:rPr>
                    <w:t>区内投资建设除事关公共安全及公众利益的防洪护岸、河道治理、供水、生态环境保护、航道整治、国家重要基础设施以外的项目。</w:t>
                  </w:r>
                </w:p>
              </w:tc>
              <w:tc>
                <w:tcPr>
                  <w:tcW w:w="1214" w:type="pct"/>
                  <w:vAlign w:val="center"/>
                </w:tcPr>
                <w:p w14:paraId="6C536C33">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00E11171">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6CBE66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449D0281">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9</w:t>
                  </w:r>
                </w:p>
              </w:tc>
              <w:tc>
                <w:tcPr>
                  <w:tcW w:w="2834" w:type="pct"/>
                </w:tcPr>
                <w:p w14:paraId="72B9DE05">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在《全国重要江河湖泊水功能区划》划定的河段及湖泊保护区、保留区内投资建设不利于水资源及自然生态保护的项目。</w:t>
                  </w:r>
                </w:p>
              </w:tc>
              <w:tc>
                <w:tcPr>
                  <w:tcW w:w="1214" w:type="pct"/>
                  <w:vAlign w:val="center"/>
                </w:tcPr>
                <w:p w14:paraId="24CD68F3">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59D21B79">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19D6B9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66A5D7C6">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三</w:t>
                  </w:r>
                </w:p>
              </w:tc>
              <w:tc>
                <w:tcPr>
                  <w:tcW w:w="4551" w:type="pct"/>
                  <w:gridSpan w:val="3"/>
                  <w:vAlign w:val="center"/>
                </w:tcPr>
                <w:p w14:paraId="274FC7B2">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全市范围内限制准入的产业</w:t>
                  </w:r>
                </w:p>
              </w:tc>
            </w:tr>
            <w:tr w14:paraId="6917BE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3F645106">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1</w:t>
                  </w:r>
                </w:p>
              </w:tc>
              <w:tc>
                <w:tcPr>
                  <w:tcW w:w="2834" w:type="pct"/>
                  <w:vAlign w:val="center"/>
                </w:tcPr>
                <w:p w14:paraId="27BD2FB6">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新建、扩建不符合国家产能置换要求的严重过剩产能行业的项目。新建、扩建不符合要求的高耗能高排放项目。</w:t>
                  </w:r>
                </w:p>
              </w:tc>
              <w:tc>
                <w:tcPr>
                  <w:tcW w:w="1214" w:type="pct"/>
                  <w:vAlign w:val="center"/>
                </w:tcPr>
                <w:p w14:paraId="6C6E8C32">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不属于</w:t>
                  </w:r>
                  <w:r>
                    <w:rPr>
                      <w:rFonts w:hint="eastAsia"/>
                      <w:snapToGrid w:val="0"/>
                      <w:color w:val="000000" w:themeColor="text1"/>
                      <w:kern w:val="0"/>
                      <w:sz w:val="21"/>
                      <w:szCs w:val="21"/>
                      <w:highlight w:val="none"/>
                      <w14:textFill>
                        <w14:solidFill>
                          <w14:schemeClr w14:val="tx1"/>
                        </w14:solidFill>
                      </w14:textFill>
                    </w:rPr>
                    <w:t>严重产业过剩</w:t>
                  </w:r>
                  <w:r>
                    <w:rPr>
                      <w:snapToGrid w:val="0"/>
                      <w:color w:val="000000" w:themeColor="text1"/>
                      <w:kern w:val="0"/>
                      <w:sz w:val="21"/>
                      <w:szCs w:val="21"/>
                      <w:highlight w:val="none"/>
                      <w14:textFill>
                        <w14:solidFill>
                          <w14:schemeClr w14:val="tx1"/>
                        </w14:solidFill>
                      </w14:textFill>
                    </w:rPr>
                    <w:t>、高</w:t>
                  </w:r>
                  <w:r>
                    <w:rPr>
                      <w:rFonts w:hint="eastAsia"/>
                      <w:snapToGrid w:val="0"/>
                      <w:color w:val="000000" w:themeColor="text1"/>
                      <w:kern w:val="0"/>
                      <w:sz w:val="21"/>
                      <w:szCs w:val="21"/>
                      <w:highlight w:val="none"/>
                      <w14:textFill>
                        <w14:solidFill>
                          <w14:schemeClr w14:val="tx1"/>
                        </w14:solidFill>
                      </w14:textFill>
                    </w:rPr>
                    <w:t>耗能高</w:t>
                  </w:r>
                  <w:r>
                    <w:rPr>
                      <w:snapToGrid w:val="0"/>
                      <w:color w:val="000000" w:themeColor="text1"/>
                      <w:kern w:val="0"/>
                      <w:sz w:val="21"/>
                      <w:szCs w:val="21"/>
                      <w:highlight w:val="none"/>
                      <w14:textFill>
                        <w14:solidFill>
                          <w14:schemeClr w14:val="tx1"/>
                        </w14:solidFill>
                      </w14:textFill>
                    </w:rPr>
                    <w:t>排放项目</w:t>
                  </w:r>
                </w:p>
              </w:tc>
              <w:tc>
                <w:tcPr>
                  <w:tcW w:w="502" w:type="pct"/>
                  <w:vAlign w:val="center"/>
                </w:tcPr>
                <w:p w14:paraId="059E79FC">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0BB97B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6CFEC979">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2</w:t>
                  </w:r>
                </w:p>
              </w:tc>
              <w:tc>
                <w:tcPr>
                  <w:tcW w:w="2834" w:type="pct"/>
                  <w:vAlign w:val="center"/>
                </w:tcPr>
                <w:p w14:paraId="6D551D9F">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新建、扩建不符合国家石化、现代煤化工等产业布局规划的项目。</w:t>
                  </w:r>
                </w:p>
              </w:tc>
              <w:tc>
                <w:tcPr>
                  <w:tcW w:w="1214" w:type="pct"/>
                  <w:vAlign w:val="center"/>
                </w:tcPr>
                <w:p w14:paraId="79223FF1">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43AD889C">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0737F4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2DF45A57">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3</w:t>
                  </w:r>
                </w:p>
              </w:tc>
              <w:tc>
                <w:tcPr>
                  <w:tcW w:w="2834" w:type="pct"/>
                  <w:vAlign w:val="center"/>
                </w:tcPr>
                <w:p w14:paraId="1168C888">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在合规园区外新建、扩建钢铁、石化、化工、焦化、建材、有色、制浆造纸等高污染项目。</w:t>
                  </w:r>
                </w:p>
              </w:tc>
              <w:tc>
                <w:tcPr>
                  <w:tcW w:w="1214" w:type="pct"/>
                  <w:vAlign w:val="center"/>
                </w:tcPr>
                <w:p w14:paraId="28630D98">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本项目位于</w:t>
                  </w:r>
                  <w:r>
                    <w:rPr>
                      <w:snapToGrid w:val="0"/>
                      <w:color w:val="000000" w:themeColor="text1"/>
                      <w:kern w:val="0"/>
                      <w:sz w:val="21"/>
                      <w:szCs w:val="21"/>
                      <w:highlight w:val="none"/>
                      <w14:textFill>
                        <w14:solidFill>
                          <w14:schemeClr w14:val="tx1"/>
                        </w14:solidFill>
                      </w14:textFill>
                    </w:rPr>
                    <w:t>园区内，不属于上述项目。</w:t>
                  </w:r>
                </w:p>
              </w:tc>
              <w:tc>
                <w:tcPr>
                  <w:tcW w:w="502" w:type="pct"/>
                  <w:vAlign w:val="center"/>
                </w:tcPr>
                <w:p w14:paraId="2753E914">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3E65E1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5BBA72BA">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4</w:t>
                  </w:r>
                </w:p>
              </w:tc>
              <w:tc>
                <w:tcPr>
                  <w:tcW w:w="2834" w:type="pct"/>
                  <w:vAlign w:val="center"/>
                </w:tcPr>
                <w:p w14:paraId="1C91903E">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《汽车产业投资管理规定》（国家发展和改革委员会令第22号）明确禁止建设的汽车投资项目。</w:t>
                  </w:r>
                </w:p>
              </w:tc>
              <w:tc>
                <w:tcPr>
                  <w:tcW w:w="1214" w:type="pct"/>
                  <w:vAlign w:val="center"/>
                </w:tcPr>
                <w:p w14:paraId="6731B1D3">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不属于汽车投资项目。</w:t>
                  </w:r>
                </w:p>
              </w:tc>
              <w:tc>
                <w:tcPr>
                  <w:tcW w:w="502" w:type="pct"/>
                  <w:vAlign w:val="center"/>
                </w:tcPr>
                <w:p w14:paraId="26D602B4">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4C4320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7A445BAD">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四</w:t>
                  </w:r>
                </w:p>
              </w:tc>
              <w:tc>
                <w:tcPr>
                  <w:tcW w:w="4551" w:type="pct"/>
                  <w:gridSpan w:val="3"/>
                  <w:vAlign w:val="center"/>
                </w:tcPr>
                <w:p w14:paraId="63A63705">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重点区域范围内限制准入的产业</w:t>
                  </w:r>
                </w:p>
              </w:tc>
            </w:tr>
            <w:tr w14:paraId="2EA179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3EE8CDFD">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1</w:t>
                  </w:r>
                </w:p>
              </w:tc>
              <w:tc>
                <w:tcPr>
                  <w:tcW w:w="2834" w:type="pct"/>
                  <w:vAlign w:val="center"/>
                </w:tcPr>
                <w:p w14:paraId="0239D146">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长江干支流、重要湖泊岸线1公里范围内新建、扩建化工园区和化工项目，长江、嘉陵江、乌江岸线1公里范围内布局新建纸浆制造、印染等存在环境风险的项目。</w:t>
                  </w:r>
                </w:p>
              </w:tc>
              <w:tc>
                <w:tcPr>
                  <w:tcW w:w="1214" w:type="pct"/>
                  <w:vAlign w:val="center"/>
                </w:tcPr>
                <w:p w14:paraId="058ECA0B">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7AF9E4E4">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r w14:paraId="138773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pct"/>
                  <w:vAlign w:val="center"/>
                </w:tcPr>
                <w:p w14:paraId="7C23249E">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2</w:t>
                  </w:r>
                </w:p>
              </w:tc>
              <w:tc>
                <w:tcPr>
                  <w:tcW w:w="2834" w:type="pct"/>
                  <w:vAlign w:val="center"/>
                </w:tcPr>
                <w:p w14:paraId="3AA36CB4">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在水产种质资源保护区的岸线和河段范围内新建围湖造田等投资建设项目。</w:t>
                  </w:r>
                </w:p>
              </w:tc>
              <w:tc>
                <w:tcPr>
                  <w:tcW w:w="1214" w:type="pct"/>
                  <w:vAlign w:val="center"/>
                </w:tcPr>
                <w:p w14:paraId="67593470">
                  <w:pPr>
                    <w:pStyle w:val="45"/>
                    <w:keepNext w:val="0"/>
                    <w:keepLines w:val="0"/>
                    <w:pageBreakBefore w:val="0"/>
                    <w:widowControl w:val="0"/>
                    <w:kinsoku/>
                    <w:wordWrap/>
                    <w:overflowPunct/>
                    <w:topLinePunct w:val="0"/>
                    <w:autoSpaceDE/>
                    <w:autoSpaceDN/>
                    <w:bidi w:val="0"/>
                    <w:adjustRightInd w:val="0"/>
                    <w:snapToGrid w:val="0"/>
                    <w:jc w:val="left"/>
                    <w:textAlignment w:val="auto"/>
                    <w:rPr>
                      <w:snapToGrid w:val="0"/>
                      <w:color w:val="000000" w:themeColor="text1"/>
                      <w:kern w:val="0"/>
                      <w:sz w:val="21"/>
                      <w:szCs w:val="21"/>
                      <w:highlight w:val="none"/>
                      <w14:textFill>
                        <w14:solidFill>
                          <w14:schemeClr w14:val="tx1"/>
                        </w14:solidFill>
                      </w14:textFill>
                    </w:rPr>
                  </w:pPr>
                  <w:r>
                    <w:rPr>
                      <w:rFonts w:hint="eastAsia"/>
                      <w:snapToGrid w:val="0"/>
                      <w:color w:val="000000" w:themeColor="text1"/>
                      <w:kern w:val="0"/>
                      <w:sz w:val="21"/>
                      <w:szCs w:val="21"/>
                      <w:highlight w:val="none"/>
                      <w14:textFill>
                        <w14:solidFill>
                          <w14:schemeClr w14:val="tx1"/>
                        </w14:solidFill>
                      </w14:textFill>
                    </w:rPr>
                    <w:t>本项目</w:t>
                  </w:r>
                  <w:r>
                    <w:rPr>
                      <w:snapToGrid w:val="0"/>
                      <w:color w:val="000000" w:themeColor="text1"/>
                      <w:kern w:val="0"/>
                      <w:sz w:val="21"/>
                      <w:szCs w:val="21"/>
                      <w:highlight w:val="none"/>
                      <w14:textFill>
                        <w14:solidFill>
                          <w14:schemeClr w14:val="tx1"/>
                        </w14:solidFill>
                      </w14:textFill>
                    </w:rPr>
                    <w:t>不涉及。</w:t>
                  </w:r>
                </w:p>
              </w:tc>
              <w:tc>
                <w:tcPr>
                  <w:tcW w:w="502" w:type="pct"/>
                  <w:vAlign w:val="center"/>
                </w:tcPr>
                <w:p w14:paraId="35F66C6C">
                  <w:pPr>
                    <w:pStyle w:val="45"/>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0"/>
                      <w:sz w:val="21"/>
                      <w:szCs w:val="21"/>
                      <w:highlight w:val="none"/>
                      <w14:textFill>
                        <w14:solidFill>
                          <w14:schemeClr w14:val="tx1"/>
                        </w14:solidFill>
                      </w14:textFill>
                    </w:rPr>
                  </w:pPr>
                  <w:r>
                    <w:rPr>
                      <w:snapToGrid w:val="0"/>
                      <w:color w:val="000000" w:themeColor="text1"/>
                      <w:kern w:val="0"/>
                      <w:sz w:val="21"/>
                      <w:szCs w:val="21"/>
                      <w:highlight w:val="none"/>
                      <w14:textFill>
                        <w14:solidFill>
                          <w14:schemeClr w14:val="tx1"/>
                        </w14:solidFill>
                      </w14:textFill>
                    </w:rPr>
                    <w:t>符合</w:t>
                  </w:r>
                </w:p>
              </w:tc>
            </w:tr>
          </w:tbl>
          <w:p w14:paraId="0FFA8CD2">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综上所述，本项目符合《</w:t>
            </w:r>
            <w:r>
              <w:rPr>
                <w:rFonts w:hint="eastAsia"/>
                <w:color w:val="000000" w:themeColor="text1"/>
                <w:kern w:val="0"/>
                <w:szCs w:val="21"/>
                <w:highlight w:val="none"/>
                <w14:textFill>
                  <w14:solidFill>
                    <w14:schemeClr w14:val="tx1"/>
                  </w14:solidFill>
                </w14:textFill>
              </w:rPr>
              <w:t>重庆市发展和改革委员会关于印发重庆市产业投资准入工作手册的通知</w:t>
            </w:r>
            <w:r>
              <w:rPr>
                <w:color w:val="000000" w:themeColor="text1"/>
                <w:kern w:val="0"/>
                <w:szCs w:val="21"/>
                <w:highlight w:val="none"/>
                <w14:textFill>
                  <w14:solidFill>
                    <w14:schemeClr w14:val="tx1"/>
                  </w14:solidFill>
                </w14:textFill>
              </w:rPr>
              <w:t>》（渝发改投</w:t>
            </w:r>
            <w:r>
              <w:rPr>
                <w:rFonts w:hint="eastAsia"/>
                <w:color w:val="000000" w:themeColor="text1"/>
                <w:kern w:val="0"/>
                <w:szCs w:val="21"/>
                <w:highlight w:val="none"/>
                <w14:textFill>
                  <w14:solidFill>
                    <w14:schemeClr w14:val="tx1"/>
                  </w14:solidFill>
                </w14:textFill>
              </w:rPr>
              <w:t>资</w:t>
            </w:r>
            <w:r>
              <w:rPr>
                <w:color w:val="000000" w:themeColor="text1"/>
                <w:kern w:val="0"/>
                <w:szCs w:val="21"/>
                <w:highlight w:val="none"/>
                <w14:textFill>
                  <w14:solidFill>
                    <w14:schemeClr w14:val="tx1"/>
                  </w14:solidFill>
                </w14:textFill>
              </w:rPr>
              <w:t>〔2022〕1436号）要求。</w:t>
            </w:r>
          </w:p>
          <w:p w14:paraId="4030197F">
            <w:pPr>
              <w:ind w:left="0" w:leftChars="0" w:firstLine="0" w:firstLineChars="0"/>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1.3.2</w:t>
            </w:r>
            <w:r>
              <w:rPr>
                <w:b/>
                <w:bCs/>
                <w:color w:val="000000" w:themeColor="text1"/>
                <w:kern w:val="0"/>
                <w:szCs w:val="21"/>
                <w:highlight w:val="none"/>
                <w14:textFill>
                  <w14:solidFill>
                    <w14:schemeClr w14:val="tx1"/>
                  </w14:solidFill>
                </w14:textFill>
              </w:rPr>
              <w:t>与《关于严格工业布局和准入的通知》（渝发改工[2018]781号）符合性分析</w:t>
            </w:r>
          </w:p>
          <w:p w14:paraId="6BC699F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表1</w:t>
            </w:r>
            <w:r>
              <w:rPr>
                <w:rFonts w:hint="eastAsia"/>
                <w:b/>
                <w:bCs/>
                <w:color w:val="000000" w:themeColor="text1"/>
                <w:kern w:val="0"/>
                <w:szCs w:val="21"/>
                <w:highlight w:val="none"/>
                <w:lang w:val="en-US" w:eastAsia="zh-CN"/>
                <w14:textFill>
                  <w14:solidFill>
                    <w14:schemeClr w14:val="tx1"/>
                  </w14:solidFill>
                </w14:textFill>
              </w:rPr>
              <w:t>.3</w:t>
            </w:r>
            <w:r>
              <w:rPr>
                <w:b/>
                <w:bCs/>
                <w:color w:val="000000" w:themeColor="text1"/>
                <w:kern w:val="0"/>
                <w:szCs w:val="21"/>
                <w:highlight w:val="none"/>
                <w14:textFill>
                  <w14:solidFill>
                    <w14:schemeClr w14:val="tx1"/>
                  </w14:solidFill>
                </w14:textFill>
              </w:rPr>
              <w:t>-</w:t>
            </w:r>
            <w:r>
              <w:rPr>
                <w:rFonts w:hint="eastAsia"/>
                <w:b/>
                <w:bCs/>
                <w:color w:val="000000" w:themeColor="text1"/>
                <w:kern w:val="0"/>
                <w:szCs w:val="21"/>
                <w:highlight w:val="none"/>
                <w:lang w:val="en-US" w:eastAsia="zh-CN"/>
                <w14:textFill>
                  <w14:solidFill>
                    <w14:schemeClr w14:val="tx1"/>
                  </w14:solidFill>
                </w14:textFill>
              </w:rPr>
              <w:t>2</w:t>
            </w:r>
            <w:r>
              <w:rPr>
                <w:b/>
                <w:bCs/>
                <w:color w:val="000000" w:themeColor="text1"/>
                <w:kern w:val="0"/>
                <w:szCs w:val="21"/>
                <w:highlight w:val="none"/>
                <w14:textFill>
                  <w14:solidFill>
                    <w14:schemeClr w14:val="tx1"/>
                  </w14:solidFill>
                </w14:textFill>
              </w:rPr>
              <w:t>与《关于严格工业布局和准入的通知》（渝发改工[2018]781号）</w:t>
            </w:r>
            <w:r>
              <w:rPr>
                <w:rFonts w:hint="eastAsia"/>
                <w:b/>
                <w:bCs/>
                <w:color w:val="000000" w:themeColor="text1"/>
                <w:kern w:val="0"/>
                <w:szCs w:val="21"/>
                <w:highlight w:val="none"/>
                <w:lang w:eastAsia="zh-CN"/>
                <w14:textFill>
                  <w14:solidFill>
                    <w14:schemeClr w14:val="tx1"/>
                  </w14:solidFill>
                </w14:textFill>
              </w:rPr>
              <w:t>的</w:t>
            </w:r>
            <w:r>
              <w:rPr>
                <w:b/>
                <w:bCs/>
                <w:color w:val="000000" w:themeColor="text1"/>
                <w:kern w:val="0"/>
                <w:szCs w:val="21"/>
                <w:highlight w:val="none"/>
                <w14:textFill>
                  <w14:solidFill>
                    <w14:schemeClr w14:val="tx1"/>
                  </w14:solidFill>
                </w14:textFill>
              </w:rPr>
              <w:t>符合性分析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840"/>
              <w:gridCol w:w="2053"/>
              <w:gridCol w:w="941"/>
            </w:tblGrid>
            <w:tr w14:paraId="61E4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tcBorders>
                    <w:bottom w:val="single" w:color="auto" w:sz="4" w:space="0"/>
                    <w:right w:val="single" w:color="auto" w:sz="4" w:space="0"/>
                  </w:tcBorders>
                  <w:vAlign w:val="center"/>
                </w:tcPr>
                <w:p w14:paraId="3250CBFE">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846" w:type="pct"/>
                  <w:tcBorders>
                    <w:left w:val="single" w:color="auto" w:sz="4" w:space="0"/>
                    <w:bottom w:val="single" w:color="auto" w:sz="4" w:space="0"/>
                    <w:right w:val="single" w:color="auto" w:sz="4" w:space="0"/>
                  </w:tcBorders>
                  <w:vAlign w:val="center"/>
                </w:tcPr>
                <w:p w14:paraId="58866EED">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环境准入规定</w:t>
                  </w:r>
                </w:p>
              </w:tc>
              <w:tc>
                <w:tcPr>
                  <w:tcW w:w="1207" w:type="pct"/>
                  <w:tcBorders>
                    <w:left w:val="single" w:color="auto" w:sz="4" w:space="0"/>
                    <w:bottom w:val="single" w:color="auto" w:sz="4" w:space="0"/>
                    <w:right w:val="single" w:color="auto" w:sz="4" w:space="0"/>
                  </w:tcBorders>
                  <w:vAlign w:val="center"/>
                </w:tcPr>
                <w:p w14:paraId="7463CBC6">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本项目执行情况</w:t>
                  </w:r>
                </w:p>
              </w:tc>
              <w:tc>
                <w:tcPr>
                  <w:tcW w:w="553" w:type="pct"/>
                  <w:tcBorders>
                    <w:left w:val="single" w:color="auto" w:sz="4" w:space="0"/>
                    <w:bottom w:val="single" w:color="auto" w:sz="4" w:space="0"/>
                  </w:tcBorders>
                  <w:vAlign w:val="center"/>
                </w:tcPr>
                <w:p w14:paraId="041F36AF">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符合性</w:t>
                  </w:r>
                </w:p>
              </w:tc>
            </w:tr>
            <w:tr w14:paraId="43E2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tcBorders>
                    <w:top w:val="single" w:color="auto" w:sz="4" w:space="0"/>
                    <w:bottom w:val="single" w:color="auto" w:sz="4" w:space="0"/>
                    <w:right w:val="single" w:color="auto" w:sz="4" w:space="0"/>
                  </w:tcBorders>
                  <w:vAlign w:val="center"/>
                </w:tcPr>
                <w:p w14:paraId="54316754">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846" w:type="pct"/>
                  <w:tcBorders>
                    <w:top w:val="single" w:color="auto" w:sz="4" w:space="0"/>
                    <w:left w:val="single" w:color="auto" w:sz="4" w:space="0"/>
                    <w:bottom w:val="single" w:color="auto" w:sz="4" w:space="0"/>
                    <w:right w:val="single" w:color="auto" w:sz="4" w:space="0"/>
                  </w:tcBorders>
                  <w:vAlign w:val="center"/>
                </w:tcPr>
                <w:p w14:paraId="0DC809BC">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1207" w:type="pct"/>
                  <w:tcBorders>
                    <w:top w:val="single" w:color="auto" w:sz="4" w:space="0"/>
                    <w:left w:val="single" w:color="auto" w:sz="4" w:space="0"/>
                    <w:bottom w:val="single" w:color="auto" w:sz="4" w:space="0"/>
                    <w:right w:val="single" w:color="auto" w:sz="4" w:space="0"/>
                  </w:tcBorders>
                  <w:vAlign w:val="center"/>
                </w:tcPr>
                <w:p w14:paraId="4F6A8EC2">
                  <w:pPr>
                    <w:pStyle w:val="45"/>
                    <w:jc w:val="left"/>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本项目位于</w:t>
                  </w:r>
                  <w:r>
                    <w:rPr>
                      <w:rFonts w:hint="eastAsia"/>
                      <w:color w:val="000000" w:themeColor="text1"/>
                      <w:kern w:val="0"/>
                      <w:sz w:val="21"/>
                      <w:szCs w:val="21"/>
                      <w:highlight w:val="none"/>
                      <w14:textFill>
                        <w14:solidFill>
                          <w14:schemeClr w14:val="tx1"/>
                        </w14:solidFill>
                      </w14:textFill>
                    </w:rPr>
                    <w:t>合川工业园区南溪组团A区</w:t>
                  </w:r>
                  <w:r>
                    <w:rPr>
                      <w:color w:val="000000" w:themeColor="text1"/>
                      <w:kern w:val="0"/>
                      <w:sz w:val="21"/>
                      <w:szCs w:val="21"/>
                      <w:highlight w:val="none"/>
                      <w14:textFill>
                        <w14:solidFill>
                          <w14:schemeClr w14:val="tx1"/>
                        </w14:solidFill>
                      </w14:textFill>
                    </w:rPr>
                    <w:t>，不属于在长江干流及主要支流岸线1km范围内的企业。</w:t>
                  </w:r>
                </w:p>
              </w:tc>
              <w:tc>
                <w:tcPr>
                  <w:tcW w:w="553" w:type="pct"/>
                  <w:tcBorders>
                    <w:top w:val="single" w:color="auto" w:sz="4" w:space="0"/>
                    <w:left w:val="single" w:color="auto" w:sz="4" w:space="0"/>
                    <w:bottom w:val="single" w:color="auto" w:sz="4" w:space="0"/>
                  </w:tcBorders>
                  <w:vAlign w:val="center"/>
                </w:tcPr>
                <w:p w14:paraId="3BEC65A9">
                  <w:pPr>
                    <w:pStyle w:val="45"/>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143D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tcBorders>
                    <w:top w:val="single" w:color="auto" w:sz="4" w:space="0"/>
                    <w:bottom w:val="single" w:color="auto" w:sz="4" w:space="0"/>
                    <w:right w:val="single" w:color="auto" w:sz="4" w:space="0"/>
                  </w:tcBorders>
                  <w:vAlign w:val="center"/>
                </w:tcPr>
                <w:p w14:paraId="07EAD132">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846" w:type="pct"/>
                  <w:tcBorders>
                    <w:top w:val="single" w:color="auto" w:sz="4" w:space="0"/>
                    <w:left w:val="single" w:color="auto" w:sz="4" w:space="0"/>
                    <w:bottom w:val="single" w:color="auto" w:sz="4" w:space="0"/>
                    <w:right w:val="single" w:color="auto" w:sz="4" w:space="0"/>
                  </w:tcBorders>
                  <w:vAlign w:val="center"/>
                </w:tcPr>
                <w:p w14:paraId="5BFA4B15">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1207" w:type="pct"/>
                  <w:tcBorders>
                    <w:top w:val="single" w:color="auto" w:sz="4" w:space="0"/>
                    <w:left w:val="single" w:color="auto" w:sz="4" w:space="0"/>
                    <w:bottom w:val="single" w:color="auto" w:sz="4" w:space="0"/>
                    <w:right w:val="single" w:color="auto" w:sz="4" w:space="0"/>
                  </w:tcBorders>
                  <w:vAlign w:val="center"/>
                </w:tcPr>
                <w:p w14:paraId="744F716C">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本项目位于</w:t>
                  </w:r>
                  <w:r>
                    <w:rPr>
                      <w:color w:val="000000" w:themeColor="text1"/>
                      <w:kern w:val="0"/>
                      <w:sz w:val="21"/>
                      <w:szCs w:val="21"/>
                      <w:highlight w:val="none"/>
                      <w14:textFill>
                        <w14:solidFill>
                          <w14:schemeClr w14:val="tx1"/>
                        </w14:solidFill>
                      </w14:textFill>
                    </w:rPr>
                    <w:t>合川区南溪组团A区</w:t>
                  </w:r>
                  <w:r>
                    <w:rPr>
                      <w:color w:val="000000" w:themeColor="text1"/>
                      <w:sz w:val="21"/>
                      <w:szCs w:val="21"/>
                      <w:highlight w:val="none"/>
                      <w14:textFill>
                        <w14:solidFill>
                          <w14:schemeClr w14:val="tx1"/>
                        </w14:solidFill>
                      </w14:textFill>
                    </w:rPr>
                    <w:t>，属于工业园区。</w:t>
                  </w:r>
                </w:p>
              </w:tc>
              <w:tc>
                <w:tcPr>
                  <w:tcW w:w="553" w:type="pct"/>
                  <w:tcBorders>
                    <w:top w:val="single" w:color="auto" w:sz="4" w:space="0"/>
                    <w:left w:val="single" w:color="auto" w:sz="4" w:space="0"/>
                    <w:bottom w:val="single" w:color="auto" w:sz="4" w:space="0"/>
                  </w:tcBorders>
                  <w:vAlign w:val="center"/>
                </w:tcPr>
                <w:p w14:paraId="6FB1326D">
                  <w:pPr>
                    <w:pStyle w:val="45"/>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4171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tcBorders>
                    <w:top w:val="single" w:color="auto" w:sz="4" w:space="0"/>
                    <w:bottom w:val="single" w:color="auto" w:sz="4" w:space="0"/>
                    <w:right w:val="single" w:color="auto" w:sz="4" w:space="0"/>
                  </w:tcBorders>
                  <w:vAlign w:val="center"/>
                </w:tcPr>
                <w:p w14:paraId="414D3F1F">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846" w:type="pct"/>
                  <w:tcBorders>
                    <w:top w:val="single" w:color="auto" w:sz="4" w:space="0"/>
                    <w:left w:val="single" w:color="auto" w:sz="4" w:space="0"/>
                    <w:bottom w:val="single" w:color="auto" w:sz="4" w:space="0"/>
                    <w:right w:val="single" w:color="auto" w:sz="4" w:space="0"/>
                  </w:tcBorders>
                  <w:vAlign w:val="center"/>
                </w:tcPr>
                <w:p w14:paraId="749E2FB5">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1207" w:type="pct"/>
                  <w:tcBorders>
                    <w:top w:val="single" w:color="auto" w:sz="4" w:space="0"/>
                    <w:left w:val="single" w:color="auto" w:sz="4" w:space="0"/>
                    <w:bottom w:val="single" w:color="auto" w:sz="4" w:space="0"/>
                    <w:right w:val="single" w:color="auto" w:sz="4" w:space="0"/>
                  </w:tcBorders>
                  <w:vAlign w:val="center"/>
                </w:tcPr>
                <w:p w14:paraId="6213D3A3">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本项目不属于过剩产能和</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两高一资</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项目。</w:t>
                  </w:r>
                </w:p>
              </w:tc>
              <w:tc>
                <w:tcPr>
                  <w:tcW w:w="553" w:type="pct"/>
                  <w:tcBorders>
                    <w:top w:val="single" w:color="auto" w:sz="4" w:space="0"/>
                    <w:left w:val="single" w:color="auto" w:sz="4" w:space="0"/>
                    <w:bottom w:val="single" w:color="auto" w:sz="4" w:space="0"/>
                  </w:tcBorders>
                  <w:vAlign w:val="center"/>
                </w:tcPr>
                <w:p w14:paraId="1095729F">
                  <w:pPr>
                    <w:pStyle w:val="45"/>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0960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tcBorders>
                    <w:top w:val="single" w:color="auto" w:sz="4" w:space="0"/>
                    <w:right w:val="single" w:color="auto" w:sz="4" w:space="0"/>
                  </w:tcBorders>
                  <w:vAlign w:val="center"/>
                </w:tcPr>
                <w:p w14:paraId="512DC58B">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846" w:type="pct"/>
                  <w:tcBorders>
                    <w:top w:val="single" w:color="auto" w:sz="4" w:space="0"/>
                    <w:left w:val="single" w:color="auto" w:sz="4" w:space="0"/>
                    <w:right w:val="single" w:color="auto" w:sz="4" w:space="0"/>
                  </w:tcBorders>
                  <w:vAlign w:val="center"/>
                </w:tcPr>
                <w:p w14:paraId="56878009">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对本区域内工业布局和项目准入严格把关，加强日常监管。对违反本通知要求的，我们将依据有关规定予以严肃处理。</w:t>
                  </w:r>
                </w:p>
              </w:tc>
              <w:tc>
                <w:tcPr>
                  <w:tcW w:w="1207" w:type="pct"/>
                  <w:tcBorders>
                    <w:top w:val="single" w:color="auto" w:sz="4" w:space="0"/>
                    <w:left w:val="single" w:color="auto" w:sz="4" w:space="0"/>
                    <w:right w:val="single" w:color="auto" w:sz="4" w:space="0"/>
                  </w:tcBorders>
                  <w:vAlign w:val="center"/>
                </w:tcPr>
                <w:p w14:paraId="2A00FE8F">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本评价提出了环境管理要求，企业应严格执行。</w:t>
                  </w:r>
                </w:p>
              </w:tc>
              <w:tc>
                <w:tcPr>
                  <w:tcW w:w="553" w:type="pct"/>
                  <w:tcBorders>
                    <w:top w:val="single" w:color="auto" w:sz="4" w:space="0"/>
                    <w:left w:val="single" w:color="auto" w:sz="4" w:space="0"/>
                  </w:tcBorders>
                  <w:vAlign w:val="center"/>
                </w:tcPr>
                <w:p w14:paraId="07AD5836">
                  <w:pPr>
                    <w:pStyle w:val="45"/>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bl>
          <w:p w14:paraId="7428CD66">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1.3.3</w:t>
            </w:r>
            <w:r>
              <w:rPr>
                <w:b/>
                <w:bCs/>
                <w:color w:val="000000" w:themeColor="text1"/>
                <w:kern w:val="0"/>
                <w:szCs w:val="21"/>
                <w:highlight w:val="none"/>
                <w14:textFill>
                  <w14:solidFill>
                    <w14:schemeClr w14:val="tx1"/>
                  </w14:solidFill>
                </w14:textFill>
              </w:rPr>
              <w:t>与</w:t>
            </w:r>
            <w:r>
              <w:rPr>
                <w:rFonts w:hint="eastAsia"/>
                <w:b/>
                <w:bCs/>
                <w:color w:val="000000" w:themeColor="text1"/>
                <w:kern w:val="0"/>
                <w:szCs w:val="21"/>
                <w:highlight w:val="none"/>
                <w14:textFill>
                  <w14:solidFill>
                    <w14:schemeClr w14:val="tx1"/>
                  </w14:solidFill>
                </w14:textFill>
              </w:rPr>
              <w:t>《四川省、重庆市长江经济带发展负面清单实施细则（试行，2022年版）》（川长办发〔2022〕17号）</w:t>
            </w:r>
            <w:r>
              <w:rPr>
                <w:b/>
                <w:bCs/>
                <w:color w:val="000000" w:themeColor="text1"/>
                <w:kern w:val="0"/>
                <w:szCs w:val="21"/>
                <w:highlight w:val="none"/>
                <w14:textFill>
                  <w14:solidFill>
                    <w14:schemeClr w14:val="tx1"/>
                  </w14:solidFill>
                </w14:textFill>
              </w:rPr>
              <w:t>符合性分析</w:t>
            </w:r>
          </w:p>
          <w:p w14:paraId="760AC1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u w:val="none" w:color="auto"/>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《四川省、重庆市长江经济带发展负面清单实施细则（试行，2022年版）》（川长江办〔2022〕17号）符合性分析</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见下表。</w:t>
            </w:r>
          </w:p>
          <w:p w14:paraId="5130185C">
            <w:pPr>
              <w:pStyle w:val="44"/>
              <w:keepNext w:val="0"/>
              <w:keepLines w:val="0"/>
              <w:pageBreakBefore w:val="0"/>
              <w:widowControl w:val="0"/>
              <w:kinsoku/>
              <w:wordWrap/>
              <w:overflowPunct/>
              <w:topLinePunct w:val="0"/>
              <w:autoSpaceDE/>
              <w:autoSpaceDN/>
              <w:bidi w:val="0"/>
              <w:adjustRightInd/>
              <w:snapToGrid/>
              <w:spacing w:before="0" w:beforeLines="0"/>
              <w:ind w:firstLine="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表1</w:t>
            </w:r>
            <w:r>
              <w:rPr>
                <w:rFonts w:hint="eastAsia"/>
                <w:color w:val="000000" w:themeColor="text1"/>
                <w:highlight w:val="none"/>
                <w:lang w:val="en-US" w:eastAsia="zh-CN"/>
                <w14:textFill>
                  <w14:solidFill>
                    <w14:schemeClr w14:val="tx1"/>
                  </w14:solidFill>
                </w14:textFill>
              </w:rPr>
              <w:t>.3-3</w:t>
            </w:r>
            <w:r>
              <w:rPr>
                <w:color w:val="000000" w:themeColor="text1"/>
                <w:highlight w:val="none"/>
                <w14:textFill>
                  <w14:solidFill>
                    <w14:schemeClr w14:val="tx1"/>
                  </w14:solidFill>
                </w14:textFill>
              </w:rPr>
              <w:t>与</w:t>
            </w:r>
            <w:r>
              <w:rPr>
                <w:color w:val="000000" w:themeColor="text1"/>
                <w:kern w:val="0"/>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四川</w:t>
            </w:r>
            <w:r>
              <w:rPr>
                <w:color w:val="000000" w:themeColor="text1"/>
                <w:kern w:val="0"/>
                <w:highlight w:val="none"/>
                <w14:textFill>
                  <w14:solidFill>
                    <w14:schemeClr w14:val="tx1"/>
                  </w14:solidFill>
                </w14:textFill>
              </w:rPr>
              <w:t>省、重庆市长江经济带发展负面清单实施细则（试行</w:t>
            </w:r>
            <w:r>
              <w:rPr>
                <w:rFonts w:hint="eastAsia"/>
                <w:color w:val="000000" w:themeColor="text1"/>
                <w:kern w:val="0"/>
                <w:highlight w:val="none"/>
                <w14:textFill>
                  <w14:solidFill>
                    <w14:schemeClr w14:val="tx1"/>
                  </w14:solidFill>
                </w14:textFill>
              </w:rPr>
              <w:t>，2022年</w:t>
            </w:r>
            <w:r>
              <w:rPr>
                <w:color w:val="000000" w:themeColor="text1"/>
                <w:kern w:val="0"/>
                <w:highlight w:val="none"/>
                <w14:textFill>
                  <w14:solidFill>
                    <w14:schemeClr w14:val="tx1"/>
                  </w14:solidFill>
                </w14:textFill>
              </w:rPr>
              <w:t>版）》（</w:t>
            </w:r>
            <w:r>
              <w:rPr>
                <w:rFonts w:hint="eastAsia"/>
                <w:color w:val="000000" w:themeColor="text1"/>
                <w:kern w:val="0"/>
                <w:highlight w:val="none"/>
                <w14:textFill>
                  <w14:solidFill>
                    <w14:schemeClr w14:val="tx1"/>
                  </w14:solidFill>
                </w14:textFill>
              </w:rPr>
              <w:t>川</w:t>
            </w:r>
            <w:r>
              <w:rPr>
                <w:color w:val="000000" w:themeColor="text1"/>
                <w:kern w:val="0"/>
                <w:highlight w:val="none"/>
                <w14:textFill>
                  <w14:solidFill>
                    <w14:schemeClr w14:val="tx1"/>
                  </w14:solidFill>
                </w14:textFill>
              </w:rPr>
              <w:t>长办发〔2022〕17号）</w:t>
            </w:r>
            <w:r>
              <w:rPr>
                <w:rFonts w:hint="eastAsia"/>
                <w:color w:val="000000" w:themeColor="text1"/>
                <w:kern w:val="0"/>
                <w:highlight w:val="none"/>
                <w:lang w:eastAsia="zh-CN"/>
                <w14:textFill>
                  <w14:solidFill>
                    <w14:schemeClr w14:val="tx1"/>
                  </w14:solidFill>
                </w14:textFill>
              </w:rPr>
              <w:t>的</w:t>
            </w:r>
            <w:r>
              <w:rPr>
                <w:color w:val="000000" w:themeColor="text1"/>
                <w:highlight w:val="none"/>
                <w14:textFill>
                  <w14:solidFill>
                    <w14:schemeClr w14:val="tx1"/>
                  </w14:solidFill>
                </w14:textFill>
              </w:rPr>
              <w:t>符合性分析</w:t>
            </w:r>
          </w:p>
          <w:tbl>
            <w:tblPr>
              <w:tblStyle w:val="29"/>
              <w:tblW w:w="852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25"/>
              <w:gridCol w:w="1972"/>
              <w:gridCol w:w="927"/>
            </w:tblGrid>
            <w:tr w14:paraId="158151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11702D52">
                  <w:pPr>
                    <w:pStyle w:val="45"/>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管控</w:t>
                  </w:r>
                  <w:r>
                    <w:rPr>
                      <w:b/>
                      <w:bCs/>
                      <w:color w:val="000000" w:themeColor="text1"/>
                      <w:sz w:val="21"/>
                      <w:szCs w:val="21"/>
                      <w:highlight w:val="none"/>
                      <w14:textFill>
                        <w14:solidFill>
                          <w14:schemeClr w14:val="tx1"/>
                        </w14:solidFill>
                      </w14:textFill>
                    </w:rPr>
                    <w:t>内容</w:t>
                  </w:r>
                </w:p>
              </w:tc>
              <w:tc>
                <w:tcPr>
                  <w:tcW w:w="1972" w:type="dxa"/>
                  <w:vAlign w:val="center"/>
                </w:tcPr>
                <w:p w14:paraId="57BD3A5B">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927" w:type="dxa"/>
                  <w:vAlign w:val="center"/>
                </w:tcPr>
                <w:p w14:paraId="3BC27A99">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符合性</w:t>
                  </w:r>
                </w:p>
              </w:tc>
            </w:tr>
            <w:tr w14:paraId="766A50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613C895A">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第五条  禁止新建、改建和扩建不符合全国港口布局规划以及《四川省内河水运发展规划》《泸州一宜宾-乐山港口群布局规划》《重庆港总体规划 （2035年）》等省级港口布局规划及市级港口总体规划的码头项目</w:t>
                  </w:r>
                </w:p>
              </w:tc>
              <w:tc>
                <w:tcPr>
                  <w:tcW w:w="1972" w:type="dxa"/>
                  <w:vAlign w:val="center"/>
                </w:tcPr>
                <w:p w14:paraId="2ABA60A8">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本项目不属于</w:t>
                  </w:r>
                  <w:r>
                    <w:rPr>
                      <w:rFonts w:hint="eastAsia"/>
                      <w:color w:val="000000" w:themeColor="text1"/>
                      <w:sz w:val="21"/>
                      <w:szCs w:val="21"/>
                      <w:highlight w:val="none"/>
                      <w14:textFill>
                        <w14:solidFill>
                          <w14:schemeClr w14:val="tx1"/>
                        </w14:solidFill>
                      </w14:textFill>
                    </w:rPr>
                    <w:t>码头</w:t>
                  </w:r>
                  <w:r>
                    <w:rPr>
                      <w:color w:val="000000" w:themeColor="text1"/>
                      <w:sz w:val="21"/>
                      <w:szCs w:val="21"/>
                      <w:highlight w:val="none"/>
                      <w14:textFill>
                        <w14:solidFill>
                          <w14:schemeClr w14:val="tx1"/>
                        </w14:solidFill>
                      </w14:textFill>
                    </w:rPr>
                    <w:t>项目。</w:t>
                  </w:r>
                </w:p>
              </w:tc>
              <w:tc>
                <w:tcPr>
                  <w:tcW w:w="927" w:type="dxa"/>
                  <w:vAlign w:val="center"/>
                </w:tcPr>
                <w:p w14:paraId="46C3A529">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DAC55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5625" w:type="dxa"/>
                  <w:vAlign w:val="center"/>
                </w:tcPr>
                <w:p w14:paraId="5634EA3D">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第六条  禁止新建、改建和扩建不符合《长江干线过江通道布局规划（2020--2035年）》的过长江通道项目（含桥梁</w:t>
                  </w:r>
                  <w:r>
                    <w:rPr>
                      <w:rFonts w:hint="eastAsia"/>
                      <w:color w:val="000000" w:themeColor="text1"/>
                      <w:sz w:val="21"/>
                      <w:szCs w:val="21"/>
                      <w:highlight w:val="none"/>
                      <w:lang w:eastAsia="zh-CN"/>
                      <w14:textFill>
                        <w14:solidFill>
                          <w14:schemeClr w14:val="tx1"/>
                        </w14:solidFill>
                      </w14:textFill>
                    </w:rPr>
                    <w:t>、通</w:t>
                  </w:r>
                  <w:r>
                    <w:rPr>
                      <w:rFonts w:hint="eastAsia"/>
                      <w:color w:val="000000" w:themeColor="text1"/>
                      <w:sz w:val="21"/>
                      <w:szCs w:val="21"/>
                      <w:highlight w:val="none"/>
                      <w14:textFill>
                        <w14:solidFill>
                          <w14:schemeClr w14:val="tx1"/>
                        </w14:solidFill>
                      </w14:textFill>
                    </w:rPr>
                    <w:t>道），国家发展改革委同意过长江通道线位调整的除外。</w:t>
                  </w:r>
                </w:p>
              </w:tc>
              <w:tc>
                <w:tcPr>
                  <w:tcW w:w="1972" w:type="dxa"/>
                  <w:vAlign w:val="center"/>
                </w:tcPr>
                <w:p w14:paraId="1BE5616E">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本项目不属于《长江干线过江通道布局规划》的过长江通道项目。</w:t>
                  </w:r>
                </w:p>
              </w:tc>
              <w:tc>
                <w:tcPr>
                  <w:tcW w:w="927" w:type="dxa"/>
                  <w:vAlign w:val="center"/>
                </w:tcPr>
                <w:p w14:paraId="19D3D9DD">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563261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37C4329F">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第七条  </w:t>
                  </w:r>
                  <w:r>
                    <w:rPr>
                      <w:color w:val="000000" w:themeColor="text1"/>
                      <w:sz w:val="21"/>
                      <w:szCs w:val="21"/>
                      <w:highlight w:val="none"/>
                      <w14:textFill>
                        <w14:solidFill>
                          <w14:schemeClr w14:val="tx1"/>
                        </w14:solidFill>
                      </w14:textFill>
                    </w:rPr>
                    <w:t>禁止在自然保护区核心区、缓冲区的岸线和河段范围内投资建设旅游和生产经营项目。</w:t>
                  </w:r>
                  <w:r>
                    <w:rPr>
                      <w:rFonts w:hint="eastAsia"/>
                      <w:color w:val="000000" w:themeColor="text1"/>
                      <w:sz w:val="21"/>
                      <w:szCs w:val="21"/>
                      <w:highlight w:val="none"/>
                      <w14:textFill>
                        <w14:solidFill>
                          <w14:schemeClr w14:val="tx1"/>
                        </w14:solidFill>
                      </w14:textFill>
                    </w:rPr>
                    <w:t>自然</w:t>
                  </w:r>
                  <w:r>
                    <w:rPr>
                      <w:color w:val="000000" w:themeColor="text1"/>
                      <w:sz w:val="21"/>
                      <w:szCs w:val="21"/>
                      <w:highlight w:val="none"/>
                      <w14:textFill>
                        <w14:solidFill>
                          <w14:schemeClr w14:val="tx1"/>
                        </w14:solidFill>
                      </w14:textFill>
                    </w:rPr>
                    <w:t>保护区的内部未分区的，依照核心区和</w:t>
                  </w:r>
                  <w:r>
                    <w:rPr>
                      <w:rFonts w:hint="eastAsia"/>
                      <w:color w:val="000000" w:themeColor="text1"/>
                      <w:sz w:val="21"/>
                      <w:szCs w:val="21"/>
                      <w:highlight w:val="none"/>
                      <w14:textFill>
                        <w14:solidFill>
                          <w14:schemeClr w14:val="tx1"/>
                        </w14:solidFill>
                      </w14:textFill>
                    </w:rPr>
                    <w:t>缓冲区</w:t>
                  </w:r>
                  <w:r>
                    <w:rPr>
                      <w:color w:val="000000" w:themeColor="text1"/>
                      <w:sz w:val="21"/>
                      <w:szCs w:val="21"/>
                      <w:highlight w:val="none"/>
                      <w14:textFill>
                        <w14:solidFill>
                          <w14:schemeClr w14:val="tx1"/>
                        </w14:solidFill>
                      </w14:textFill>
                    </w:rPr>
                    <w:t>的规定管控。</w:t>
                  </w:r>
                </w:p>
              </w:tc>
              <w:tc>
                <w:tcPr>
                  <w:tcW w:w="1972" w:type="dxa"/>
                  <w:vAlign w:val="center"/>
                </w:tcPr>
                <w:p w14:paraId="46A9D734">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本项目未在自然保护区核心区、缓冲区的岸线和河段范围内。</w:t>
                  </w:r>
                </w:p>
              </w:tc>
              <w:tc>
                <w:tcPr>
                  <w:tcW w:w="927" w:type="dxa"/>
                  <w:vAlign w:val="center"/>
                </w:tcPr>
                <w:p w14:paraId="452634B9">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35FC8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64DF950F">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第八条  禁止违反风景名胜区规划，在风景名胜区内设立各类开发区。禁止在风景名胜区核心景区的岸线和河段范围内建设宾馆、招待所、培训中心、疗养院以及与风景名</w:t>
                  </w:r>
                  <w:r>
                    <w:rPr>
                      <w:rFonts w:hint="eastAsia"/>
                      <w:color w:val="000000" w:themeColor="text1"/>
                      <w:sz w:val="21"/>
                      <w:szCs w:val="21"/>
                      <w:highlight w:val="none"/>
                      <w:lang w:eastAsia="zh-CN"/>
                      <w14:textFill>
                        <w14:solidFill>
                          <w14:schemeClr w14:val="tx1"/>
                        </w14:solidFill>
                      </w14:textFill>
                    </w:rPr>
                    <w:t>胜区</w:t>
                  </w:r>
                  <w:r>
                    <w:rPr>
                      <w:rFonts w:hint="eastAsia"/>
                      <w:color w:val="000000" w:themeColor="text1"/>
                      <w:sz w:val="21"/>
                      <w:szCs w:val="21"/>
                      <w:highlight w:val="none"/>
                      <w14:textFill>
                        <w14:solidFill>
                          <w14:schemeClr w14:val="tx1"/>
                        </w14:solidFill>
                      </w14:textFill>
                    </w:rPr>
                    <w:t>资源保护无关的项目。</w:t>
                  </w:r>
                </w:p>
              </w:tc>
              <w:tc>
                <w:tcPr>
                  <w:tcW w:w="1972" w:type="dxa"/>
                  <w:vAlign w:val="center"/>
                </w:tcPr>
                <w:p w14:paraId="0A52FA4B">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本项目不在</w:t>
                  </w:r>
                  <w:r>
                    <w:rPr>
                      <w:rFonts w:hint="eastAsia"/>
                      <w:color w:val="000000" w:themeColor="text1"/>
                      <w:sz w:val="21"/>
                      <w:szCs w:val="21"/>
                      <w:highlight w:val="none"/>
                      <w14:textFill>
                        <w14:solidFill>
                          <w14:schemeClr w14:val="tx1"/>
                        </w14:solidFill>
                      </w14:textFill>
                    </w:rPr>
                    <w:t>风景名胜区核心景区的岸线和河段范围内。</w:t>
                  </w:r>
                </w:p>
              </w:tc>
              <w:tc>
                <w:tcPr>
                  <w:tcW w:w="927" w:type="dxa"/>
                  <w:vAlign w:val="center"/>
                </w:tcPr>
                <w:p w14:paraId="044A73DC">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26E5F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1F74F76B">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第九条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禁止在饮用水水源准保护区的岸线和河段范围内新建、扩建对水体污染严重的建设项目，禁止改建增加排污量的建设项目。</w:t>
                  </w:r>
                </w:p>
              </w:tc>
              <w:tc>
                <w:tcPr>
                  <w:tcW w:w="1972" w:type="dxa"/>
                  <w:vAlign w:val="center"/>
                </w:tcPr>
                <w:p w14:paraId="38F89B2F">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本项目不在饮用水水源保护区的岸线和河段范围内</w:t>
                  </w:r>
                  <w:r>
                    <w:rPr>
                      <w:rFonts w:hint="eastAsia"/>
                      <w:color w:val="000000" w:themeColor="text1"/>
                      <w:sz w:val="21"/>
                      <w:szCs w:val="21"/>
                      <w:highlight w:val="none"/>
                      <w14:textFill>
                        <w14:solidFill>
                          <w14:schemeClr w14:val="tx1"/>
                        </w14:solidFill>
                      </w14:textFill>
                    </w:rPr>
                    <w:t>。</w:t>
                  </w:r>
                </w:p>
              </w:tc>
              <w:tc>
                <w:tcPr>
                  <w:tcW w:w="927" w:type="dxa"/>
                  <w:vAlign w:val="center"/>
                </w:tcPr>
                <w:p w14:paraId="158FDFF1">
                  <w:pPr>
                    <w:pStyle w:val="45"/>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0D4B2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38824565">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第十条  饮用水水源二级保护区的岸线和河段范围内，除遵守准保护区规定外，禁止新建、改建、扩建排放污染物的投资建设项目；禁止从事对水体有污染的水产养殖等活动。</w:t>
                  </w:r>
                </w:p>
              </w:tc>
              <w:tc>
                <w:tcPr>
                  <w:tcW w:w="1972" w:type="dxa"/>
                  <w:vAlign w:val="center"/>
                </w:tcPr>
                <w:p w14:paraId="31DBBC59">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本项目不在饮用水水源保护区的岸线和河段范围内</w:t>
                  </w:r>
                  <w:r>
                    <w:rPr>
                      <w:rFonts w:hint="eastAsia"/>
                      <w:color w:val="000000" w:themeColor="text1"/>
                      <w:sz w:val="21"/>
                      <w:szCs w:val="21"/>
                      <w:highlight w:val="none"/>
                      <w14:textFill>
                        <w14:solidFill>
                          <w14:schemeClr w14:val="tx1"/>
                        </w14:solidFill>
                      </w14:textFill>
                    </w:rPr>
                    <w:t>。</w:t>
                  </w:r>
                </w:p>
              </w:tc>
              <w:tc>
                <w:tcPr>
                  <w:tcW w:w="927" w:type="dxa"/>
                  <w:vAlign w:val="center"/>
                </w:tcPr>
                <w:p w14:paraId="633BE13A">
                  <w:pPr>
                    <w:pStyle w:val="45"/>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BC757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06CB110F">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972" w:type="dxa"/>
                  <w:vAlign w:val="center"/>
                </w:tcPr>
                <w:p w14:paraId="6A128623">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本项目不在饮用水水源保护区的岸线和河段范围内</w:t>
                  </w:r>
                  <w:r>
                    <w:rPr>
                      <w:rFonts w:hint="eastAsia"/>
                      <w:color w:val="000000" w:themeColor="text1"/>
                      <w:sz w:val="21"/>
                      <w:szCs w:val="21"/>
                      <w:highlight w:val="none"/>
                      <w14:textFill>
                        <w14:solidFill>
                          <w14:schemeClr w14:val="tx1"/>
                        </w14:solidFill>
                      </w14:textFill>
                    </w:rPr>
                    <w:t>。</w:t>
                  </w:r>
                </w:p>
              </w:tc>
              <w:tc>
                <w:tcPr>
                  <w:tcW w:w="927" w:type="dxa"/>
                  <w:vAlign w:val="center"/>
                </w:tcPr>
                <w:p w14:paraId="046A92D1">
                  <w:pPr>
                    <w:pStyle w:val="45"/>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0A4C3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1124BCAB">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第十二条  禁止在水产种质资源保护区岸线和河段范围内新建围湖造田、围湖造地或挖沙采石等投资建设项目。</w:t>
                  </w:r>
                </w:p>
              </w:tc>
              <w:tc>
                <w:tcPr>
                  <w:tcW w:w="1972" w:type="dxa"/>
                  <w:vAlign w:val="center"/>
                </w:tcPr>
                <w:p w14:paraId="36203ACB">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本项目不在水产种质资源保护区的岸线和河段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且不属于</w:t>
                  </w:r>
                  <w:r>
                    <w:rPr>
                      <w:rFonts w:hint="eastAsia"/>
                      <w:color w:val="000000" w:themeColor="text1"/>
                      <w:sz w:val="21"/>
                      <w:szCs w:val="21"/>
                      <w:highlight w:val="none"/>
                      <w14:textFill>
                        <w14:solidFill>
                          <w14:schemeClr w14:val="tx1"/>
                        </w14:solidFill>
                      </w14:textFill>
                    </w:rPr>
                    <w:t>围湖造田、围湖造地或挖沙采石等投资建设项目。</w:t>
                  </w:r>
                </w:p>
              </w:tc>
              <w:tc>
                <w:tcPr>
                  <w:tcW w:w="927" w:type="dxa"/>
                  <w:vAlign w:val="center"/>
                </w:tcPr>
                <w:p w14:paraId="6D6CFD79">
                  <w:pPr>
                    <w:pStyle w:val="45"/>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16349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58F73055">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w:t>
                  </w:r>
                  <w:r>
                    <w:rPr>
                      <w:rFonts w:hint="eastAsia"/>
                      <w:color w:val="000000" w:themeColor="text1"/>
                      <w:sz w:val="21"/>
                      <w:szCs w:val="21"/>
                      <w:highlight w:val="none"/>
                      <w:lang w:eastAsia="zh-CN"/>
                      <w14:textFill>
                        <w14:solidFill>
                          <w14:schemeClr w14:val="tx1"/>
                        </w14:solidFill>
                      </w14:textFill>
                    </w:rPr>
                    <w:t>鱼类洄游</w:t>
                  </w:r>
                  <w:r>
                    <w:rPr>
                      <w:rFonts w:hint="eastAsia"/>
                      <w:color w:val="000000" w:themeColor="text1"/>
                      <w:sz w:val="21"/>
                      <w:szCs w:val="21"/>
                      <w:highlight w:val="none"/>
                      <w14:textFill>
                        <w14:solidFill>
                          <w14:schemeClr w14:val="tx1"/>
                        </w14:solidFill>
                      </w14:textFill>
                    </w:rPr>
                    <w:t>通道。</w:t>
                  </w:r>
                </w:p>
              </w:tc>
              <w:tc>
                <w:tcPr>
                  <w:tcW w:w="1972" w:type="dxa"/>
                  <w:vAlign w:val="center"/>
                </w:tcPr>
                <w:p w14:paraId="791E386A">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color w:val="000000" w:themeColor="text1"/>
                      <w:sz w:val="21"/>
                      <w:szCs w:val="21"/>
                      <w:highlight w:val="none"/>
                      <w14:textFill>
                        <w14:solidFill>
                          <w14:schemeClr w14:val="tx1"/>
                        </w14:solidFill>
                      </w14:textFill>
                    </w:rPr>
                    <w:t>不在国家湿地公园的岸线和河段范围内</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且</w:t>
                  </w:r>
                  <w:r>
                    <w:rPr>
                      <w:rFonts w:hint="eastAsia"/>
                      <w:color w:val="000000" w:themeColor="text1"/>
                      <w:sz w:val="21"/>
                      <w:szCs w:val="21"/>
                      <w:highlight w:val="none"/>
                      <w14:textFill>
                        <w14:solidFill>
                          <w14:schemeClr w14:val="tx1"/>
                        </w14:solidFill>
                      </w14:textFill>
                    </w:rPr>
                    <w:t>不属于</w:t>
                  </w:r>
                  <w:r>
                    <w:rPr>
                      <w:color w:val="000000" w:themeColor="text1"/>
                      <w:sz w:val="21"/>
                      <w:szCs w:val="21"/>
                      <w:highlight w:val="none"/>
                      <w14:textFill>
                        <w14:solidFill>
                          <w14:schemeClr w14:val="tx1"/>
                        </w14:solidFill>
                      </w14:textFill>
                    </w:rPr>
                    <w:t>文件禁止</w:t>
                  </w:r>
                  <w:r>
                    <w:rPr>
                      <w:rFonts w:hint="eastAsia"/>
                      <w:color w:val="000000" w:themeColor="text1"/>
                      <w:sz w:val="21"/>
                      <w:szCs w:val="21"/>
                      <w:highlight w:val="none"/>
                      <w14:textFill>
                        <w14:solidFill>
                          <w14:schemeClr w14:val="tx1"/>
                        </w14:solidFill>
                      </w14:textFill>
                    </w:rPr>
                    <w:t>类</w:t>
                  </w:r>
                  <w:r>
                    <w:rPr>
                      <w:color w:val="000000" w:themeColor="text1"/>
                      <w:sz w:val="21"/>
                      <w:szCs w:val="21"/>
                      <w:highlight w:val="none"/>
                      <w14:textFill>
                        <w14:solidFill>
                          <w14:schemeClr w14:val="tx1"/>
                        </w14:solidFill>
                      </w14:textFill>
                    </w:rPr>
                    <w:t>项目。</w:t>
                  </w:r>
                </w:p>
              </w:tc>
              <w:tc>
                <w:tcPr>
                  <w:tcW w:w="927" w:type="dxa"/>
                  <w:vAlign w:val="center"/>
                </w:tcPr>
                <w:p w14:paraId="37E55005">
                  <w:pPr>
                    <w:pStyle w:val="45"/>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2C187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28D1C12E">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972" w:type="dxa"/>
                  <w:vAlign w:val="center"/>
                </w:tcPr>
                <w:p w14:paraId="70445298">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本项目不在</w:t>
                  </w:r>
                  <w:r>
                    <w:rPr>
                      <w:rFonts w:hint="eastAsia"/>
                      <w:color w:val="000000" w:themeColor="text1"/>
                      <w:sz w:val="21"/>
                      <w:szCs w:val="21"/>
                      <w:highlight w:val="none"/>
                      <w14:textFill>
                        <w14:solidFill>
                          <w14:schemeClr w14:val="tx1"/>
                        </w14:solidFill>
                      </w14:textFill>
                    </w:rPr>
                    <w:t>《长江岸线保护和开发利用总体规划》划定的岸线保护区和岸线保留区内。</w:t>
                  </w:r>
                </w:p>
              </w:tc>
              <w:tc>
                <w:tcPr>
                  <w:tcW w:w="927" w:type="dxa"/>
                  <w:vAlign w:val="center"/>
                </w:tcPr>
                <w:p w14:paraId="3D1F67A0">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4A35A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1ACA9EED">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第十五条  禁止在《全国重要江河湖泊水功能区划》划定的河段及湖泊保护区、保留区内投资建设不利于水资源及自然生态保护的项目。</w:t>
                  </w:r>
                </w:p>
              </w:tc>
              <w:tc>
                <w:tcPr>
                  <w:tcW w:w="1972" w:type="dxa"/>
                  <w:vAlign w:val="center"/>
                </w:tcPr>
                <w:p w14:paraId="69BF137F">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09E20764">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AC22C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0DB49FEE">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第十六条  禁止在长江流域江河、湖泊新设、改设或者扩大排污口，经有管辖权的生态环境主管部门或者长江流域生态环境监督管理机构同意的除外。</w:t>
                  </w:r>
                </w:p>
              </w:tc>
              <w:tc>
                <w:tcPr>
                  <w:tcW w:w="1972" w:type="dxa"/>
                  <w:vAlign w:val="center"/>
                </w:tcPr>
                <w:p w14:paraId="37A626A3">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75A364BD">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1D58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1DDF02FC">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第十七条  禁止在长江干流、大渡河、氓江、赤水河、沱江、嘉陵江、乌江、汉江和51个（四川省45个、重庆市6个）水生生物保护区开展生产性捕捞。</w:t>
                  </w:r>
                </w:p>
              </w:tc>
              <w:tc>
                <w:tcPr>
                  <w:tcW w:w="1972" w:type="dxa"/>
                  <w:vAlign w:val="center"/>
                </w:tcPr>
                <w:p w14:paraId="0873DCC1">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380C6DFD">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0FA16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5EFBA9C7">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第十八条  禁止在长江干支流、重要湖泊岸线一公里范围内新建、扩建化工园区和化工项目。</w:t>
                  </w:r>
                </w:p>
              </w:tc>
              <w:tc>
                <w:tcPr>
                  <w:tcW w:w="1972" w:type="dxa"/>
                  <w:vAlign w:val="center"/>
                </w:tcPr>
                <w:p w14:paraId="63310A3F">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0E93D1D6">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84E55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7B5BE451">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第十九条  禁止在长江干流岸线三公里范围内和重要支流岸线一公里范围内新建、改建、扩建尾矿库、冶炼渣库、磷石膏</w:t>
                  </w:r>
                  <w:r>
                    <w:rPr>
                      <w:color w:val="000000" w:themeColor="text1"/>
                      <w:sz w:val="21"/>
                      <w:szCs w:val="21"/>
                      <w:highlight w:val="none"/>
                      <w14:textFill>
                        <w14:solidFill>
                          <w14:schemeClr w14:val="tx1"/>
                        </w14:solidFill>
                      </w14:textFill>
                    </w:rPr>
                    <w:t>库，以提升安全、生态环境保护水平为目的改建除外。</w:t>
                  </w:r>
                </w:p>
              </w:tc>
              <w:tc>
                <w:tcPr>
                  <w:tcW w:w="1972" w:type="dxa"/>
                  <w:vAlign w:val="center"/>
                </w:tcPr>
                <w:p w14:paraId="4B0969AD">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2407D358">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3EC40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62070329">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第二十条  禁止在生态保护红线区域、永久基本农田集中区域和其他需要特别保护的区域内选址建设尾矿库、冶炼渣库磷石膏库。</w:t>
                  </w:r>
                </w:p>
              </w:tc>
              <w:tc>
                <w:tcPr>
                  <w:tcW w:w="1972" w:type="dxa"/>
                  <w:vAlign w:val="center"/>
                </w:tcPr>
                <w:p w14:paraId="7A83BFED">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10175B04">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1F451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26E7E779">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第二十一条  禁止在合规园区外新建、扩建钢铁、石化化工、焦化、建材、有色、制浆造纸等高污染项目。</w:t>
                  </w:r>
                </w:p>
              </w:tc>
              <w:tc>
                <w:tcPr>
                  <w:tcW w:w="1972" w:type="dxa"/>
                  <w:vAlign w:val="center"/>
                </w:tcPr>
                <w:p w14:paraId="79272948">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78243F1A">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26FFE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0ACEA965">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第二十二条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禁止新建、扩建不符合国家石化、现代煤化工等产业布局规划的项目。</w:t>
                  </w:r>
                </w:p>
                <w:p w14:paraId="067E7CBF">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（一）严格控制新增炼油产能，未列入《石化产业规划布局方案（修订版）》的新增炼油产能</w:t>
                  </w:r>
                  <w:r>
                    <w:rPr>
                      <w:rFonts w:hint="eastAsia"/>
                      <w:color w:val="000000" w:themeColor="text1"/>
                      <w:sz w:val="21"/>
                      <w:szCs w:val="21"/>
                      <w:highlight w:val="none"/>
                      <w:lang w:eastAsia="zh-CN"/>
                      <w14:textFill>
                        <w14:solidFill>
                          <w14:schemeClr w14:val="tx1"/>
                        </w14:solidFill>
                      </w14:textFill>
                    </w:rPr>
                    <w:t>一律</w:t>
                  </w:r>
                  <w:r>
                    <w:rPr>
                      <w:rFonts w:hint="eastAsia"/>
                      <w:color w:val="000000" w:themeColor="text1"/>
                      <w:sz w:val="21"/>
                      <w:szCs w:val="21"/>
                      <w:highlight w:val="none"/>
                      <w14:textFill>
                        <w14:solidFill>
                          <w14:schemeClr w14:val="tx1"/>
                        </w14:solidFill>
                      </w14:textFill>
                    </w:rPr>
                    <w:t>不得建设。</w:t>
                  </w:r>
                </w:p>
                <w:p w14:paraId="17511D7B">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（二）新建煤制烯烃、煤制芳烃项目必须列入《现代煤化工产业创新发展布局方案》，必须符合《现代煤化工建设项目环境准入条件（试行）》要求。</w:t>
                  </w:r>
                </w:p>
              </w:tc>
              <w:tc>
                <w:tcPr>
                  <w:tcW w:w="1972" w:type="dxa"/>
                  <w:vAlign w:val="center"/>
                </w:tcPr>
                <w:p w14:paraId="5A9EC6A5">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04943717">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BD8F7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6D004909">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第二十三条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r>
                    <w:rPr>
                      <w:color w:val="000000" w:themeColor="text1"/>
                      <w:sz w:val="21"/>
                      <w:szCs w:val="21"/>
                      <w:highlight w:val="none"/>
                      <w14:textFill>
                        <w14:solidFill>
                          <w14:schemeClr w14:val="tx1"/>
                        </w14:solidFill>
                      </w14:textFill>
                    </w:rPr>
                    <w:t>。</w:t>
                  </w:r>
                </w:p>
              </w:tc>
              <w:tc>
                <w:tcPr>
                  <w:tcW w:w="1972" w:type="dxa"/>
                  <w:vAlign w:val="center"/>
                </w:tcPr>
                <w:p w14:paraId="548E50F7">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w:t>
                  </w:r>
                  <w:r>
                    <w:rPr>
                      <w:rFonts w:hint="eastAsia"/>
                      <w:color w:val="000000" w:themeColor="text1"/>
                      <w:sz w:val="21"/>
                      <w:szCs w:val="21"/>
                      <w:highlight w:val="none"/>
                      <w14:textFill>
                        <w14:solidFill>
                          <w14:schemeClr w14:val="tx1"/>
                        </w14:solidFill>
                      </w14:textFill>
                    </w:rPr>
                    <w:t>不属于禁止</w:t>
                  </w:r>
                  <w:r>
                    <w:rPr>
                      <w:color w:val="000000" w:themeColor="text1"/>
                      <w:sz w:val="21"/>
                      <w:szCs w:val="21"/>
                      <w:highlight w:val="none"/>
                      <w14:textFill>
                        <w14:solidFill>
                          <w14:schemeClr w14:val="tx1"/>
                        </w14:solidFill>
                      </w14:textFill>
                    </w:rPr>
                    <w:t>类</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淘汰类</w:t>
                  </w:r>
                  <w:r>
                    <w:rPr>
                      <w:rFonts w:hint="eastAsia"/>
                      <w:color w:val="000000" w:themeColor="text1"/>
                      <w:sz w:val="21"/>
                      <w:szCs w:val="21"/>
                      <w:highlight w:val="none"/>
                      <w14:textFill>
                        <w14:solidFill>
                          <w14:schemeClr w14:val="tx1"/>
                        </w14:solidFill>
                      </w14:textFill>
                    </w:rPr>
                    <w:t>和限制</w:t>
                  </w:r>
                  <w:r>
                    <w:rPr>
                      <w:color w:val="000000" w:themeColor="text1"/>
                      <w:sz w:val="21"/>
                      <w:szCs w:val="21"/>
                      <w:highlight w:val="none"/>
                      <w14:textFill>
                        <w14:solidFill>
                          <w14:schemeClr w14:val="tx1"/>
                        </w14:solidFill>
                      </w14:textFill>
                    </w:rPr>
                    <w:t>类项目。</w:t>
                  </w:r>
                </w:p>
              </w:tc>
              <w:tc>
                <w:tcPr>
                  <w:tcW w:w="927" w:type="dxa"/>
                  <w:vAlign w:val="center"/>
                </w:tcPr>
                <w:p w14:paraId="12BA9F0A">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493C78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444930C5">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第二十四条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禁止新建、扩建不符合国家产能置换要求的严重过剩产能行业的项目，对于不符合国家产能置换要求的严重过剩产能行业，不得以其他任何名义、任何方式备案新增产能项目。</w:t>
                  </w:r>
                </w:p>
              </w:tc>
              <w:tc>
                <w:tcPr>
                  <w:tcW w:w="1972" w:type="dxa"/>
                  <w:vAlign w:val="center"/>
                </w:tcPr>
                <w:p w14:paraId="23DE9723">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项目不属于严重过剩产能项目。</w:t>
                  </w:r>
                </w:p>
              </w:tc>
              <w:tc>
                <w:tcPr>
                  <w:tcW w:w="927" w:type="dxa"/>
                  <w:vAlign w:val="center"/>
                </w:tcPr>
                <w:p w14:paraId="4BDD2C2F">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54E4BA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5" w:type="dxa"/>
                  <w:vAlign w:val="center"/>
                </w:tcPr>
                <w:p w14:paraId="41B05554">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第二十五条  禁止建设以下燃油汽车投资项目（不在中国境内销售产品的投资项目除外）：</w:t>
                  </w:r>
                </w:p>
                <w:p w14:paraId="760E00D8">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（一）新建独立燃油汽车企业；</w:t>
                  </w:r>
                </w:p>
                <w:p w14:paraId="7E66B6BD">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（二）现有汽车企业跨乘用车、商用车类别建设燃油汽车生产能力；</w:t>
                  </w:r>
                </w:p>
                <w:p w14:paraId="2097E551">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（三）外省现有燃油汽车企业整体搬迁至本省（列入国家级区域发展规划或不改变企业股权结构的项目除外）；</w:t>
                  </w:r>
                </w:p>
                <w:p w14:paraId="689495E3">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（四）对行业管理部门特别公示的燃油汽车企业进行投资（企业原有股东投资或将该企业转为非独立法人的投资项目除外）。</w:t>
                  </w:r>
                </w:p>
              </w:tc>
              <w:tc>
                <w:tcPr>
                  <w:tcW w:w="1972" w:type="dxa"/>
                  <w:vAlign w:val="center"/>
                </w:tcPr>
                <w:p w14:paraId="3013648A">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w:t>
                  </w:r>
                  <w:r>
                    <w:rPr>
                      <w:color w:val="000000" w:themeColor="text1"/>
                      <w:sz w:val="21"/>
                      <w:szCs w:val="21"/>
                      <w:highlight w:val="none"/>
                      <w14:textFill>
                        <w14:solidFill>
                          <w14:schemeClr w14:val="tx1"/>
                        </w14:solidFill>
                      </w14:textFill>
                    </w:rPr>
                    <w:t>项目不涉及。</w:t>
                  </w:r>
                </w:p>
              </w:tc>
              <w:tc>
                <w:tcPr>
                  <w:tcW w:w="927" w:type="dxa"/>
                  <w:vAlign w:val="center"/>
                </w:tcPr>
                <w:p w14:paraId="542A5BD6">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F6775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5625" w:type="dxa"/>
                  <w:vAlign w:val="center"/>
                </w:tcPr>
                <w:p w14:paraId="18121A13">
                  <w:pPr>
                    <w:pStyle w:val="45"/>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第二十六条  禁止</w:t>
                  </w:r>
                  <w:r>
                    <w:rPr>
                      <w:color w:val="000000" w:themeColor="text1"/>
                      <w:sz w:val="21"/>
                      <w:szCs w:val="21"/>
                      <w:highlight w:val="none"/>
                      <w14:textFill>
                        <w14:solidFill>
                          <w14:schemeClr w14:val="tx1"/>
                        </w14:solidFill>
                      </w14:textFill>
                    </w:rPr>
                    <w:t>新建、扩建不符合要求的高耗能</w:t>
                  </w:r>
                  <w:r>
                    <w:rPr>
                      <w:rFonts w:hint="eastAsia"/>
                      <w:color w:val="000000" w:themeColor="text1"/>
                      <w:sz w:val="21"/>
                      <w:szCs w:val="21"/>
                      <w:highlight w:val="none"/>
                      <w14:textFill>
                        <w14:solidFill>
                          <w14:schemeClr w14:val="tx1"/>
                        </w14:solidFill>
                      </w14:textFill>
                    </w:rPr>
                    <w:t>、高</w:t>
                  </w:r>
                  <w:r>
                    <w:rPr>
                      <w:color w:val="000000" w:themeColor="text1"/>
                      <w:sz w:val="21"/>
                      <w:szCs w:val="21"/>
                      <w:highlight w:val="none"/>
                      <w14:textFill>
                        <w14:solidFill>
                          <w14:schemeClr w14:val="tx1"/>
                        </w14:solidFill>
                      </w14:textFill>
                    </w:rPr>
                    <w:t>排放、低水平项目</w:t>
                  </w:r>
                  <w:r>
                    <w:rPr>
                      <w:rFonts w:hint="eastAsia"/>
                      <w:color w:val="000000" w:themeColor="text1"/>
                      <w:sz w:val="21"/>
                      <w:szCs w:val="21"/>
                      <w:highlight w:val="none"/>
                      <w14:textFill>
                        <w14:solidFill>
                          <w14:schemeClr w14:val="tx1"/>
                        </w14:solidFill>
                      </w14:textFill>
                    </w:rPr>
                    <w:t>。</w:t>
                  </w:r>
                </w:p>
              </w:tc>
              <w:tc>
                <w:tcPr>
                  <w:tcW w:w="1972" w:type="dxa"/>
                  <w:vAlign w:val="center"/>
                </w:tcPr>
                <w:p w14:paraId="62347213">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项目不属于高耗能</w:t>
                  </w:r>
                  <w:r>
                    <w:rPr>
                      <w:rFonts w:hint="eastAsia"/>
                      <w:color w:val="000000" w:themeColor="text1"/>
                      <w:sz w:val="21"/>
                      <w:szCs w:val="21"/>
                      <w:highlight w:val="none"/>
                      <w14:textFill>
                        <w14:solidFill>
                          <w14:schemeClr w14:val="tx1"/>
                        </w14:solidFill>
                      </w14:textFill>
                    </w:rPr>
                    <w:t>、高</w:t>
                  </w:r>
                  <w:r>
                    <w:rPr>
                      <w:color w:val="000000" w:themeColor="text1"/>
                      <w:sz w:val="21"/>
                      <w:szCs w:val="21"/>
                      <w:highlight w:val="none"/>
                      <w14:textFill>
                        <w14:solidFill>
                          <w14:schemeClr w14:val="tx1"/>
                        </w14:solidFill>
                      </w14:textFill>
                    </w:rPr>
                    <w:t>排放、低水平项目。</w:t>
                  </w:r>
                </w:p>
              </w:tc>
              <w:tc>
                <w:tcPr>
                  <w:tcW w:w="927" w:type="dxa"/>
                  <w:vAlign w:val="center"/>
                </w:tcPr>
                <w:p w14:paraId="10A62C8D">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0CEAE3B1">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综上所述，本项目符合</w:t>
            </w:r>
            <w:r>
              <w:rPr>
                <w:rFonts w:hint="eastAsia"/>
                <w:color w:val="000000" w:themeColor="text1"/>
                <w:kern w:val="0"/>
                <w:szCs w:val="21"/>
                <w:highlight w:val="none"/>
                <w14:textFill>
                  <w14:solidFill>
                    <w14:schemeClr w14:val="tx1"/>
                  </w14:solidFill>
                </w14:textFill>
              </w:rPr>
              <w:t>《四川省、重庆市长江经济带发展负面清单实施细则（试行，2022年版）》（川长办发〔2022〕17号）</w:t>
            </w:r>
            <w:r>
              <w:rPr>
                <w:color w:val="000000" w:themeColor="text1"/>
                <w:kern w:val="0"/>
                <w:szCs w:val="21"/>
                <w:highlight w:val="none"/>
                <w14:textFill>
                  <w14:solidFill>
                    <w14:schemeClr w14:val="tx1"/>
                  </w14:solidFill>
                </w14:textFill>
              </w:rPr>
              <w:t>。</w:t>
            </w:r>
          </w:p>
          <w:p w14:paraId="024052AC">
            <w:pPr>
              <w:ind w:left="0" w:leftChars="0" w:firstLine="0" w:firstLineChars="0"/>
              <w:rPr>
                <w:rFonts w:hint="eastAsia"/>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1.3.4</w:t>
            </w:r>
            <w:r>
              <w:rPr>
                <w:rFonts w:hint="eastAsia"/>
                <w:b/>
                <w:bCs/>
                <w:color w:val="000000" w:themeColor="text1"/>
                <w:kern w:val="0"/>
                <w:szCs w:val="21"/>
                <w:highlight w:val="none"/>
                <w14:textFill>
                  <w14:solidFill>
                    <w14:schemeClr w14:val="tx1"/>
                  </w14:solidFill>
                </w14:textFill>
              </w:rPr>
              <w:t>与《中华人民共和国长江保护法》的符合性分析</w:t>
            </w:r>
          </w:p>
          <w:p w14:paraId="68637515">
            <w:pPr>
              <w:pStyle w:val="44"/>
              <w:keepNext w:val="0"/>
              <w:keepLines w:val="0"/>
              <w:pageBreakBefore w:val="0"/>
              <w:widowControl w:val="0"/>
              <w:kinsoku/>
              <w:wordWrap/>
              <w:overflowPunct/>
              <w:topLinePunct w:val="0"/>
              <w:autoSpaceDE/>
              <w:autoSpaceDN/>
              <w:bidi w:val="0"/>
              <w:adjustRightInd/>
              <w:snapToGrid/>
              <w:spacing w:before="0" w:beforeLines="0"/>
              <w:ind w:firstLine="482"/>
              <w:textAlignment w:val="auto"/>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表</w:t>
            </w:r>
            <w:r>
              <w:rPr>
                <w:rFonts w:hint="eastAsia"/>
                <w:snapToGrid w:val="0"/>
                <w:color w:val="000000" w:themeColor="text1"/>
                <w:highlight w:val="none"/>
                <w:lang w:val="en-US" w:eastAsia="zh-CN"/>
                <w14:textFill>
                  <w14:solidFill>
                    <w14:schemeClr w14:val="tx1"/>
                  </w14:solidFill>
                </w14:textFill>
              </w:rPr>
              <w:t>1.3-4</w:t>
            </w:r>
            <w:r>
              <w:rPr>
                <w:snapToGrid w:val="0"/>
                <w:color w:val="000000" w:themeColor="text1"/>
                <w:highlight w:val="none"/>
                <w14:textFill>
                  <w14:solidFill>
                    <w14:schemeClr w14:val="tx1"/>
                  </w14:solidFill>
                </w14:textFill>
              </w:rPr>
              <w:t xml:space="preserve"> 与《中华人民共和国长江保护法》的符合性分析</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64"/>
              <w:gridCol w:w="2507"/>
              <w:gridCol w:w="1231"/>
            </w:tblGrid>
            <w:tr w14:paraId="44D781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01" w:type="pct"/>
                  <w:vAlign w:val="center"/>
                </w:tcPr>
                <w:p w14:paraId="7596736D">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水污染防治</w:t>
                  </w:r>
                </w:p>
              </w:tc>
              <w:tc>
                <w:tcPr>
                  <w:tcW w:w="1474" w:type="pct"/>
                  <w:vAlign w:val="center"/>
                </w:tcPr>
                <w:p w14:paraId="0069D160">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w:t>
                  </w:r>
                </w:p>
              </w:tc>
              <w:tc>
                <w:tcPr>
                  <w:tcW w:w="724" w:type="pct"/>
                  <w:vAlign w:val="center"/>
                </w:tcPr>
                <w:p w14:paraId="390E6554">
                  <w:pPr>
                    <w:pStyle w:val="45"/>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符合性</w:t>
                  </w:r>
                </w:p>
              </w:tc>
            </w:tr>
            <w:tr w14:paraId="3B3BCE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14" w:hRule="atLeast"/>
              </w:trPr>
              <w:tc>
                <w:tcPr>
                  <w:tcW w:w="2801" w:type="pct"/>
                  <w:vAlign w:val="center"/>
                </w:tcPr>
                <w:p w14:paraId="70A4C262">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第四十六条磷矿开采加工、磷肥和含磷农药制造等企业，应当按照排污许可要求，采取有效措施控制总磷排放浓度和排放总量；对排污口和周边环境进行总磷监测，依法公开监测信息。</w:t>
                  </w:r>
                </w:p>
              </w:tc>
              <w:tc>
                <w:tcPr>
                  <w:tcW w:w="1474" w:type="pct"/>
                  <w:vAlign w:val="center"/>
                </w:tcPr>
                <w:p w14:paraId="1521C18E">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本项目不属于磷矿开采加工、磷肥和含磷农药制造等企业项目，项目</w:t>
                  </w:r>
                  <w:r>
                    <w:rPr>
                      <w:rFonts w:hint="eastAsia"/>
                      <w:color w:val="000000" w:themeColor="text1"/>
                      <w:sz w:val="21"/>
                      <w:szCs w:val="21"/>
                      <w:highlight w:val="none"/>
                      <w14:textFill>
                        <w14:solidFill>
                          <w14:schemeClr w14:val="tx1"/>
                        </w14:solidFill>
                      </w14:textFill>
                    </w:rPr>
                    <w:t>污废水</w:t>
                  </w:r>
                  <w:r>
                    <w:rPr>
                      <w:color w:val="000000" w:themeColor="text1"/>
                      <w:sz w:val="21"/>
                      <w:szCs w:val="21"/>
                      <w:highlight w:val="none"/>
                      <w14:textFill>
                        <w14:solidFill>
                          <w14:schemeClr w14:val="tx1"/>
                        </w14:solidFill>
                      </w14:textFill>
                    </w:rPr>
                    <w:t>经处理</w:t>
                  </w:r>
                  <w:r>
                    <w:rPr>
                      <w:rFonts w:hint="eastAsia"/>
                      <w:color w:val="000000" w:themeColor="text1"/>
                      <w:sz w:val="21"/>
                      <w:szCs w:val="21"/>
                      <w:highlight w:val="none"/>
                      <w14:textFill>
                        <w14:solidFill>
                          <w14:schemeClr w14:val="tx1"/>
                        </w14:solidFill>
                      </w14:textFill>
                    </w:rPr>
                    <w:t>后</w:t>
                  </w:r>
                  <w:r>
                    <w:rPr>
                      <w:color w:val="000000" w:themeColor="text1"/>
                      <w:sz w:val="21"/>
                      <w:szCs w:val="21"/>
                      <w:highlight w:val="none"/>
                      <w14:textFill>
                        <w14:solidFill>
                          <w14:schemeClr w14:val="tx1"/>
                        </w14:solidFill>
                      </w14:textFill>
                    </w:rPr>
                    <w:t>能达标排放。</w:t>
                  </w:r>
                </w:p>
              </w:tc>
              <w:tc>
                <w:tcPr>
                  <w:tcW w:w="724" w:type="pct"/>
                  <w:vAlign w:val="center"/>
                </w:tcPr>
                <w:p w14:paraId="4E30851F">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14B19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01" w:type="pct"/>
                  <w:vAlign w:val="center"/>
                </w:tcPr>
                <w:p w14:paraId="19636BDA">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十七条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1474" w:type="pct"/>
                  <w:vAlign w:val="center"/>
                </w:tcPr>
                <w:p w14:paraId="07A8DF1D">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污废水</w:t>
                  </w:r>
                  <w:r>
                    <w:rPr>
                      <w:color w:val="000000" w:themeColor="text1"/>
                      <w:sz w:val="21"/>
                      <w:szCs w:val="21"/>
                      <w:highlight w:val="none"/>
                      <w14:textFill>
                        <w14:solidFill>
                          <w14:schemeClr w14:val="tx1"/>
                        </w14:solidFill>
                      </w14:textFill>
                    </w:rPr>
                    <w:t>经过</w:t>
                  </w:r>
                  <w:r>
                    <w:rPr>
                      <w:rFonts w:hint="eastAsia"/>
                      <w:color w:val="000000" w:themeColor="text1"/>
                      <w:sz w:val="21"/>
                      <w:szCs w:val="21"/>
                      <w:highlight w:val="none"/>
                      <w14:textFill>
                        <w14:solidFill>
                          <w14:schemeClr w14:val="tx1"/>
                        </w14:solidFill>
                      </w14:textFill>
                    </w:rPr>
                    <w:t>污水处理站</w:t>
                  </w:r>
                  <w:r>
                    <w:rPr>
                      <w:color w:val="000000" w:themeColor="text1"/>
                      <w:sz w:val="21"/>
                      <w:szCs w:val="21"/>
                      <w:highlight w:val="none"/>
                      <w14:textFill>
                        <w14:solidFill>
                          <w14:schemeClr w14:val="tx1"/>
                        </w14:solidFill>
                      </w14:textFill>
                    </w:rPr>
                    <w:t>处理后排入</w:t>
                  </w:r>
                  <w:r>
                    <w:rPr>
                      <w:rFonts w:hint="eastAsia"/>
                      <w:color w:val="000000" w:themeColor="text1"/>
                      <w:sz w:val="21"/>
                      <w:szCs w:val="21"/>
                      <w:highlight w:val="none"/>
                      <w14:textFill>
                        <w14:solidFill>
                          <w14:schemeClr w14:val="tx1"/>
                        </w14:solidFill>
                      </w14:textFill>
                    </w:rPr>
                    <w:t>园区</w:t>
                  </w:r>
                  <w:r>
                    <w:rPr>
                      <w:color w:val="000000" w:themeColor="text1"/>
                      <w:sz w:val="21"/>
                      <w:szCs w:val="21"/>
                      <w:highlight w:val="none"/>
                      <w14:textFill>
                        <w14:solidFill>
                          <w14:schemeClr w14:val="tx1"/>
                        </w14:solidFill>
                      </w14:textFill>
                    </w:rPr>
                    <w:t>污水处理厂。</w:t>
                  </w:r>
                </w:p>
              </w:tc>
              <w:tc>
                <w:tcPr>
                  <w:tcW w:w="724" w:type="pct"/>
                  <w:vAlign w:val="center"/>
                </w:tcPr>
                <w:p w14:paraId="7CFF35D8">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5E3469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01" w:type="pct"/>
                  <w:vAlign w:val="center"/>
                </w:tcPr>
                <w:p w14:paraId="7316E238">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第四十九条禁止在长江流域河湖管理范围内倾倒、填埋、堆放、弃置、处理固体废物。长江流域县级以上地方人民政府应当加强对固体废物非法转移和倾倒的联防联控。</w:t>
                  </w:r>
                </w:p>
              </w:tc>
              <w:tc>
                <w:tcPr>
                  <w:tcW w:w="1474" w:type="pct"/>
                  <w:vAlign w:val="center"/>
                </w:tcPr>
                <w:p w14:paraId="3216A6DB">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本项目产生的固体废物分类收集，一般固体废物交回收单位处置。</w:t>
                  </w:r>
                </w:p>
              </w:tc>
              <w:tc>
                <w:tcPr>
                  <w:tcW w:w="724" w:type="pct"/>
                  <w:vAlign w:val="center"/>
                </w:tcPr>
                <w:p w14:paraId="3BC3449A">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4C1960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47" w:hRule="atLeast"/>
              </w:trPr>
              <w:tc>
                <w:tcPr>
                  <w:tcW w:w="2801" w:type="pct"/>
                  <w:vAlign w:val="center"/>
                </w:tcPr>
                <w:p w14:paraId="400E3D0A">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五十一条禁止在长江流域水上运输剧毒化学品和国家规定禁止通过内河运输的其他危险化学品。长江流域县级以上地方人民政府交通运输主管部门会同本级人民政府有关部门加强对长江流域危险化学品运输的管控。</w:t>
                  </w:r>
                </w:p>
              </w:tc>
              <w:tc>
                <w:tcPr>
                  <w:tcW w:w="1474" w:type="pct"/>
                  <w:vAlign w:val="center"/>
                </w:tcPr>
                <w:p w14:paraId="55AA52E3">
                  <w:pPr>
                    <w:pStyle w:val="45"/>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本项目不涉及化学品的水上运输。</w:t>
                  </w:r>
                </w:p>
              </w:tc>
              <w:tc>
                <w:tcPr>
                  <w:tcW w:w="724" w:type="pct"/>
                  <w:vAlign w:val="center"/>
                </w:tcPr>
                <w:p w14:paraId="34C58F43">
                  <w:pPr>
                    <w:pStyle w:val="45"/>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36DD5BC7">
            <w:pPr>
              <w:pStyle w:val="59"/>
              <w:keepNext w:val="0"/>
              <w:keepLines w:val="0"/>
              <w:pageBreakBefore w:val="0"/>
              <w:widowControl w:val="0"/>
              <w:kinsoku/>
              <w:wordWrap/>
              <w:overflowPunct/>
              <w:topLinePunct w:val="0"/>
              <w:autoSpaceDE/>
              <w:autoSpaceDN/>
              <w:bidi w:val="0"/>
              <w:textAlignment w:val="auto"/>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综上所述，本项目符合《中华人民共和国长江保护法》要求。</w:t>
            </w:r>
          </w:p>
          <w:p w14:paraId="3954ED3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000000" w:themeColor="text1"/>
                <w:kern w:val="0"/>
                <w:sz w:val="24"/>
                <w:highlight w:val="none"/>
                <w:u w:val="none" w:color="auto"/>
                <w14:textFill>
                  <w14:solidFill>
                    <w14:schemeClr w14:val="tx1"/>
                  </w14:solidFill>
                </w14:textFill>
              </w:rPr>
            </w:pPr>
            <w:r>
              <w:rPr>
                <w:rFonts w:hint="eastAsia" w:cs="Times New Roman"/>
                <w:b/>
                <w:bCs/>
                <w:color w:val="000000" w:themeColor="text1"/>
                <w:kern w:val="0"/>
                <w:sz w:val="24"/>
                <w:highlight w:val="none"/>
                <w:u w:val="none" w:color="auto"/>
                <w:lang w:val="en-US" w:eastAsia="zh-CN"/>
                <w14:textFill>
                  <w14:solidFill>
                    <w14:schemeClr w14:val="tx1"/>
                  </w14:solidFill>
                </w14:textFill>
              </w:rPr>
              <w:t>1.3.5</w:t>
            </w:r>
            <w:r>
              <w:rPr>
                <w:rFonts w:hint="default" w:ascii="Times New Roman" w:hAnsi="Times New Roman" w:eastAsia="宋体" w:cs="Times New Roman"/>
                <w:b/>
                <w:bCs/>
                <w:color w:val="000000" w:themeColor="text1"/>
                <w:kern w:val="0"/>
                <w:sz w:val="24"/>
                <w:highlight w:val="none"/>
                <w:u w:val="none" w:color="auto"/>
                <w14:textFill>
                  <w14:solidFill>
                    <w14:schemeClr w14:val="tx1"/>
                  </w14:solidFill>
                </w14:textFill>
              </w:rPr>
              <w:t>与《重庆市大气环境保护</w:t>
            </w:r>
            <w:r>
              <w:rPr>
                <w:rFonts w:hint="eastAsia" w:ascii="Times New Roman" w:hAnsi="Times New Roman" w:eastAsia="宋体" w:cs="Times New Roman"/>
                <w:b/>
                <w:bCs/>
                <w:color w:val="000000" w:themeColor="text1"/>
                <w:kern w:val="0"/>
                <w:sz w:val="24"/>
                <w:highlight w:val="none"/>
                <w:u w:val="none" w:color="auto"/>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highlight w:val="none"/>
                <w:u w:val="none" w:color="auto"/>
                <w14:textFill>
                  <w14:solidFill>
                    <w14:schemeClr w14:val="tx1"/>
                  </w14:solidFill>
                </w14:textFill>
              </w:rPr>
              <w:t>十四五</w:t>
            </w:r>
            <w:r>
              <w:rPr>
                <w:rFonts w:hint="eastAsia" w:ascii="Times New Roman" w:hAnsi="Times New Roman" w:eastAsia="宋体" w:cs="Times New Roman"/>
                <w:b/>
                <w:bCs/>
                <w:color w:val="000000" w:themeColor="text1"/>
                <w:kern w:val="0"/>
                <w:sz w:val="24"/>
                <w:highlight w:val="none"/>
                <w:u w:val="none" w:color="auto"/>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highlight w:val="none"/>
                <w:u w:val="none" w:color="auto"/>
                <w14:textFill>
                  <w14:solidFill>
                    <w14:schemeClr w14:val="tx1"/>
                  </w14:solidFill>
                </w14:textFill>
              </w:rPr>
              <w:t>规划（2021</w:t>
            </w:r>
            <w:r>
              <w:rPr>
                <w:rFonts w:hint="eastAsia" w:ascii="Times New Roman" w:hAnsi="Times New Roman" w:eastAsia="宋体" w:cs="Times New Roman"/>
                <w:b/>
                <w:bCs/>
                <w:color w:val="000000" w:themeColor="text1"/>
                <w:kern w:val="0"/>
                <w:sz w:val="24"/>
                <w:highlight w:val="none"/>
                <w:u w:val="none" w:color="auto"/>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highlight w:val="none"/>
                <w:u w:val="none" w:color="auto"/>
                <w14:textFill>
                  <w14:solidFill>
                    <w14:schemeClr w14:val="tx1"/>
                  </w14:solidFill>
                </w14:textFill>
              </w:rPr>
              <w:t>2025年）》（渝环〔2022〕43号）符合性分析</w:t>
            </w:r>
          </w:p>
          <w:p w14:paraId="0A8A4494">
            <w:pPr>
              <w:pStyle w:val="14"/>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《规划》提出，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十四五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期间，我市大气环境保护将按照深入打好污染防治攻坚战的总体要求，以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减污降碳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为总抓手，强化PM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、臭氧协同控制，以VOCs和氮氧化物减排为重点，加强PM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污染来源、VOCs和氮氧化物对夏秋季臭氧污染贡献规律研究和区域性空气质量预报及污染预警，严格落实</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五个精准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（问题、时间、区位、对象、措施精准），分区、分级、分类、分时，抓重点、补短板、强弱项，深化</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五大举措</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，有效改善城市及区域环境空气质量，服务双城经济圈高质量发展。</w:t>
            </w:r>
          </w:p>
          <w:p w14:paraId="40B183F3">
            <w:pPr>
              <w:pStyle w:val="14"/>
              <w:keepNext w:val="0"/>
              <w:keepLines w:val="0"/>
              <w:pageBreakBefore w:val="0"/>
              <w:widowControl w:val="0"/>
              <w:tabs>
                <w:tab w:val="left" w:pos="540"/>
                <w:tab w:val="left" w:pos="1080"/>
                <w:tab w:val="left" w:pos="1800"/>
                <w:tab w:val="clear" w:pos="2087"/>
              </w:tabs>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《规划》规定了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十四五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期间，重庆大气环境保护五大方面重点任务和措施。一是以挥发性有机物治理和工业炉窑综合整治为重点，深化工业污染控制；二是以柴油货车治理和纯电动车推广为重点，深化交通污染控制；三是以绿色示范创建和智能监管为重点，深化扬尘污染控制；四是以餐饮油烟综合整治和露天焚烧管控为重点，深化生活污染控制；五是以区域联防联控和科研管理支撑为重点，提高污染天气应对能力。</w:t>
            </w:r>
          </w:p>
          <w:p w14:paraId="67E57CD5">
            <w:pPr>
              <w:pStyle w:val="15"/>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lang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位</w:t>
            </w:r>
            <w:r>
              <w:rPr>
                <w:rFonts w:hint="default" w:ascii="Times New Roman" w:hAnsi="Times New Roman" w:eastAsia="宋体" w:cs="Times New Roman"/>
                <w:bCs/>
                <w:iCs/>
                <w:color w:val="000000" w:themeColor="text1"/>
                <w:sz w:val="24"/>
                <w:szCs w:val="24"/>
                <w:highlight w:val="none"/>
                <w:u w:val="none" w:color="auto"/>
                <w14:textFill>
                  <w14:solidFill>
                    <w14:schemeClr w14:val="tx1"/>
                  </w14:solidFill>
                </w14:textFill>
              </w:rPr>
              <w:t>于</w:t>
            </w:r>
            <w:r>
              <w:rPr>
                <w:rFonts w:hint="eastAsia"/>
                <w:color w:val="000000" w:themeColor="text1"/>
                <w:highlight w:val="none"/>
                <w14:textFill>
                  <w14:solidFill>
                    <w14:schemeClr w14:val="tx1"/>
                  </w14:solidFill>
                </w14:textFill>
              </w:rPr>
              <w:t>合川工业园区南溪组团</w:t>
            </w:r>
            <w:r>
              <w:rPr>
                <w:rFonts w:hint="eastAsia"/>
                <w:color w:val="000000" w:themeColor="text1"/>
                <w:highlight w:val="none"/>
                <w:lang w:val="en-US" w:eastAsia="zh-CN"/>
                <w14:textFill>
                  <w14:solidFill>
                    <w14:schemeClr w14:val="tx1"/>
                  </w14:solidFill>
                </w14:textFill>
              </w:rPr>
              <w:t>A区</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u w:val="none" w:color="auto"/>
                <w14:textFill>
                  <w14:solidFill>
                    <w14:schemeClr w14:val="tx1"/>
                  </w14:solidFill>
                </w14:textFill>
              </w:rPr>
              <w:t>属</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于</w:t>
            </w:r>
            <w:r>
              <w:rPr>
                <w:rFonts w:hint="eastAsia"/>
                <w:color w:val="000000" w:themeColor="text1"/>
                <w:szCs w:val="21"/>
                <w:highlight w:val="none"/>
                <w:lang w:val="en-US" w:eastAsia="zh-CN"/>
                <w14:textFill>
                  <w14:solidFill>
                    <w14:schemeClr w14:val="tx1"/>
                  </w14:solidFill>
                </w14:textFill>
              </w:rPr>
              <w:t>农副食品加工业</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不属于综合整治的重点。</w:t>
            </w:r>
            <w:r>
              <w:rPr>
                <w:rFonts w:hint="eastAsia" w:ascii="Times New Roman" w:hAnsi="Times New Roman" w:eastAsia="宋体" w:cs="Times New Roman"/>
                <w:color w:val="000000" w:themeColor="text1"/>
                <w:sz w:val="24"/>
                <w:highlight w:val="none"/>
                <w:u w:val="none" w:color="auto"/>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产生的废气通过收集</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治理</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后</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可实现达标排放。故本次环评认为项目符合《重庆市大气</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环境保护</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十四五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规划（2021</w:t>
            </w:r>
            <w:r>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2025年）》（渝环〔2022〕43号）</w:t>
            </w:r>
            <w:r>
              <w:rPr>
                <w:rFonts w:hint="eastAsia" w:ascii="Times New Roman" w:hAnsi="Times New Roman" w:eastAsia="宋体" w:cs="Times New Roman"/>
                <w:color w:val="000000" w:themeColor="text1"/>
                <w:sz w:val="24"/>
                <w:highlight w:val="none"/>
                <w:u w:val="none" w:color="auto"/>
                <w:lang w:eastAsia="zh-CN"/>
                <w14:textFill>
                  <w14:solidFill>
                    <w14:schemeClr w14:val="tx1"/>
                  </w14:solidFill>
                </w14:textFill>
              </w:rPr>
              <w:t>的</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有关规定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4C3A17B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b/>
                <w:bCs/>
                <w:color w:val="000000" w:themeColor="text1"/>
                <w:kern w:val="0"/>
                <w:sz w:val="24"/>
                <w:highlight w:val="none"/>
                <w:u w:val="none" w:color="auto"/>
                <w:lang w:val="en-US" w:eastAsia="zh-CN"/>
                <w14:textFill>
                  <w14:solidFill>
                    <w14:schemeClr w14:val="tx1"/>
                  </w14:solidFill>
                </w14:textFill>
              </w:rPr>
            </w:pPr>
            <w:r>
              <w:rPr>
                <w:rFonts w:hint="eastAsia" w:cs="Times New Roman"/>
                <w:b/>
                <w:bCs/>
                <w:color w:val="000000" w:themeColor="text1"/>
                <w:kern w:val="0"/>
                <w:sz w:val="24"/>
                <w:highlight w:val="none"/>
                <w:u w:val="none" w:color="auto"/>
                <w:lang w:val="en-US" w:eastAsia="zh-CN"/>
                <w14:textFill>
                  <w14:solidFill>
                    <w14:schemeClr w14:val="tx1"/>
                  </w14:solidFill>
                </w14:textFill>
              </w:rPr>
              <w:t>1.3.6与《重庆市合川区生态环境保护“十四五”规划》（合川府发〔2022〕3号）符合性分析</w:t>
            </w:r>
          </w:p>
          <w:p w14:paraId="72AE0509">
            <w:pPr>
              <w:keepNext w:val="0"/>
              <w:keepLines w:val="0"/>
              <w:widowControl/>
              <w:suppressLineNumbers w:val="0"/>
              <w:spacing w:line="360" w:lineRule="auto"/>
              <w:ind w:firstLine="480" w:firstLineChars="200"/>
              <w:jc w:val="left"/>
              <w:rPr>
                <w:rFonts w:hint="eastAsia" w:cs="Times New Roman"/>
                <w:color w:val="000000" w:themeColor="text1"/>
                <w:sz w:val="24"/>
                <w:highlight w:val="none"/>
                <w:u w:val="none" w:color="auto"/>
                <w:lang w:val="en-US" w:eastAsia="zh-CN"/>
                <w14:textFill>
                  <w14:solidFill>
                    <w14:schemeClr w14:val="tx1"/>
                  </w14:solidFill>
                </w14:textFill>
              </w:rPr>
            </w:pPr>
            <w:r>
              <w:rPr>
                <w:rFonts w:hint="eastAsia" w:cs="Times New Roman"/>
                <w:color w:val="000000" w:themeColor="text1"/>
                <w:sz w:val="24"/>
                <w:highlight w:val="none"/>
                <w:u w:val="none" w:color="auto"/>
                <w:lang w:val="en-US" w:eastAsia="zh-CN"/>
                <w14:textFill>
                  <w14:solidFill>
                    <w14:schemeClr w14:val="tx1"/>
                  </w14:solidFill>
                </w14:textFill>
              </w:rPr>
              <w:t>根据《重庆市合川区生态环境保护“十四五”规划》提出“</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强化大气环境空间管控和约束。按照《重庆市合川区人民政府关于印发合川区大气污染防治工作任务考核办法</w:t>
            </w:r>
            <w:r>
              <w:rPr>
                <w:rFonts w:hint="eastAsia" w:cs="Times New Roman"/>
                <w:color w:val="000000" w:themeColor="text1"/>
                <w:sz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试行</w:t>
            </w:r>
            <w:r>
              <w:rPr>
                <w:rFonts w:hint="eastAsia" w:cs="Times New Roman"/>
                <w:color w:val="000000" w:themeColor="text1"/>
                <w:sz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的通知》要求，结合“三线一单”和环境空气质量功能区划，将全区划分为大气污染防治重点控制区和一般控制区。重点控制区内的产业布局方案应根据大气环境承载力和输送规律合理制定，形成有利于大气污染物扩散的城市空间格局。推进城市建成区污染企业搬迁改造或关闭退出，实施工业企业“退城进园”，逐步引导高排放行业企业布局在土场镇，逐步疏解三汇等东部街道、盐井等街道的高排放企业行业。研究制定24车队、汽车总站环保搬迁可行性方案，推进绕城公路修建。严控燃煤锅炉新增，已铺设天然气管网的城区、场镇及其周边区域原则上不得新增燃煤锅炉，城市建成区禁止新建20蒸吨及以下燃煤锅炉，全面淘汰10蒸吨及以下的燃煤锅炉。</w:t>
            </w:r>
            <w:r>
              <w:rPr>
                <w:rFonts w:hint="eastAsia" w:cs="Times New Roman"/>
                <w:color w:val="000000" w:themeColor="text1"/>
                <w:sz w:val="24"/>
                <w:highlight w:val="none"/>
                <w:u w:val="none" w:color="auto"/>
                <w:lang w:val="en-US" w:eastAsia="zh-CN"/>
                <w14:textFill>
                  <w14:solidFill>
                    <w14:schemeClr w14:val="tx1"/>
                  </w14:solidFill>
                </w14:textFill>
              </w:rPr>
              <w:t>”</w:t>
            </w:r>
          </w:p>
          <w:p w14:paraId="7420B5FD">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color w:val="000000" w:themeColor="text1"/>
                <w:sz w:val="24"/>
                <w:highlight w:val="none"/>
                <w:lang w:val="en-US" w:eastAsia="zh-CN" w:bidi="ar"/>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bidi="ar"/>
                <w14:textFill>
                  <w14:solidFill>
                    <w14:schemeClr w14:val="tx1"/>
                  </w14:solidFill>
                </w14:textFill>
              </w:rPr>
              <w:t>本项目位于</w:t>
            </w:r>
            <w:r>
              <w:rPr>
                <w:rFonts w:hint="eastAsia"/>
                <w:color w:val="000000" w:themeColor="text1"/>
                <w:highlight w:val="none"/>
                <w14:textFill>
                  <w14:solidFill>
                    <w14:schemeClr w14:val="tx1"/>
                  </w14:solidFill>
                </w14:textFill>
              </w:rPr>
              <w:t>合川工业园区南溪组团</w:t>
            </w:r>
            <w:r>
              <w:rPr>
                <w:rFonts w:hint="eastAsia"/>
                <w:color w:val="000000" w:themeColor="text1"/>
                <w:highlight w:val="none"/>
                <w:lang w:val="en-US" w:eastAsia="zh-CN"/>
                <w14:textFill>
                  <w14:solidFill>
                    <w14:schemeClr w14:val="tx1"/>
                  </w14:solidFill>
                </w14:textFill>
              </w:rPr>
              <w:t>A区</w:t>
            </w:r>
            <w:r>
              <w:rPr>
                <w:rFonts w:hint="eastAsia" w:ascii="Times New Roman" w:hAnsi="Times New Roman" w:eastAsia="宋体" w:cs="Times New Roman"/>
                <w:b w:val="0"/>
                <w:bCs/>
                <w:color w:val="000000" w:themeColor="text1"/>
                <w:sz w:val="24"/>
                <w:highlight w:val="none"/>
                <w:lang w:val="en-US" w:eastAsia="zh-CN" w:bidi="ar"/>
                <w14:textFill>
                  <w14:solidFill>
                    <w14:schemeClr w14:val="tx1"/>
                  </w14:solidFill>
                </w14:textFill>
              </w:rPr>
              <w:t>，</w:t>
            </w:r>
            <w:r>
              <w:rPr>
                <w:rFonts w:hint="eastAsia" w:cs="Times New Roman"/>
                <w:b w:val="0"/>
                <w:bCs/>
                <w:color w:val="000000" w:themeColor="text1"/>
                <w:sz w:val="24"/>
                <w:highlight w:val="none"/>
                <w:lang w:val="en-US" w:eastAsia="zh-CN" w:bidi="ar"/>
                <w14:textFill>
                  <w14:solidFill>
                    <w14:schemeClr w14:val="tx1"/>
                  </w14:solidFill>
                </w14:textFill>
              </w:rPr>
              <w:t>使用的锅炉为</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天然气锅炉</w:t>
            </w:r>
            <w:r>
              <w:rPr>
                <w:rFonts w:hint="eastAsia" w:ascii="Times New Roman" w:hAnsi="Times New Roman" w:eastAsia="宋体" w:cs="Times New Roman"/>
                <w:b w:val="0"/>
                <w:bCs/>
                <w:color w:val="000000" w:themeColor="text1"/>
                <w:sz w:val="24"/>
                <w:highlight w:val="none"/>
                <w:lang w:val="en-US" w:eastAsia="zh-CN" w:bidi="ar"/>
                <w14:textFill>
                  <w14:solidFill>
                    <w14:schemeClr w14:val="tx1"/>
                  </w14:solidFill>
                </w14:textFill>
              </w:rPr>
              <w:t>。因此，本项目符合《重庆市合川区生态环境保护“十四五”规划》（合川府发〔2022〕3号）的相关要求。</w:t>
            </w:r>
          </w:p>
          <w:p w14:paraId="71C2E0D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b/>
                <w:bCs/>
                <w:color w:val="000000" w:themeColor="text1"/>
                <w:kern w:val="0"/>
                <w:sz w:val="24"/>
                <w:highlight w:val="none"/>
                <w:u w:val="none" w:color="auto"/>
                <w:lang w:val="en-US" w:eastAsia="zh-CN"/>
                <w14:textFill>
                  <w14:solidFill>
                    <w14:schemeClr w14:val="tx1"/>
                  </w14:solidFill>
                </w14:textFill>
              </w:rPr>
            </w:pPr>
            <w:r>
              <w:rPr>
                <w:rFonts w:hint="eastAsia" w:cs="Times New Roman"/>
                <w:b/>
                <w:bCs/>
                <w:color w:val="000000" w:themeColor="text1"/>
                <w:kern w:val="0"/>
                <w:sz w:val="24"/>
                <w:highlight w:val="none"/>
                <w:u w:val="none" w:color="auto"/>
                <w:lang w:val="en-US" w:eastAsia="zh-CN"/>
                <w14:textFill>
                  <w14:solidFill>
                    <w14:schemeClr w14:val="tx1"/>
                  </w14:solidFill>
                </w14:textFill>
              </w:rPr>
              <w:t>1.3.6与《食品生产通用卫生规范》（GB14881-2013）的符合性分析</w:t>
            </w:r>
          </w:p>
          <w:p w14:paraId="4C1799E9">
            <w:pPr>
              <w:pStyle w:val="44"/>
              <w:keepNext w:val="0"/>
              <w:keepLines w:val="0"/>
              <w:pageBreakBefore w:val="0"/>
              <w:widowControl w:val="0"/>
              <w:kinsoku/>
              <w:wordWrap/>
              <w:overflowPunct/>
              <w:topLinePunct w:val="0"/>
              <w:autoSpaceDE/>
              <w:autoSpaceDN/>
              <w:bidi w:val="0"/>
              <w:adjustRightInd/>
              <w:snapToGrid/>
              <w:spacing w:before="0" w:beforeLines="0"/>
              <w:ind w:firstLine="482"/>
              <w:textAlignment w:val="auto"/>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表1</w:t>
            </w:r>
            <w:r>
              <w:rPr>
                <w:rFonts w:hint="eastAsia"/>
                <w:snapToGrid w:val="0"/>
                <w:color w:val="000000" w:themeColor="text1"/>
                <w:highlight w:val="none"/>
                <w:lang w:val="en-US" w:eastAsia="zh-CN"/>
                <w14:textFill>
                  <w14:solidFill>
                    <w14:schemeClr w14:val="tx1"/>
                  </w14:solidFill>
                </w14:textFill>
              </w:rPr>
              <w:t>.3</w:t>
            </w:r>
            <w:r>
              <w:rPr>
                <w:snapToGrid w:val="0"/>
                <w:color w:val="000000" w:themeColor="text1"/>
                <w:highlight w:val="none"/>
                <w14:textFill>
                  <w14:solidFill>
                    <w14:schemeClr w14:val="tx1"/>
                  </w14:solidFill>
                </w14:textFill>
              </w:rPr>
              <w:t>-</w:t>
            </w:r>
            <w:r>
              <w:rPr>
                <w:rFonts w:hint="eastAsia"/>
                <w:snapToGrid w:val="0"/>
                <w:color w:val="000000" w:themeColor="text1"/>
                <w:highlight w:val="none"/>
                <w:lang w:val="en-US" w:eastAsia="zh-CN"/>
                <w14:textFill>
                  <w14:solidFill>
                    <w14:schemeClr w14:val="tx1"/>
                  </w14:solidFill>
                </w14:textFill>
              </w:rPr>
              <w:t>5</w:t>
            </w:r>
            <w:r>
              <w:rPr>
                <w:snapToGrid w:val="0"/>
                <w:color w:val="000000" w:themeColor="text1"/>
                <w:highlight w:val="none"/>
                <w14:textFill>
                  <w14:solidFill>
                    <w14:schemeClr w14:val="tx1"/>
                  </w14:solidFill>
                </w14:textFill>
              </w:rPr>
              <w:t xml:space="preserve"> </w:t>
            </w:r>
            <w:r>
              <w:rPr>
                <w:rFonts w:hint="eastAsia" w:cs="Times New Roman"/>
                <w:b/>
                <w:bCs/>
                <w:color w:val="000000" w:themeColor="text1"/>
                <w:kern w:val="0"/>
                <w:sz w:val="24"/>
                <w:highlight w:val="none"/>
                <w:u w:val="none" w:color="auto"/>
                <w:lang w:val="en-US" w:eastAsia="zh-CN"/>
                <w14:textFill>
                  <w14:solidFill>
                    <w14:schemeClr w14:val="tx1"/>
                  </w14:solidFill>
                </w14:textFill>
              </w:rPr>
              <w:t>与《食品生产通用卫生规范》（GB14881-2013）</w:t>
            </w:r>
            <w:r>
              <w:rPr>
                <w:snapToGrid w:val="0"/>
                <w:color w:val="000000" w:themeColor="text1"/>
                <w:highlight w:val="none"/>
                <w14:textFill>
                  <w14:solidFill>
                    <w14:schemeClr w14:val="tx1"/>
                  </w14:solidFill>
                </w14:textFill>
              </w:rPr>
              <w:t>符合性分析一览表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3"/>
              <w:gridCol w:w="3802"/>
              <w:gridCol w:w="3297"/>
              <w:gridCol w:w="680"/>
            </w:tblGrid>
            <w:tr w14:paraId="2DB5A8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64" w:type="pct"/>
                  <w:gridSpan w:val="2"/>
                  <w:vAlign w:val="center"/>
                </w:tcPr>
                <w:p w14:paraId="0CB614EC">
                  <w:pPr>
                    <w:autoSpaceDE w:val="0"/>
                    <w:autoSpaceDN w:val="0"/>
                    <w:spacing w:line="240" w:lineRule="auto"/>
                    <w:ind w:firstLine="0" w:firstLineChars="0"/>
                    <w:jc w:val="center"/>
                    <w:rPr>
                      <w:b/>
                      <w:bCs/>
                      <w:color w:val="000000" w:themeColor="text1"/>
                      <w:kern w:val="0"/>
                      <w:sz w:val="21"/>
                      <w:szCs w:val="21"/>
                      <w:highlight w:val="none"/>
                      <w14:textFill>
                        <w14:solidFill>
                          <w14:schemeClr w14:val="tx1"/>
                        </w14:solidFill>
                      </w14:textFill>
                    </w:rPr>
                  </w:pPr>
                  <w:bookmarkStart w:id="3" w:name="_Hlk23691799"/>
                  <w:r>
                    <w:rPr>
                      <w:b/>
                      <w:bCs/>
                      <w:color w:val="000000" w:themeColor="text1"/>
                      <w:kern w:val="0"/>
                      <w:sz w:val="21"/>
                      <w:szCs w:val="21"/>
                      <w:highlight w:val="none"/>
                      <w14:textFill>
                        <w14:solidFill>
                          <w14:schemeClr w14:val="tx1"/>
                        </w14:solidFill>
                      </w14:textFill>
                    </w:rPr>
                    <w:t>《食品生产通用卫生</w:t>
                  </w:r>
                  <w:r>
                    <w:rPr>
                      <w:rFonts w:hint="eastAsia"/>
                      <w:b/>
                      <w:bCs/>
                      <w:color w:val="000000" w:themeColor="text1"/>
                      <w:kern w:val="0"/>
                      <w:sz w:val="21"/>
                      <w:szCs w:val="21"/>
                      <w:highlight w:val="none"/>
                      <w:lang w:eastAsia="zh-CN"/>
                      <w14:textFill>
                        <w14:solidFill>
                          <w14:schemeClr w14:val="tx1"/>
                        </w14:solidFill>
                      </w14:textFill>
                    </w:rPr>
                    <w:t>规范</w:t>
                  </w:r>
                  <w:r>
                    <w:rPr>
                      <w:b/>
                      <w:bCs/>
                      <w:color w:val="000000" w:themeColor="text1"/>
                      <w:kern w:val="0"/>
                      <w:sz w:val="21"/>
                      <w:szCs w:val="21"/>
                      <w:highlight w:val="none"/>
                      <w14:textFill>
                        <w14:solidFill>
                          <w14:schemeClr w14:val="tx1"/>
                        </w14:solidFill>
                      </w14:textFill>
                    </w:rPr>
                    <w:t>》（GB14881-2013）规定</w:t>
                  </w:r>
                </w:p>
              </w:tc>
              <w:tc>
                <w:tcPr>
                  <w:tcW w:w="2336" w:type="pct"/>
                  <w:gridSpan w:val="2"/>
                  <w:vAlign w:val="center"/>
                </w:tcPr>
                <w:p w14:paraId="2129225A">
                  <w:pPr>
                    <w:autoSpaceDE w:val="0"/>
                    <w:autoSpaceDN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符合性分析</w:t>
                  </w:r>
                </w:p>
              </w:tc>
            </w:tr>
            <w:tr w14:paraId="44BBCE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427" w:type="pct"/>
                  <w:vMerge w:val="restart"/>
                  <w:vAlign w:val="center"/>
                </w:tcPr>
                <w:p w14:paraId="5CA4DB61">
                  <w:pPr>
                    <w:pStyle w:val="45"/>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厂区选址要求</w:t>
                  </w:r>
                </w:p>
              </w:tc>
              <w:tc>
                <w:tcPr>
                  <w:tcW w:w="2237" w:type="pct"/>
                  <w:vAlign w:val="center"/>
                </w:tcPr>
                <w:p w14:paraId="6944170F">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厂区不应选择对食品有显著污染的区域</w:t>
                  </w:r>
                  <w:r>
                    <w:rPr>
                      <w:rFonts w:hint="eastAsia"/>
                      <w:color w:val="000000" w:themeColor="text1"/>
                      <w:highlight w:val="none"/>
                      <w:lang w:eastAsia="zh-CN"/>
                      <w14:textFill>
                        <w14:solidFill>
                          <w14:schemeClr w14:val="tx1"/>
                        </w14:solidFill>
                      </w14:textFill>
                    </w:rPr>
                    <w:t>。</w:t>
                  </w:r>
                </w:p>
              </w:tc>
              <w:tc>
                <w:tcPr>
                  <w:tcW w:w="1939" w:type="pct"/>
                  <w:vMerge w:val="restart"/>
                  <w:vAlign w:val="center"/>
                </w:tcPr>
                <w:p w14:paraId="115685B7">
                  <w:pPr>
                    <w:pStyle w:val="45"/>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附近</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多</w:t>
                  </w:r>
                  <w:r>
                    <w:rPr>
                      <w:color w:val="000000" w:themeColor="text1"/>
                      <w:highlight w:val="none"/>
                      <w14:textFill>
                        <w14:solidFill>
                          <w14:schemeClr w14:val="tx1"/>
                        </w14:solidFill>
                      </w14:textFill>
                    </w:rPr>
                    <w:t>为食品行业，区域不属于对食品有显著污染的区域。</w:t>
                  </w:r>
                </w:p>
                <w:p w14:paraId="3E787448">
                  <w:pPr>
                    <w:pStyle w:val="45"/>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周边其他企业均不属于有毒、有害、重金属等企业，产生粉尘量和有机废气污染物</w:t>
                  </w:r>
                  <w:r>
                    <w:rPr>
                      <w:rFonts w:hint="eastAsia"/>
                      <w:color w:val="000000" w:themeColor="text1"/>
                      <w:highlight w:val="none"/>
                      <w:lang w:eastAsia="zh-CN"/>
                      <w14:textFill>
                        <w14:solidFill>
                          <w14:schemeClr w14:val="tx1"/>
                        </w14:solidFill>
                      </w14:textFill>
                    </w:rPr>
                    <w:t>较少</w:t>
                  </w:r>
                  <w:r>
                    <w:rPr>
                      <w:color w:val="000000" w:themeColor="text1"/>
                      <w:highlight w:val="none"/>
                      <w14:textFill>
                        <w14:solidFill>
                          <w14:schemeClr w14:val="tx1"/>
                        </w14:solidFill>
                      </w14:textFill>
                    </w:rPr>
                    <w:t>，不产生有害气体、放射性物质。</w:t>
                  </w:r>
                </w:p>
              </w:tc>
              <w:tc>
                <w:tcPr>
                  <w:tcW w:w="397" w:type="pct"/>
                  <w:vMerge w:val="restart"/>
                  <w:vAlign w:val="center"/>
                </w:tcPr>
                <w:p w14:paraId="50B66F76">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40FB82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continue"/>
                  <w:vAlign w:val="center"/>
                </w:tcPr>
                <w:p w14:paraId="5B8CDE9E">
                  <w:pPr>
                    <w:pStyle w:val="45"/>
                    <w:jc w:val="left"/>
                    <w:rPr>
                      <w:color w:val="000000" w:themeColor="text1"/>
                      <w:highlight w:val="none"/>
                      <w14:textFill>
                        <w14:solidFill>
                          <w14:schemeClr w14:val="tx1"/>
                        </w14:solidFill>
                      </w14:textFill>
                    </w:rPr>
                  </w:pPr>
                </w:p>
              </w:tc>
              <w:tc>
                <w:tcPr>
                  <w:tcW w:w="2237" w:type="pct"/>
                  <w:vAlign w:val="center"/>
                </w:tcPr>
                <w:p w14:paraId="39ED4AAB">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厂区不应选择有害废弃物以及粉尘、有害气体、放射性物质和其他扩散性污染源不能有效清除的地址</w:t>
                  </w:r>
                  <w:r>
                    <w:rPr>
                      <w:rFonts w:hint="eastAsia"/>
                      <w:color w:val="000000" w:themeColor="text1"/>
                      <w:highlight w:val="none"/>
                      <w:lang w:eastAsia="zh-CN"/>
                      <w14:textFill>
                        <w14:solidFill>
                          <w14:schemeClr w14:val="tx1"/>
                        </w14:solidFill>
                      </w14:textFill>
                    </w:rPr>
                    <w:t>。</w:t>
                  </w:r>
                </w:p>
              </w:tc>
              <w:tc>
                <w:tcPr>
                  <w:tcW w:w="1939" w:type="pct"/>
                  <w:vMerge w:val="continue"/>
                  <w:vAlign w:val="center"/>
                </w:tcPr>
                <w:p w14:paraId="14C20BED">
                  <w:pPr>
                    <w:pStyle w:val="45"/>
                    <w:jc w:val="left"/>
                    <w:rPr>
                      <w:color w:val="000000" w:themeColor="text1"/>
                      <w:highlight w:val="none"/>
                      <w14:textFill>
                        <w14:solidFill>
                          <w14:schemeClr w14:val="tx1"/>
                        </w14:solidFill>
                      </w14:textFill>
                    </w:rPr>
                  </w:pPr>
                </w:p>
              </w:tc>
              <w:tc>
                <w:tcPr>
                  <w:tcW w:w="397" w:type="pct"/>
                  <w:vMerge w:val="continue"/>
                  <w:vAlign w:val="center"/>
                </w:tcPr>
                <w:p w14:paraId="686D9C2A">
                  <w:pPr>
                    <w:autoSpaceDE w:val="0"/>
                    <w:autoSpaceDN w:val="0"/>
                    <w:ind w:firstLine="0" w:firstLineChars="0"/>
                    <w:rPr>
                      <w:color w:val="000000" w:themeColor="text1"/>
                      <w:kern w:val="0"/>
                      <w:sz w:val="21"/>
                      <w:szCs w:val="21"/>
                      <w:highlight w:val="none"/>
                      <w14:textFill>
                        <w14:solidFill>
                          <w14:schemeClr w14:val="tx1"/>
                        </w14:solidFill>
                      </w14:textFill>
                    </w:rPr>
                  </w:pPr>
                </w:p>
              </w:tc>
            </w:tr>
            <w:tr w14:paraId="386522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continue"/>
                  <w:vAlign w:val="center"/>
                </w:tcPr>
                <w:p w14:paraId="015AE602">
                  <w:pPr>
                    <w:pStyle w:val="45"/>
                    <w:jc w:val="left"/>
                    <w:rPr>
                      <w:color w:val="000000" w:themeColor="text1"/>
                      <w:highlight w:val="none"/>
                      <w14:textFill>
                        <w14:solidFill>
                          <w14:schemeClr w14:val="tx1"/>
                        </w14:solidFill>
                      </w14:textFill>
                    </w:rPr>
                  </w:pPr>
                </w:p>
              </w:tc>
              <w:tc>
                <w:tcPr>
                  <w:tcW w:w="2237" w:type="pct"/>
                  <w:vAlign w:val="center"/>
                </w:tcPr>
                <w:p w14:paraId="119E3D6A">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厂区不宜择易发生洪涝灾害的地区，难以避开时应设计必要的防范措施</w:t>
                  </w:r>
                  <w:r>
                    <w:rPr>
                      <w:rFonts w:hint="eastAsia"/>
                      <w:color w:val="000000" w:themeColor="text1"/>
                      <w:highlight w:val="none"/>
                      <w:lang w:eastAsia="zh-CN"/>
                      <w14:textFill>
                        <w14:solidFill>
                          <w14:schemeClr w14:val="tx1"/>
                        </w14:solidFill>
                      </w14:textFill>
                    </w:rPr>
                    <w:t>。</w:t>
                  </w:r>
                </w:p>
              </w:tc>
              <w:tc>
                <w:tcPr>
                  <w:tcW w:w="1939" w:type="pct"/>
                  <w:vAlign w:val="center"/>
                </w:tcPr>
                <w:p w14:paraId="5CA7E83C">
                  <w:pPr>
                    <w:pStyle w:val="45"/>
                    <w:jc w:val="lef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项目选址不在易发生洪涝灾害的地区</w:t>
                  </w:r>
                  <w:r>
                    <w:rPr>
                      <w:rFonts w:hint="eastAsia"/>
                      <w:color w:val="000000" w:themeColor="text1"/>
                      <w:highlight w:val="none"/>
                      <w:lang w:eastAsia="zh-CN"/>
                      <w14:textFill>
                        <w14:solidFill>
                          <w14:schemeClr w14:val="tx1"/>
                        </w14:solidFill>
                      </w14:textFill>
                    </w:rPr>
                    <w:t>。</w:t>
                  </w:r>
                </w:p>
              </w:tc>
              <w:tc>
                <w:tcPr>
                  <w:tcW w:w="397" w:type="pct"/>
                  <w:vAlign w:val="center"/>
                </w:tcPr>
                <w:p w14:paraId="5109CD2D">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5DA99F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continue"/>
                  <w:vAlign w:val="center"/>
                </w:tcPr>
                <w:p w14:paraId="6FA3EF18">
                  <w:pPr>
                    <w:pStyle w:val="45"/>
                    <w:jc w:val="left"/>
                    <w:rPr>
                      <w:color w:val="000000" w:themeColor="text1"/>
                      <w:highlight w:val="none"/>
                      <w14:textFill>
                        <w14:solidFill>
                          <w14:schemeClr w14:val="tx1"/>
                        </w14:solidFill>
                      </w14:textFill>
                    </w:rPr>
                  </w:pPr>
                </w:p>
              </w:tc>
              <w:tc>
                <w:tcPr>
                  <w:tcW w:w="2237" w:type="pct"/>
                  <w:vAlign w:val="center"/>
                </w:tcPr>
                <w:p w14:paraId="735C39ED">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厂区周围不宜有虫害大量滋生的潜在场所，难以避开时应设计必要的防范措施</w:t>
                  </w:r>
                  <w:r>
                    <w:rPr>
                      <w:rFonts w:hint="eastAsia"/>
                      <w:color w:val="000000" w:themeColor="text1"/>
                      <w:highlight w:val="none"/>
                      <w:lang w:eastAsia="zh-CN"/>
                      <w14:textFill>
                        <w14:solidFill>
                          <w14:schemeClr w14:val="tx1"/>
                        </w14:solidFill>
                      </w14:textFill>
                    </w:rPr>
                    <w:t>。</w:t>
                  </w:r>
                </w:p>
              </w:tc>
              <w:tc>
                <w:tcPr>
                  <w:tcW w:w="1939" w:type="pct"/>
                  <w:vAlign w:val="center"/>
                </w:tcPr>
                <w:p w14:paraId="13A806AA">
                  <w:pPr>
                    <w:pStyle w:val="45"/>
                    <w:jc w:val="left"/>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项目周边生产厂区较为干净整洁，不存在虫害大量滋生的场所。</w:t>
                  </w:r>
                </w:p>
              </w:tc>
              <w:tc>
                <w:tcPr>
                  <w:tcW w:w="397" w:type="pct"/>
                  <w:vAlign w:val="center"/>
                </w:tcPr>
                <w:p w14:paraId="006E16DD">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27407F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restart"/>
                  <w:vAlign w:val="center"/>
                </w:tcPr>
                <w:p w14:paraId="74D574ED">
                  <w:pPr>
                    <w:pStyle w:val="45"/>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厂区环境要求</w:t>
                  </w:r>
                </w:p>
              </w:tc>
              <w:tc>
                <w:tcPr>
                  <w:tcW w:w="2237" w:type="pct"/>
                  <w:vAlign w:val="center"/>
                </w:tcPr>
                <w:p w14:paraId="705DB61E">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应考虑环境给食品生产带来的潜在污染风险，并采取适当的措施将其降至最低水平</w:t>
                  </w:r>
                  <w:r>
                    <w:rPr>
                      <w:rFonts w:hint="eastAsia"/>
                      <w:color w:val="000000" w:themeColor="text1"/>
                      <w:highlight w:val="none"/>
                      <w:lang w:eastAsia="zh-CN"/>
                      <w14:textFill>
                        <w14:solidFill>
                          <w14:schemeClr w14:val="tx1"/>
                        </w14:solidFill>
                      </w14:textFill>
                    </w:rPr>
                    <w:t>。</w:t>
                  </w:r>
                </w:p>
              </w:tc>
              <w:tc>
                <w:tcPr>
                  <w:tcW w:w="1939" w:type="pct"/>
                  <w:vAlign w:val="center"/>
                </w:tcPr>
                <w:p w14:paraId="41496027">
                  <w:pPr>
                    <w:pStyle w:val="45"/>
                    <w:jc w:val="left"/>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项目所在地地势干燥，交通方便，有充足的水源。项目周边环境质量现状达标，满足相关环境质量标准要求。</w:t>
                  </w:r>
                </w:p>
              </w:tc>
              <w:tc>
                <w:tcPr>
                  <w:tcW w:w="397" w:type="pct"/>
                  <w:vAlign w:val="center"/>
                </w:tcPr>
                <w:p w14:paraId="0363612F">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3F29C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27" w:type="pct"/>
                  <w:vMerge w:val="continue"/>
                  <w:vAlign w:val="center"/>
                </w:tcPr>
                <w:p w14:paraId="6005ED5B">
                  <w:pPr>
                    <w:pStyle w:val="45"/>
                    <w:jc w:val="left"/>
                    <w:rPr>
                      <w:color w:val="000000" w:themeColor="text1"/>
                      <w:highlight w:val="none"/>
                      <w14:textFill>
                        <w14:solidFill>
                          <w14:schemeClr w14:val="tx1"/>
                        </w14:solidFill>
                      </w14:textFill>
                    </w:rPr>
                  </w:pPr>
                </w:p>
              </w:tc>
              <w:tc>
                <w:tcPr>
                  <w:tcW w:w="2237" w:type="pct"/>
                  <w:vAlign w:val="center"/>
                </w:tcPr>
                <w:p w14:paraId="22C95D6A">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厂区应合理布局，各功能区域划分明显，并有适当的分离或分隔措施，防止交叉污染</w:t>
                  </w:r>
                  <w:r>
                    <w:rPr>
                      <w:rFonts w:hint="eastAsia"/>
                      <w:color w:val="000000" w:themeColor="text1"/>
                      <w:highlight w:val="none"/>
                      <w:lang w:eastAsia="zh-CN"/>
                      <w14:textFill>
                        <w14:solidFill>
                          <w14:schemeClr w14:val="tx1"/>
                        </w14:solidFill>
                      </w14:textFill>
                    </w:rPr>
                    <w:t>。</w:t>
                  </w:r>
                </w:p>
              </w:tc>
              <w:tc>
                <w:tcPr>
                  <w:tcW w:w="1939" w:type="pct"/>
                  <w:vAlign w:val="center"/>
                </w:tcPr>
                <w:p w14:paraId="30BBA906">
                  <w:pPr>
                    <w:pStyle w:val="45"/>
                    <w:jc w:val="left"/>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项目厂区布置遵循办公区与生产区分开布置的原则，生产厂房</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办公区各功能区域划分明显，防止交叉污染。</w:t>
                  </w:r>
                </w:p>
              </w:tc>
              <w:tc>
                <w:tcPr>
                  <w:tcW w:w="397" w:type="pct"/>
                  <w:vAlign w:val="center"/>
                </w:tcPr>
                <w:p w14:paraId="722F8CEB">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2A9732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continue"/>
                  <w:vAlign w:val="center"/>
                </w:tcPr>
                <w:p w14:paraId="082777D4">
                  <w:pPr>
                    <w:pStyle w:val="45"/>
                    <w:jc w:val="left"/>
                    <w:rPr>
                      <w:color w:val="000000" w:themeColor="text1"/>
                      <w:highlight w:val="none"/>
                      <w14:textFill>
                        <w14:solidFill>
                          <w14:schemeClr w14:val="tx1"/>
                        </w14:solidFill>
                      </w14:textFill>
                    </w:rPr>
                  </w:pPr>
                </w:p>
              </w:tc>
              <w:tc>
                <w:tcPr>
                  <w:tcW w:w="2237" w:type="pct"/>
                  <w:vAlign w:val="center"/>
                </w:tcPr>
                <w:p w14:paraId="2187F0F4">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厂区内的道路应铺设混凝土、沥青</w:t>
                  </w:r>
                  <w:r>
                    <w:rPr>
                      <w:rFonts w:hint="eastAsia"/>
                      <w:color w:val="000000" w:themeColor="text1"/>
                      <w:highlight w:val="none"/>
                      <w:lang w:eastAsia="zh-CN"/>
                      <w14:textFill>
                        <w14:solidFill>
                          <w14:schemeClr w14:val="tx1"/>
                        </w14:solidFill>
                      </w14:textFill>
                    </w:rPr>
                    <w:t>或者</w:t>
                  </w:r>
                  <w:r>
                    <w:rPr>
                      <w:color w:val="000000" w:themeColor="text1"/>
                      <w:highlight w:val="none"/>
                      <w14:textFill>
                        <w14:solidFill>
                          <w14:schemeClr w14:val="tx1"/>
                        </w14:solidFill>
                      </w14:textFill>
                    </w:rPr>
                    <w:t>其他硬质材料；空地应采取必要措施，如铺设水泥、地砖或铺设草坪等方式，保持环境清洁，防止正常天气下扬尘和积水等现象的发生</w:t>
                  </w:r>
                  <w:r>
                    <w:rPr>
                      <w:rFonts w:hint="eastAsia"/>
                      <w:color w:val="000000" w:themeColor="text1"/>
                      <w:highlight w:val="none"/>
                      <w:lang w:eastAsia="zh-CN"/>
                      <w14:textFill>
                        <w14:solidFill>
                          <w14:schemeClr w14:val="tx1"/>
                        </w14:solidFill>
                      </w14:textFill>
                    </w:rPr>
                    <w:t>。</w:t>
                  </w:r>
                </w:p>
              </w:tc>
              <w:tc>
                <w:tcPr>
                  <w:tcW w:w="1939" w:type="pct"/>
                  <w:vAlign w:val="center"/>
                </w:tcPr>
                <w:p w14:paraId="6D391CB8">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厂区内的道路铺设混凝土、沥青等硬质材料，便于保持环境清洁，不会导致扬尘和积水等现象发生</w:t>
                  </w:r>
                  <w:r>
                    <w:rPr>
                      <w:rFonts w:hint="eastAsia"/>
                      <w:color w:val="000000" w:themeColor="text1"/>
                      <w:highlight w:val="none"/>
                      <w:lang w:eastAsia="zh-CN"/>
                      <w14:textFill>
                        <w14:solidFill>
                          <w14:schemeClr w14:val="tx1"/>
                        </w14:solidFill>
                      </w14:textFill>
                    </w:rPr>
                    <w:t>。</w:t>
                  </w:r>
                </w:p>
              </w:tc>
              <w:tc>
                <w:tcPr>
                  <w:tcW w:w="397" w:type="pct"/>
                  <w:vAlign w:val="center"/>
                </w:tcPr>
                <w:p w14:paraId="054EF987">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6F1CF1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continue"/>
                  <w:vAlign w:val="center"/>
                </w:tcPr>
                <w:p w14:paraId="29C30F63">
                  <w:pPr>
                    <w:pStyle w:val="45"/>
                    <w:jc w:val="left"/>
                    <w:rPr>
                      <w:color w:val="000000" w:themeColor="text1"/>
                      <w:highlight w:val="none"/>
                      <w14:textFill>
                        <w14:solidFill>
                          <w14:schemeClr w14:val="tx1"/>
                        </w14:solidFill>
                      </w14:textFill>
                    </w:rPr>
                  </w:pPr>
                </w:p>
              </w:tc>
              <w:tc>
                <w:tcPr>
                  <w:tcW w:w="2237" w:type="pct"/>
                  <w:vAlign w:val="center"/>
                </w:tcPr>
                <w:p w14:paraId="3DAB3DD8">
                  <w:pPr>
                    <w:pStyle w:val="45"/>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厂区绿化应与生产车间保持适当距离，植被应定期维护，以防止虫害的</w:t>
                  </w:r>
                  <w:r>
                    <w:rPr>
                      <w:rFonts w:hint="eastAsia"/>
                      <w:color w:val="000000" w:themeColor="text1"/>
                      <w:highlight w:val="none"/>
                      <w14:textFill>
                        <w14:solidFill>
                          <w14:schemeClr w14:val="tx1"/>
                        </w14:solidFill>
                      </w14:textFill>
                    </w:rPr>
                    <w:t>滋生。</w:t>
                  </w:r>
                </w:p>
              </w:tc>
              <w:tc>
                <w:tcPr>
                  <w:tcW w:w="1939" w:type="pct"/>
                  <w:vAlign w:val="center"/>
                </w:tcPr>
                <w:p w14:paraId="6BC26BB3">
                  <w:pPr>
                    <w:pStyle w:val="45"/>
                    <w:jc w:val="lef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项目厂区内</w:t>
                  </w:r>
                  <w:r>
                    <w:rPr>
                      <w:rFonts w:hint="eastAsia"/>
                      <w:color w:val="000000" w:themeColor="text1"/>
                      <w:highlight w:val="none"/>
                      <w14:textFill>
                        <w14:solidFill>
                          <w14:schemeClr w14:val="tx1"/>
                        </w14:solidFill>
                      </w14:textFill>
                    </w:rPr>
                    <w:t>人行道和车</w:t>
                  </w:r>
                  <w:r>
                    <w:rPr>
                      <w:rFonts w:hint="eastAsia"/>
                      <w:color w:val="000000" w:themeColor="text1"/>
                      <w:highlight w:val="none"/>
                      <w:lang w:eastAsia="zh-CN"/>
                      <w14:textFill>
                        <w14:solidFill>
                          <w14:schemeClr w14:val="tx1"/>
                        </w14:solidFill>
                      </w14:textFill>
                    </w:rPr>
                    <w:t>行</w:t>
                  </w:r>
                  <w:r>
                    <w:rPr>
                      <w:rFonts w:hint="eastAsia"/>
                      <w:color w:val="000000" w:themeColor="text1"/>
                      <w:highlight w:val="none"/>
                      <w14:textFill>
                        <w14:solidFill>
                          <w14:schemeClr w14:val="tx1"/>
                        </w14:solidFill>
                      </w14:textFill>
                    </w:rPr>
                    <w:t>道</w:t>
                  </w:r>
                  <w:r>
                    <w:rPr>
                      <w:color w:val="000000" w:themeColor="text1"/>
                      <w:highlight w:val="none"/>
                      <w14:textFill>
                        <w14:solidFill>
                          <w14:schemeClr w14:val="tx1"/>
                        </w14:solidFill>
                      </w14:textFill>
                    </w:rPr>
                    <w:t>地面均采用硬化处理，</w:t>
                  </w:r>
                  <w:r>
                    <w:rPr>
                      <w:rFonts w:hint="eastAsia"/>
                      <w:color w:val="000000" w:themeColor="text1"/>
                      <w:highlight w:val="none"/>
                      <w14:textFill>
                        <w14:solidFill>
                          <w14:schemeClr w14:val="tx1"/>
                        </w14:solidFill>
                      </w14:textFill>
                    </w:rPr>
                    <w:t>生产车间与</w:t>
                  </w:r>
                  <w:r>
                    <w:rPr>
                      <w:color w:val="000000" w:themeColor="text1"/>
                      <w:highlight w:val="none"/>
                      <w14:textFill>
                        <w14:solidFill>
                          <w14:schemeClr w14:val="tx1"/>
                        </w14:solidFill>
                      </w14:textFill>
                    </w:rPr>
                    <w:t>绿化</w:t>
                  </w:r>
                  <w:r>
                    <w:rPr>
                      <w:rFonts w:hint="eastAsia"/>
                      <w:color w:val="000000" w:themeColor="text1"/>
                      <w:highlight w:val="none"/>
                      <w14:textFill>
                        <w14:solidFill>
                          <w14:schemeClr w14:val="tx1"/>
                        </w14:solidFill>
                      </w14:textFill>
                    </w:rPr>
                    <w:t>带保持一定的距离</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生产车间不会受到</w:t>
                  </w:r>
                  <w:r>
                    <w:rPr>
                      <w:color w:val="000000" w:themeColor="text1"/>
                      <w:highlight w:val="none"/>
                      <w14:textFill>
                        <w14:solidFill>
                          <w14:schemeClr w14:val="tx1"/>
                        </w14:solidFill>
                      </w14:textFill>
                    </w:rPr>
                    <w:t>虫害</w:t>
                  </w:r>
                  <w:r>
                    <w:rPr>
                      <w:rFonts w:hint="eastAsia"/>
                      <w:color w:val="000000" w:themeColor="text1"/>
                      <w:highlight w:val="none"/>
                      <w14:textFill>
                        <w14:solidFill>
                          <w14:schemeClr w14:val="tx1"/>
                        </w14:solidFill>
                      </w14:textFill>
                    </w:rPr>
                    <w:t>影响，项目定期对植被进行维护，不会有虫害</w:t>
                  </w:r>
                  <w:r>
                    <w:rPr>
                      <w:color w:val="000000" w:themeColor="text1"/>
                      <w:highlight w:val="none"/>
                      <w14:textFill>
                        <w14:solidFill>
                          <w14:schemeClr w14:val="tx1"/>
                        </w14:solidFill>
                      </w14:textFill>
                    </w:rPr>
                    <w:t>的</w:t>
                  </w:r>
                  <w:r>
                    <w:rPr>
                      <w:rFonts w:hint="eastAsia"/>
                      <w:color w:val="000000" w:themeColor="text1"/>
                      <w:highlight w:val="none"/>
                      <w14:textFill>
                        <w14:solidFill>
                          <w14:schemeClr w14:val="tx1"/>
                        </w14:solidFill>
                      </w14:textFill>
                    </w:rPr>
                    <w:t>滋生</w:t>
                  </w:r>
                  <w:r>
                    <w:rPr>
                      <w:rFonts w:hint="eastAsia"/>
                      <w:color w:val="000000" w:themeColor="text1"/>
                      <w:highlight w:val="none"/>
                      <w:lang w:eastAsia="zh-CN"/>
                      <w14:textFill>
                        <w14:solidFill>
                          <w14:schemeClr w14:val="tx1"/>
                        </w14:solidFill>
                      </w14:textFill>
                    </w:rPr>
                    <w:t>。</w:t>
                  </w:r>
                </w:p>
              </w:tc>
              <w:tc>
                <w:tcPr>
                  <w:tcW w:w="397" w:type="pct"/>
                  <w:vAlign w:val="center"/>
                </w:tcPr>
                <w:p w14:paraId="50F14500">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4C4BA8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7" w:type="pct"/>
                  <w:vMerge w:val="continue"/>
                  <w:vAlign w:val="center"/>
                </w:tcPr>
                <w:p w14:paraId="674E2EBE">
                  <w:pPr>
                    <w:pStyle w:val="45"/>
                    <w:jc w:val="left"/>
                    <w:rPr>
                      <w:color w:val="000000" w:themeColor="text1"/>
                      <w:highlight w:val="none"/>
                      <w14:textFill>
                        <w14:solidFill>
                          <w14:schemeClr w14:val="tx1"/>
                        </w14:solidFill>
                      </w14:textFill>
                    </w:rPr>
                  </w:pPr>
                </w:p>
              </w:tc>
              <w:tc>
                <w:tcPr>
                  <w:tcW w:w="2237" w:type="pct"/>
                  <w:vAlign w:val="center"/>
                </w:tcPr>
                <w:p w14:paraId="62833552">
                  <w:pPr>
                    <w:pStyle w:val="45"/>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厂区应有适当的排水系统</w:t>
                  </w:r>
                  <w:r>
                    <w:rPr>
                      <w:rFonts w:hint="eastAsia"/>
                      <w:color w:val="000000" w:themeColor="text1"/>
                      <w:highlight w:val="none"/>
                      <w:lang w:eastAsia="zh-CN"/>
                      <w14:textFill>
                        <w14:solidFill>
                          <w14:schemeClr w14:val="tx1"/>
                        </w14:solidFill>
                      </w14:textFill>
                    </w:rPr>
                    <w:t>。</w:t>
                  </w:r>
                </w:p>
              </w:tc>
              <w:tc>
                <w:tcPr>
                  <w:tcW w:w="1939" w:type="pct"/>
                  <w:vAlign w:val="center"/>
                </w:tcPr>
                <w:p w14:paraId="236D0F10">
                  <w:pPr>
                    <w:pStyle w:val="45"/>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厂区内设置有完善的废水处理系统和排水系统，排放的污水能够接入市政污水管网，不会发生溢流的现象</w:t>
                  </w:r>
                </w:p>
              </w:tc>
              <w:tc>
                <w:tcPr>
                  <w:tcW w:w="397" w:type="pct"/>
                  <w:vAlign w:val="center"/>
                </w:tcPr>
                <w:p w14:paraId="1972E65A">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tr w14:paraId="425B12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427" w:type="pct"/>
                  <w:vMerge w:val="continue"/>
                  <w:vAlign w:val="center"/>
                </w:tcPr>
                <w:p w14:paraId="3890B711">
                  <w:pPr>
                    <w:pStyle w:val="45"/>
                    <w:jc w:val="left"/>
                    <w:rPr>
                      <w:color w:val="000000" w:themeColor="text1"/>
                      <w:highlight w:val="none"/>
                      <w14:textFill>
                        <w14:solidFill>
                          <w14:schemeClr w14:val="tx1"/>
                        </w14:solidFill>
                      </w14:textFill>
                    </w:rPr>
                  </w:pPr>
                </w:p>
              </w:tc>
              <w:tc>
                <w:tcPr>
                  <w:tcW w:w="2237" w:type="pct"/>
                  <w:vAlign w:val="center"/>
                </w:tcPr>
                <w:p w14:paraId="4C8CC3EB">
                  <w:pPr>
                    <w:pStyle w:val="45"/>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宿舍、食堂、职工娱乐设施等生活区应与生产区保持适当距离或分隔。</w:t>
                  </w:r>
                </w:p>
              </w:tc>
              <w:tc>
                <w:tcPr>
                  <w:tcW w:w="1939" w:type="pct"/>
                  <w:vAlign w:val="center"/>
                </w:tcPr>
                <w:p w14:paraId="2FD621D5">
                  <w:pPr>
                    <w:pStyle w:val="45"/>
                    <w:jc w:val="left"/>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项目办公生活区与生产车间为独立建筑，不会产生交叉影响</w:t>
                  </w:r>
                </w:p>
              </w:tc>
              <w:tc>
                <w:tcPr>
                  <w:tcW w:w="397" w:type="pct"/>
                  <w:vAlign w:val="center"/>
                </w:tcPr>
                <w:p w14:paraId="2A74011F">
                  <w:pPr>
                    <w:autoSpaceDE w:val="0"/>
                    <w:autoSpaceDN w:val="0"/>
                    <w:ind w:firstLine="0" w:firstLineChars="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符合</w:t>
                  </w:r>
                </w:p>
              </w:tc>
            </w:tr>
            <w:bookmarkEnd w:id="3"/>
          </w:tbl>
          <w:p w14:paraId="0F49AEDD">
            <w:pPr>
              <w:pStyle w:val="59"/>
              <w:keepNext w:val="0"/>
              <w:keepLines w:val="0"/>
              <w:pageBreakBefore w:val="0"/>
              <w:widowControl w:val="0"/>
              <w:kinsoku/>
              <w:wordWrap/>
              <w:overflowPunct/>
              <w:topLinePunct w:val="0"/>
              <w:autoSpaceDE/>
              <w:autoSpaceDN/>
              <w:bidi w:val="0"/>
              <w:adjustRightInd/>
              <w:snapToGrid/>
              <w:textAlignment w:val="auto"/>
              <w:rPr>
                <w:snapToGrid w:val="0"/>
                <w:color w:val="000000" w:themeColor="text1"/>
                <w:highlight w:val="none"/>
                <w14:textFill>
                  <w14:solidFill>
                    <w14:schemeClr w14:val="tx1"/>
                  </w14:solidFill>
                </w14:textFill>
              </w:rPr>
            </w:pPr>
            <w:r>
              <w:rPr>
                <w:color w:val="000000" w:themeColor="text1"/>
                <w:kern w:val="0"/>
                <w:szCs w:val="21"/>
                <w:highlight w:val="none"/>
                <w14:textFill>
                  <w14:solidFill>
                    <w14:schemeClr w14:val="tx1"/>
                  </w14:solidFill>
                </w14:textFill>
              </w:rPr>
              <w:t>综上所述，拟建项目选址要求以满足</w:t>
            </w:r>
            <w:r>
              <w:rPr>
                <w:rFonts w:hint="eastAsia"/>
                <w:color w:val="000000" w:themeColor="text1"/>
                <w:kern w:val="0"/>
                <w:szCs w:val="21"/>
                <w:highlight w:val="none"/>
                <w:lang w:val="en-US" w:eastAsia="zh-CN"/>
                <w14:textFill>
                  <w14:solidFill>
                    <w14:schemeClr w14:val="tx1"/>
                  </w14:solidFill>
                </w14:textFill>
              </w:rPr>
              <w:t>《食品生产通用卫生规范》（GB14881-2013）</w:t>
            </w:r>
            <w:r>
              <w:rPr>
                <w:color w:val="000000" w:themeColor="text1"/>
                <w:kern w:val="0"/>
                <w:szCs w:val="21"/>
                <w:highlight w:val="none"/>
                <w14:textFill>
                  <w14:solidFill>
                    <w14:schemeClr w14:val="tx1"/>
                  </w14:solidFill>
                </w14:textFill>
              </w:rPr>
              <w:t>中相关要求。</w:t>
            </w:r>
          </w:p>
          <w:p w14:paraId="286F794F">
            <w:pPr>
              <w:keepNext w:val="0"/>
              <w:keepLines w:val="0"/>
              <w:widowControl/>
              <w:suppressLineNumbers w:val="0"/>
              <w:spacing w:line="360" w:lineRule="auto"/>
              <w:ind w:left="0" w:leftChars="0" w:firstLine="0" w:firstLineChars="0"/>
              <w:jc w:val="left"/>
              <w:rPr>
                <w:rFonts w:hint="default" w:ascii="Times New Roman" w:hAnsi="Times New Roman" w:eastAsia="宋体" w:cs="Times New Roman"/>
                <w:b/>
                <w:color w:val="000000" w:themeColor="text1"/>
                <w:sz w:val="24"/>
                <w:highlight w:val="none"/>
                <w:lang w:val="en-US" w:eastAsia="zh-CN" w:bidi="ar"/>
                <w14:textFill>
                  <w14:solidFill>
                    <w14:schemeClr w14:val="tx1"/>
                  </w14:solidFill>
                </w14:textFill>
              </w:rPr>
            </w:pPr>
            <w:r>
              <w:rPr>
                <w:rFonts w:hint="eastAsia" w:cs="Times New Roman"/>
                <w:b/>
                <w:bCs/>
                <w:color w:val="000000" w:themeColor="text1"/>
                <w:sz w:val="24"/>
                <w:highlight w:val="none"/>
                <w:u w:val="none" w:color="auto"/>
                <w:lang w:val="en-US" w:eastAsia="zh-CN"/>
                <w14:textFill>
                  <w14:solidFill>
                    <w14:schemeClr w14:val="tx1"/>
                  </w14:solidFill>
                </w14:textFill>
              </w:rPr>
              <w:t>1.3.7</w:t>
            </w:r>
            <w:r>
              <w:rPr>
                <w:rFonts w:hint="eastAsia" w:ascii="Times New Roman" w:hAnsi="Times New Roman" w:eastAsia="宋体" w:cs="Times New Roman"/>
                <w:b/>
                <w:color w:val="000000" w:themeColor="text1"/>
                <w:sz w:val="24"/>
                <w:highlight w:val="none"/>
                <w:lang w:val="en-US" w:eastAsia="zh-CN" w:bidi="ar"/>
                <w14:textFill>
                  <w14:solidFill>
                    <w14:schemeClr w14:val="tx1"/>
                  </w14:solidFill>
                </w14:textFill>
              </w:rPr>
              <w:t>选址合理性分析</w:t>
            </w:r>
          </w:p>
          <w:p w14:paraId="75B476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选址位于重庆市</w:t>
            </w:r>
            <w:r>
              <w:rPr>
                <w:rFonts w:hint="eastAsia"/>
                <w:color w:val="000000" w:themeColor="text1"/>
                <w:highlight w:val="none"/>
                <w14:textFill>
                  <w14:solidFill>
                    <w14:schemeClr w14:val="tx1"/>
                  </w14:solidFill>
                </w14:textFill>
              </w:rPr>
              <w:t>合川工业园区南溪组团</w:t>
            </w:r>
            <w:r>
              <w:rPr>
                <w:rFonts w:hint="eastAsia"/>
                <w:color w:val="000000" w:themeColor="text1"/>
                <w:highlight w:val="none"/>
                <w:lang w:val="en-US" w:eastAsia="zh-CN"/>
                <w14:textFill>
                  <w14:solidFill>
                    <w14:schemeClr w14:val="tx1"/>
                  </w14:solidFill>
                </w14:textFill>
              </w:rPr>
              <w:t>A区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范围内，</w:t>
            </w:r>
            <w:r>
              <w:rPr>
                <w:rFonts w:hint="eastAsia"/>
                <w:bCs/>
                <w:color w:val="000000" w:themeColor="text1"/>
                <w:sz w:val="24"/>
                <w:szCs w:val="21"/>
                <w:highlight w:val="none"/>
                <w:lang w:eastAsia="zh-CN"/>
                <w14:textFill>
                  <w14:solidFill>
                    <w14:schemeClr w14:val="tx1"/>
                  </w14:solidFill>
                </w14:textFill>
              </w:rPr>
              <w:t>在</w:t>
            </w:r>
            <w:r>
              <w:rPr>
                <w:rFonts w:hint="eastAsia"/>
                <w:color w:val="000000" w:themeColor="text1"/>
                <w:highlight w:val="none"/>
                <w:lang w:eastAsia="zh-CN"/>
                <w14:textFill>
                  <w14:solidFill>
                    <w14:schemeClr w14:val="tx1"/>
                  </w14:solidFill>
                </w14:textFill>
              </w:rPr>
              <w:t>合川区工业园区核心区</w:t>
            </w:r>
            <w:r>
              <w:rPr>
                <w:rFonts w:hint="eastAsia"/>
                <w:color w:val="000000" w:themeColor="text1"/>
                <w:highlight w:val="none"/>
                <w:lang w:val="en-US" w:eastAsia="zh-CN"/>
                <w14:textFill>
                  <w14:solidFill>
                    <w14:schemeClr w14:val="tx1"/>
                  </w14:solidFill>
                </w14:textFill>
              </w:rPr>
              <w:t>HC23-003-1</w:t>
            </w:r>
            <w:r>
              <w:rPr>
                <w:rFonts w:hint="eastAsia"/>
                <w:bCs/>
                <w:color w:val="000000" w:themeColor="text1"/>
                <w:sz w:val="24"/>
                <w:szCs w:val="21"/>
                <w:highlight w:val="none"/>
                <w14:textFill>
                  <w14:solidFill>
                    <w14:schemeClr w14:val="tx1"/>
                  </w14:solidFill>
                </w14:textFill>
              </w:rPr>
              <w:t>工业用地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进行建设。同时根据现场调查和了解，</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周边均为已建成及待建的工业厂房，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多为食品加工企业，不存在大气污染较重的企业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，周边无严重制约本项目建设的因素存在。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项目周边500m范围内</w:t>
            </w:r>
            <w:r>
              <w:rPr>
                <w:rFonts w:hint="eastAsia" w:cs="Times New Roman"/>
                <w:color w:val="000000" w:themeColor="text1"/>
                <w:sz w:val="24"/>
                <w:szCs w:val="24"/>
                <w:highlight w:val="none"/>
                <w:lang w:val="en-US" w:eastAsia="zh-CN"/>
                <w14:textFill>
                  <w14:solidFill>
                    <w14:schemeClr w14:val="tx1"/>
                  </w14:solidFill>
                </w14:textFill>
              </w:rPr>
              <w:t>存在3处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环境保护目标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项目产生的各种污染物经有效措施治理后均能实现达标排放，对周边环境保护目标影响较小。</w:t>
            </w:r>
          </w:p>
          <w:p w14:paraId="1FDB5A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因此，评价认为本项目选址合理，建设可行。</w:t>
            </w:r>
          </w:p>
          <w:p w14:paraId="5944F2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0870BD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3836FD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70D8E5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180CD6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0335EB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697047C7">
            <w:pPr>
              <w:pStyle w:val="21"/>
              <w:rPr>
                <w:rFonts w:hint="default"/>
                <w:color w:val="000000" w:themeColor="text1"/>
                <w:highlight w:val="none"/>
                <w:lang w:val="en-US" w:eastAsia="zh-CN"/>
                <w14:textFill>
                  <w14:solidFill>
                    <w14:schemeClr w14:val="tx1"/>
                  </w14:solidFill>
                </w14:textFill>
              </w:rPr>
            </w:pPr>
          </w:p>
          <w:p w14:paraId="66FF93AD">
            <w:pPr>
              <w:ind w:firstLine="480"/>
              <w:rPr>
                <w:color w:val="000000" w:themeColor="text1"/>
                <w:kern w:val="0"/>
                <w:szCs w:val="21"/>
                <w:highlight w:val="none"/>
                <w14:textFill>
                  <w14:solidFill>
                    <w14:schemeClr w14:val="tx1"/>
                  </w14:solidFill>
                </w14:textFill>
              </w:rPr>
            </w:pPr>
          </w:p>
        </w:tc>
      </w:tr>
    </w:tbl>
    <w:p w14:paraId="77607F8E">
      <w:pPr>
        <w:ind w:firstLine="600"/>
        <w:jc w:val="center"/>
        <w:outlineLvl w:val="0"/>
        <w:rPr>
          <w:snapToGrid w:val="0"/>
          <w:color w:val="000000" w:themeColor="text1"/>
          <w:sz w:val="30"/>
          <w:szCs w:val="30"/>
          <w:highlight w:val="none"/>
          <w14:textFill>
            <w14:solidFill>
              <w14:schemeClr w14:val="tx1"/>
            </w14:solidFill>
          </w14:textFill>
        </w:rPr>
        <w:sectPr>
          <w:headerReference r:id="rId5" w:type="default"/>
          <w:footerReference r:id="rId6" w:type="default"/>
          <w:pgSz w:w="11906" w:h="16838"/>
          <w:pgMar w:top="1440" w:right="1080" w:bottom="1440" w:left="1080" w:header="851" w:footer="851" w:gutter="0"/>
          <w:pgBorders>
            <w:top w:val="none" w:sz="0" w:space="0"/>
            <w:left w:val="none" w:sz="0" w:space="0"/>
            <w:bottom w:val="none" w:sz="0" w:space="0"/>
            <w:right w:val="none" w:sz="0" w:space="0"/>
          </w:pgBorders>
          <w:pgNumType w:start="1"/>
          <w:cols w:space="720" w:num="1"/>
          <w:docGrid w:linePitch="312" w:charSpace="0"/>
        </w:sectPr>
      </w:pPr>
    </w:p>
    <w:p w14:paraId="62F12C1F">
      <w:pPr>
        <w:ind w:firstLine="600"/>
        <w:jc w:val="center"/>
        <w:outlineLvl w:val="0"/>
        <w:rPr>
          <w:snapToGrid w:val="0"/>
          <w:color w:val="000000" w:themeColor="text1"/>
          <w:sz w:val="30"/>
          <w:szCs w:val="30"/>
          <w:highlight w:val="none"/>
          <w14:textFill>
            <w14:solidFill>
              <w14:schemeClr w14:val="tx1"/>
            </w14:solidFill>
          </w14:textFill>
        </w:rPr>
      </w:pPr>
      <w:r>
        <w:rPr>
          <w:b/>
          <w:bCs/>
          <w:snapToGrid w:val="0"/>
          <w:color w:val="000000" w:themeColor="text1"/>
          <w:sz w:val="30"/>
          <w:szCs w:val="30"/>
          <w:highlight w:val="none"/>
          <w14:textFill>
            <w14:solidFill>
              <w14:schemeClr w14:val="tx1"/>
            </w14:solidFill>
          </w14:textFill>
        </w:rPr>
        <w:t>二、建设项目工程分析</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5"/>
        <w:gridCol w:w="494"/>
        <w:gridCol w:w="9013"/>
      </w:tblGrid>
      <w:tr w14:paraId="0DE648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55" w:type="dxa"/>
            <w:vAlign w:val="center"/>
          </w:tcPr>
          <w:p w14:paraId="76199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建设内容</w:t>
            </w:r>
          </w:p>
        </w:tc>
        <w:tc>
          <w:tcPr>
            <w:tcW w:w="9507" w:type="dxa"/>
            <w:gridSpan w:val="2"/>
          </w:tcPr>
          <w:p w14:paraId="0DB0A369">
            <w:pPr>
              <w:keepNext w:val="0"/>
              <w:keepLines w:val="0"/>
              <w:pageBreakBefore w:val="0"/>
              <w:kinsoku/>
              <w:wordWrap/>
              <w:overflowPunct/>
              <w:topLinePunct w:val="0"/>
              <w:autoSpaceDE/>
              <w:autoSpaceDN/>
              <w:bidi w:val="0"/>
              <w:spacing w:line="360" w:lineRule="auto"/>
              <w:ind w:left="0" w:leftChars="0" w:firstLine="0" w:firstLineChars="0"/>
              <w:textAlignment w:val="auto"/>
              <w:rPr>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2.</w:t>
            </w:r>
            <w:r>
              <w:rPr>
                <w:b/>
                <w:bCs/>
                <w:color w:val="000000" w:themeColor="text1"/>
                <w:szCs w:val="21"/>
                <w:highlight w:val="none"/>
                <w14:textFill>
                  <w14:solidFill>
                    <w14:schemeClr w14:val="tx1"/>
                  </w14:solidFill>
                </w14:textFill>
              </w:rPr>
              <w:t>1项目由来</w:t>
            </w:r>
          </w:p>
          <w:p w14:paraId="02EFDE9A">
            <w:pPr>
              <w:keepNext w:val="0"/>
              <w:keepLines w:val="0"/>
              <w:pageBreakBefore w:val="0"/>
              <w:widowControl/>
              <w:suppressLineNumbers w:val="0"/>
              <w:kinsoku/>
              <w:wordWrap/>
              <w:overflowPunct/>
              <w:topLinePunct w:val="0"/>
              <w:autoSpaceDE/>
              <w:autoSpaceDN/>
              <w:bidi w:val="0"/>
              <w:spacing w:line="360" w:lineRule="auto"/>
              <w:jc w:val="both"/>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重庆顶好食品有限公司是一家专业从事食品销售、食品生产、食用农产品初加工等业务的公司。根据企业发展需要，重庆顶好食品有限公司拟投资4500万元在重庆市合川区巴州路（合川区工业园区核心区HC23-003-1）投资建设“顶好食品基地建设”项目（以下称“本项目”）。本项目已取得重庆市合川区发展和改革委员会核发的《建设项目投资备案证》（项目代码：2301-500117-04-05-580380），项目采用分期建设的方式进行，本次仅建设一期（本次评价内容），建设内容包括：建设6栋多层框架结构厂房、1座污水处理设施、1栋门房、1栋多层框架结构配套楼及相关配套设施，设置农副食品加工生产线，年产农副产品3000吨（包括牛副产品2470吨、猪副产品180吨、鸭副产品170吨、鹅副产品180吨）。二期建设内容另行备案及另行办理环评手续。</w:t>
            </w:r>
          </w:p>
          <w:p w14:paraId="0A3A03A3">
            <w:pPr>
              <w:keepNext w:val="0"/>
              <w:keepLines w:val="0"/>
              <w:pageBreakBefore w:val="0"/>
              <w:widowControl/>
              <w:suppressLineNumbers w:val="0"/>
              <w:kinsoku/>
              <w:wordWrap/>
              <w:overflowPunct/>
              <w:topLinePunct w:val="0"/>
              <w:autoSpaceDE/>
              <w:autoSpaceDN/>
              <w:bidi w:val="0"/>
              <w:spacing w:line="360" w:lineRule="auto"/>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对照《建设项目环境影响评价分类管理名录》（2021版），项目属于</w:t>
            </w:r>
            <w:r>
              <w:rPr>
                <w:rFonts w:hint="eastAsia"/>
                <w:color w:val="000000" w:themeColor="text1"/>
                <w:sz w:val="24"/>
                <w:highlight w:val="none"/>
                <w14:textFill>
                  <w14:solidFill>
                    <w14:schemeClr w14:val="tx1"/>
                  </w14:solidFill>
                </w14:textFill>
              </w:rPr>
              <w:t>“十、农副食品加工业 18 屠宰及肉类加工</w:t>
            </w:r>
            <w:r>
              <w:rPr>
                <w:rFonts w:hint="eastAsia"/>
                <w:color w:val="000000" w:themeColor="text1"/>
                <w:sz w:val="24"/>
                <w:highlight w:val="none"/>
                <w:lang w:val="en-US" w:eastAsia="zh-CN"/>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其他肉类加工</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四十一、电力、热力生产和供应业 91热力生产和供应工程（包括建设单位自建自用的供热工程） 天然气锅炉总容量1吨/小时（0.7兆瓦）以上的”</w:t>
            </w:r>
            <w:r>
              <w:rPr>
                <w:color w:val="000000" w:themeColor="text1"/>
                <w:sz w:val="24"/>
                <w:highlight w:val="none"/>
                <w14:textFill>
                  <w14:solidFill>
                    <w14:schemeClr w14:val="tx1"/>
                  </w14:solidFill>
                </w14:textFill>
              </w:rPr>
              <w:t>，需编制环境影响报告表。我公司受建设单位委托，编制完成了《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顶好食品基地建设</w:t>
            </w:r>
            <w:r>
              <w:rPr>
                <w:color w:val="000000" w:themeColor="text1"/>
                <w:sz w:val="24"/>
                <w:highlight w:val="none"/>
                <w14:textFill>
                  <w14:solidFill>
                    <w14:schemeClr w14:val="tx1"/>
                  </w14:solidFill>
                </w14:textFill>
              </w:rPr>
              <w:t>项目环境影响报告表》，由建设单位报请环保主管部门审批，通过审批后的报告表及其批复文件将成为指导本项目建设和环境管理的重要依据</w:t>
            </w:r>
            <w:r>
              <w:rPr>
                <w:iCs/>
                <w:color w:val="000000" w:themeColor="text1"/>
                <w:sz w:val="24"/>
                <w:highlight w:val="none"/>
                <w14:textFill>
                  <w14:solidFill>
                    <w14:schemeClr w14:val="tx1"/>
                  </w14:solidFill>
                </w14:textFill>
              </w:rPr>
              <w:t>。</w:t>
            </w:r>
          </w:p>
          <w:p w14:paraId="7944D28F">
            <w:pPr>
              <w:keepNext w:val="0"/>
              <w:keepLines w:val="0"/>
              <w:pageBreakBefore w:val="0"/>
              <w:kinsoku/>
              <w:wordWrap/>
              <w:overflowPunct/>
              <w:topLinePunct w:val="0"/>
              <w:autoSpaceDE/>
              <w:autoSpaceDN/>
              <w:bidi w:val="0"/>
              <w:spacing w:line="360" w:lineRule="auto"/>
              <w:ind w:left="0" w:leftChars="0" w:firstLine="0" w:firstLineChars="0"/>
              <w:textAlignment w:val="auto"/>
              <w:rPr>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2.</w:t>
            </w:r>
            <w:r>
              <w:rPr>
                <w:b/>
                <w:bCs/>
                <w:color w:val="000000" w:themeColor="text1"/>
                <w:szCs w:val="21"/>
                <w:highlight w:val="none"/>
                <w14:textFill>
                  <w14:solidFill>
                    <w14:schemeClr w14:val="tx1"/>
                  </w14:solidFill>
                </w14:textFill>
              </w:rPr>
              <w:t>2项目概况</w:t>
            </w:r>
          </w:p>
          <w:p w14:paraId="2BBD6514">
            <w:pPr>
              <w:keepNext w:val="0"/>
              <w:keepLines w:val="0"/>
              <w:pageBreakBefore w:val="0"/>
              <w:kinsoku/>
              <w:wordWrap/>
              <w:overflowPunct/>
              <w:topLinePunct w:val="0"/>
              <w:autoSpaceDE/>
              <w:autoSpaceDN/>
              <w:bidi w:val="0"/>
              <w:spacing w:line="360" w:lineRule="auto"/>
              <w:ind w:firstLine="48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顶好食品基地建设</w:t>
            </w:r>
            <w:r>
              <w:rPr>
                <w:color w:val="000000" w:themeColor="text1"/>
                <w:szCs w:val="21"/>
                <w:highlight w:val="none"/>
                <w14:textFill>
                  <w14:solidFill>
                    <w14:schemeClr w14:val="tx1"/>
                  </w14:solidFill>
                </w14:textFill>
              </w:rPr>
              <w:t>；</w:t>
            </w:r>
          </w:p>
          <w:p w14:paraId="74F0EDBD">
            <w:pPr>
              <w:keepNext w:val="0"/>
              <w:keepLines w:val="0"/>
              <w:pageBreakBefore w:val="0"/>
              <w:kinsoku/>
              <w:wordWrap/>
              <w:overflowPunct/>
              <w:topLinePunct w:val="0"/>
              <w:autoSpaceDE/>
              <w:autoSpaceDN/>
              <w:bidi w:val="0"/>
              <w:spacing w:line="360" w:lineRule="auto"/>
              <w:ind w:firstLine="48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建设单位：</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重庆顶好食品有限公司</w:t>
            </w:r>
            <w:r>
              <w:rPr>
                <w:color w:val="000000" w:themeColor="text1"/>
                <w:szCs w:val="21"/>
                <w:highlight w:val="none"/>
                <w14:textFill>
                  <w14:solidFill>
                    <w14:schemeClr w14:val="tx1"/>
                  </w14:solidFill>
                </w14:textFill>
              </w:rPr>
              <w:t>；</w:t>
            </w:r>
          </w:p>
          <w:p w14:paraId="11A1D7F0">
            <w:pPr>
              <w:keepNext w:val="0"/>
              <w:keepLines w:val="0"/>
              <w:pageBreakBefore w:val="0"/>
              <w:kinsoku/>
              <w:wordWrap/>
              <w:overflowPunct/>
              <w:topLinePunct w:val="0"/>
              <w:autoSpaceDE/>
              <w:autoSpaceDN/>
              <w:bidi w:val="0"/>
              <w:spacing w:line="360" w:lineRule="auto"/>
              <w:ind w:firstLine="48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建设性质：</w:t>
            </w:r>
            <w:r>
              <w:rPr>
                <w:rFonts w:hint="eastAsia"/>
                <w:color w:val="000000" w:themeColor="text1"/>
                <w:szCs w:val="21"/>
                <w:highlight w:val="none"/>
                <w14:textFill>
                  <w14:solidFill>
                    <w14:schemeClr w14:val="tx1"/>
                  </w14:solidFill>
                </w14:textFill>
              </w:rPr>
              <w:t>新建</w:t>
            </w:r>
            <w:r>
              <w:rPr>
                <w:color w:val="000000" w:themeColor="text1"/>
                <w:szCs w:val="21"/>
                <w:highlight w:val="none"/>
                <w14:textFill>
                  <w14:solidFill>
                    <w14:schemeClr w14:val="tx1"/>
                  </w14:solidFill>
                </w14:textFill>
              </w:rPr>
              <w:t>；</w:t>
            </w:r>
          </w:p>
          <w:p w14:paraId="3F11F832">
            <w:pPr>
              <w:keepNext w:val="0"/>
              <w:keepLines w:val="0"/>
              <w:pageBreakBefore w:val="0"/>
              <w:kinsoku/>
              <w:wordWrap/>
              <w:overflowPunct/>
              <w:topLinePunct w:val="0"/>
              <w:autoSpaceDE/>
              <w:autoSpaceDN/>
              <w:bidi w:val="0"/>
              <w:spacing w:line="360" w:lineRule="auto"/>
              <w:ind w:firstLine="48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建设地点：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重庆市合川区巴州路</w:t>
            </w:r>
            <w:r>
              <w:rPr>
                <w:rFonts w:hint="eastAsia"/>
                <w:color w:val="000000" w:themeColor="text1"/>
                <w:highlight w:val="none"/>
                <w:lang w:eastAsia="zh-CN"/>
                <w14:textFill>
                  <w14:solidFill>
                    <w14:schemeClr w14:val="tx1"/>
                  </w14:solidFill>
                </w14:textFill>
              </w:rPr>
              <w:t>（合川区工业园区核心区</w:t>
            </w:r>
            <w:r>
              <w:rPr>
                <w:rFonts w:hint="eastAsia"/>
                <w:color w:val="000000" w:themeColor="text1"/>
                <w:highlight w:val="none"/>
                <w:lang w:val="en-US" w:eastAsia="zh-CN"/>
                <w14:textFill>
                  <w14:solidFill>
                    <w14:schemeClr w14:val="tx1"/>
                  </w14:solidFill>
                </w14:textFill>
              </w:rPr>
              <w:t>HC23-003-1</w:t>
            </w:r>
            <w:r>
              <w:rPr>
                <w:rFonts w:hint="eastAsia"/>
                <w:color w:val="000000" w:themeColor="text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w:t>
            </w:r>
          </w:p>
          <w:p w14:paraId="651F995F">
            <w:pPr>
              <w:keepNext w:val="0"/>
              <w:keepLines w:val="0"/>
              <w:pageBreakBefore w:val="0"/>
              <w:kinsoku/>
              <w:wordWrap/>
              <w:overflowPunct/>
              <w:topLinePunct w:val="0"/>
              <w:autoSpaceDE/>
              <w:autoSpaceDN/>
              <w:bidi w:val="0"/>
              <w:spacing w:line="360" w:lineRule="auto"/>
              <w:ind w:firstLine="480"/>
              <w:textAlignment w:val="auto"/>
              <w:rPr>
                <w:rFonts w:hint="eastAsia" w:eastAsia="宋体"/>
                <w:color w:val="000000" w:themeColor="text1"/>
                <w:szCs w:val="21"/>
                <w:highlight w:val="none"/>
                <w:vertAlign w:val="baseli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占地</w:t>
            </w:r>
            <w:r>
              <w:rPr>
                <w:color w:val="000000" w:themeColor="text1"/>
                <w:szCs w:val="21"/>
                <w:highlight w:val="none"/>
                <w14:textFill>
                  <w14:solidFill>
                    <w14:schemeClr w14:val="tx1"/>
                  </w14:solidFill>
                </w14:textFill>
              </w:rPr>
              <w:t>面积：</w:t>
            </w:r>
            <w:r>
              <w:rPr>
                <w:rFonts w:hint="eastAsia"/>
                <w:color w:val="000000" w:themeColor="text1"/>
                <w:highlight w:val="none"/>
                <w14:textFill>
                  <w14:solidFill>
                    <w14:schemeClr w14:val="tx1"/>
                  </w14:solidFill>
                </w14:textFill>
              </w:rPr>
              <w:t>项目占地</w:t>
            </w:r>
            <w:r>
              <w:rPr>
                <w:color w:val="000000" w:themeColor="text1"/>
                <w:highlight w:val="none"/>
                <w14:textFill>
                  <w14:solidFill>
                    <w14:schemeClr w14:val="tx1"/>
                  </w14:solidFill>
                </w14:textFill>
              </w:rPr>
              <w:t>面积</w:t>
            </w:r>
            <w:r>
              <w:rPr>
                <w:rFonts w:hint="eastAsia"/>
                <w:color w:val="000000" w:themeColor="text1"/>
                <w:highlight w:val="none"/>
                <w:lang w:val="en-US" w:eastAsia="zh-CN"/>
                <w14:textFill>
                  <w14:solidFill>
                    <w14:schemeClr w14:val="tx1"/>
                  </w14:solidFill>
                </w14:textFill>
              </w:rPr>
              <w:t>21626</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rFonts w:hint="eastAsia"/>
                <w:color w:val="000000" w:themeColor="text1"/>
                <w:szCs w:val="21"/>
                <w:highlight w:val="none"/>
                <w14:textFill>
                  <w14:solidFill>
                    <w14:schemeClr w14:val="tx1"/>
                  </w14:solidFill>
                </w14:textFill>
              </w:rPr>
              <w:t>，建筑面积</w:t>
            </w:r>
            <w:r>
              <w:rPr>
                <w:rFonts w:hint="eastAsia"/>
                <w:color w:val="000000" w:themeColor="text1"/>
                <w:szCs w:val="21"/>
                <w:highlight w:val="none"/>
                <w:lang w:val="en-US" w:eastAsia="zh-CN"/>
                <w14:textFill>
                  <w14:solidFill>
                    <w14:schemeClr w14:val="tx1"/>
                  </w14:solidFill>
                </w14:textFill>
              </w:rPr>
              <w:t>35291.44</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rFonts w:hint="eastAsia"/>
                <w:color w:val="000000" w:themeColor="text1"/>
                <w:szCs w:val="21"/>
                <w:highlight w:val="none"/>
                <w:vertAlign w:val="baseline"/>
                <w:lang w:eastAsia="zh-CN"/>
                <w14:textFill>
                  <w14:solidFill>
                    <w14:schemeClr w14:val="tx1"/>
                  </w14:solidFill>
                </w14:textFill>
              </w:rPr>
              <w:t>；</w:t>
            </w:r>
          </w:p>
          <w:p w14:paraId="44C590A1">
            <w:pPr>
              <w:keepNext w:val="0"/>
              <w:keepLines w:val="0"/>
              <w:pageBreakBefore w:val="0"/>
              <w:kinsoku/>
              <w:wordWrap/>
              <w:overflowPunct/>
              <w:topLinePunct w:val="0"/>
              <w:autoSpaceDE/>
              <w:autoSpaceDN/>
              <w:bidi w:val="0"/>
              <w:spacing w:line="360" w:lineRule="auto"/>
              <w:ind w:firstLine="48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项目投资：</w:t>
            </w:r>
            <w:r>
              <w:rPr>
                <w:rFonts w:hint="eastAsia"/>
                <w:color w:val="000000" w:themeColor="text1"/>
                <w:szCs w:val="21"/>
                <w:highlight w:val="none"/>
                <w14:textFill>
                  <w14:solidFill>
                    <w14:schemeClr w14:val="tx1"/>
                  </w14:solidFill>
                </w14:textFill>
              </w:rPr>
              <w:t>项目总投资</w:t>
            </w:r>
            <w:r>
              <w:rPr>
                <w:color w:val="000000" w:themeColor="text1"/>
                <w:szCs w:val="21"/>
                <w:highlight w:val="none"/>
                <w14:textFill>
                  <w14:solidFill>
                    <w14:schemeClr w14:val="tx1"/>
                  </w14:solidFill>
                </w14:textFill>
              </w:rPr>
              <w:t>4</w:t>
            </w:r>
            <w:r>
              <w:rPr>
                <w:rFonts w:hint="eastAsia"/>
                <w:color w:val="000000" w:themeColor="text1"/>
                <w:szCs w:val="21"/>
                <w:highlight w:val="none"/>
                <w:lang w:val="en-US" w:eastAsia="zh-CN"/>
                <w14:textFill>
                  <w14:solidFill>
                    <w14:schemeClr w14:val="tx1"/>
                  </w14:solidFill>
                </w14:textFill>
              </w:rPr>
              <w:t>0</w:t>
            </w:r>
            <w:r>
              <w:rPr>
                <w:color w:val="000000" w:themeColor="text1"/>
                <w:szCs w:val="21"/>
                <w:highlight w:val="none"/>
                <w14:textFill>
                  <w14:solidFill>
                    <w14:schemeClr w14:val="tx1"/>
                  </w14:solidFill>
                </w14:textFill>
              </w:rPr>
              <w:t>00万，其中环保投资合计</w:t>
            </w:r>
            <w:r>
              <w:rPr>
                <w:rFonts w:hint="eastAsia"/>
                <w:color w:val="000000" w:themeColor="text1"/>
                <w:szCs w:val="21"/>
                <w:highlight w:val="none"/>
                <w:lang w:val="en-US" w:eastAsia="zh-CN"/>
                <w14:textFill>
                  <w14:solidFill>
                    <w14:schemeClr w14:val="tx1"/>
                  </w14:solidFill>
                </w14:textFill>
              </w:rPr>
              <w:t>225</w:t>
            </w:r>
            <w:r>
              <w:rPr>
                <w:color w:val="000000" w:themeColor="text1"/>
                <w:szCs w:val="21"/>
                <w:highlight w:val="none"/>
                <w14:textFill>
                  <w14:solidFill>
                    <w14:schemeClr w14:val="tx1"/>
                  </w14:solidFill>
                </w14:textFill>
              </w:rPr>
              <w:t>万元，占总投资的</w:t>
            </w:r>
            <w:r>
              <w:rPr>
                <w:rFonts w:hint="eastAsia"/>
                <w:color w:val="000000" w:themeColor="text1"/>
                <w:szCs w:val="21"/>
                <w:highlight w:val="none"/>
                <w:lang w:val="en-US" w:eastAsia="zh-CN"/>
                <w14:textFill>
                  <w14:solidFill>
                    <w14:schemeClr w14:val="tx1"/>
                  </w14:solidFill>
                </w14:textFill>
              </w:rPr>
              <w:t>5.63</w:t>
            </w:r>
            <w:r>
              <w:rPr>
                <w:color w:val="000000" w:themeColor="text1"/>
                <w:szCs w:val="21"/>
                <w:highlight w:val="none"/>
                <w14:textFill>
                  <w14:solidFill>
                    <w14:schemeClr w14:val="tx1"/>
                  </w14:solidFill>
                </w14:textFill>
              </w:rPr>
              <w:t>%；</w:t>
            </w:r>
          </w:p>
          <w:p w14:paraId="6436D082">
            <w:pPr>
              <w:keepNext w:val="0"/>
              <w:keepLines w:val="0"/>
              <w:pageBreakBefore w:val="0"/>
              <w:kinsoku/>
              <w:wordWrap/>
              <w:overflowPunct/>
              <w:topLinePunct w:val="0"/>
              <w:autoSpaceDE/>
              <w:autoSpaceDN/>
              <w:bidi w:val="0"/>
              <w:spacing w:line="360" w:lineRule="auto"/>
              <w:ind w:firstLine="48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劳动定员及工作制度：劳动定员</w:t>
            </w:r>
            <w:r>
              <w:rPr>
                <w:rFonts w:hint="eastAsia"/>
                <w:color w:val="000000" w:themeColor="text1"/>
                <w:szCs w:val="21"/>
                <w:highlight w:val="none"/>
                <w:lang w:val="en-US" w:eastAsia="zh-CN"/>
                <w14:textFill>
                  <w14:solidFill>
                    <w14:schemeClr w14:val="tx1"/>
                  </w14:solidFill>
                </w14:textFill>
              </w:rPr>
              <w:t>1</w:t>
            </w:r>
            <w:r>
              <w:rPr>
                <w:color w:val="000000" w:themeColor="text1"/>
                <w:szCs w:val="21"/>
                <w:highlight w:val="none"/>
                <w14:textFill>
                  <w14:solidFill>
                    <w14:schemeClr w14:val="tx1"/>
                  </w14:solidFill>
                </w14:textFill>
              </w:rPr>
              <w:t>20人，年工作300天，1班8小时制；</w:t>
            </w:r>
          </w:p>
          <w:p w14:paraId="795556C7">
            <w:pPr>
              <w:keepNext w:val="0"/>
              <w:keepLines w:val="0"/>
              <w:pageBreakBefore w:val="0"/>
              <w:kinsoku/>
              <w:wordWrap/>
              <w:overflowPunct/>
              <w:topLinePunct w:val="0"/>
              <w:autoSpaceDE/>
              <w:autoSpaceDN/>
              <w:bidi w:val="0"/>
              <w:spacing w:line="360" w:lineRule="auto"/>
              <w:ind w:firstLine="48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建设周期：</w:t>
            </w:r>
            <w:r>
              <w:rPr>
                <w:rFonts w:hint="eastAsia"/>
                <w:color w:val="000000" w:themeColor="text1"/>
                <w:szCs w:val="21"/>
                <w:highlight w:val="none"/>
                <w:lang w:val="en-US" w:eastAsia="zh-CN"/>
                <w14:textFill>
                  <w14:solidFill>
                    <w14:schemeClr w14:val="tx1"/>
                  </w14:solidFill>
                </w14:textFill>
              </w:rPr>
              <w:t>12</w:t>
            </w:r>
            <w:r>
              <w:rPr>
                <w:color w:val="000000" w:themeColor="text1"/>
                <w:szCs w:val="21"/>
                <w:highlight w:val="none"/>
                <w14:textFill>
                  <w14:solidFill>
                    <w14:schemeClr w14:val="tx1"/>
                  </w14:solidFill>
                </w14:textFill>
              </w:rPr>
              <w:t>个月。</w:t>
            </w:r>
          </w:p>
          <w:p w14:paraId="291ED14A">
            <w:pPr>
              <w:keepNext w:val="0"/>
              <w:keepLines w:val="0"/>
              <w:pageBreakBefore w:val="0"/>
              <w:kinsoku/>
              <w:wordWrap/>
              <w:overflowPunct/>
              <w:topLinePunct w:val="0"/>
              <w:autoSpaceDE/>
              <w:autoSpaceDN/>
              <w:bidi w:val="0"/>
              <w:spacing w:line="360" w:lineRule="auto"/>
              <w:ind w:left="0" w:leftChars="0" w:firstLine="0" w:firstLineChars="0"/>
              <w:textAlignment w:val="auto"/>
              <w:rPr>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2.3</w:t>
            </w:r>
            <w:r>
              <w:rPr>
                <w:b/>
                <w:bCs/>
                <w:color w:val="000000" w:themeColor="text1"/>
                <w:szCs w:val="21"/>
                <w:highlight w:val="none"/>
                <w14:textFill>
                  <w14:solidFill>
                    <w14:schemeClr w14:val="tx1"/>
                  </w14:solidFill>
                </w14:textFill>
              </w:rPr>
              <w:t>项目组成</w:t>
            </w:r>
          </w:p>
          <w:p w14:paraId="53A10AE3">
            <w:pPr>
              <w:keepNext w:val="0"/>
              <w:keepLines w:val="0"/>
              <w:pageBreakBefore w:val="0"/>
              <w:kinsoku/>
              <w:wordWrap/>
              <w:overflowPunct/>
              <w:topLinePunct w:val="0"/>
              <w:autoSpaceDE/>
              <w:autoSpaceDN/>
              <w:bidi w:val="0"/>
              <w:spacing w:line="360" w:lineRule="auto"/>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项目组成情况见表2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-1。</w:t>
            </w:r>
          </w:p>
          <w:p w14:paraId="3A28AF52">
            <w:pPr>
              <w:pStyle w:val="4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color w:val="000000" w:themeColor="text1"/>
                <w:highlight w:val="none"/>
                <w14:textFill>
                  <w14:solidFill>
                    <w14:schemeClr w14:val="tx1"/>
                  </w14:solidFill>
                </w14:textFill>
              </w:rPr>
            </w:pPr>
          </w:p>
          <w:p w14:paraId="491D189A">
            <w:pPr>
              <w:pStyle w:val="4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color w:val="000000" w:themeColor="text1"/>
                <w:highlight w:val="none"/>
                <w14:textFill>
                  <w14:solidFill>
                    <w14:schemeClr w14:val="tx1"/>
                  </w14:solidFill>
                </w14:textFill>
              </w:rPr>
            </w:pPr>
          </w:p>
          <w:p w14:paraId="3CE42044">
            <w:pPr>
              <w:pStyle w:val="4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-1   建设内容及规模</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0"/>
              <w:gridCol w:w="1180"/>
              <w:gridCol w:w="6729"/>
              <w:gridCol w:w="663"/>
            </w:tblGrid>
            <w:tr w14:paraId="5696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1870" w:type="dxa"/>
                  <w:gridSpan w:val="2"/>
                  <w:vAlign w:val="center"/>
                </w:tcPr>
                <w:p w14:paraId="55A4D4A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项目组成</w:t>
                  </w:r>
                </w:p>
              </w:tc>
              <w:tc>
                <w:tcPr>
                  <w:tcW w:w="6729" w:type="dxa"/>
                  <w:vAlign w:val="center"/>
                </w:tcPr>
                <w:p w14:paraId="600EB67B">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主要建设内容</w:t>
                  </w:r>
                </w:p>
              </w:tc>
              <w:tc>
                <w:tcPr>
                  <w:tcW w:w="663" w:type="dxa"/>
                  <w:vAlign w:val="center"/>
                </w:tcPr>
                <w:p w14:paraId="00E137A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备注</w:t>
                  </w:r>
                </w:p>
              </w:tc>
            </w:tr>
            <w:tr w14:paraId="63E3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restart"/>
                  <w:vAlign w:val="center"/>
                </w:tcPr>
                <w:p w14:paraId="2C98256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主体</w:t>
                  </w:r>
                </w:p>
                <w:p w14:paraId="731002D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工程</w:t>
                  </w:r>
                </w:p>
              </w:tc>
              <w:tc>
                <w:tcPr>
                  <w:tcW w:w="1180" w:type="dxa"/>
                  <w:vAlign w:val="center"/>
                </w:tcPr>
                <w:p w14:paraId="7A494679">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楼</w:t>
                  </w:r>
                </w:p>
              </w:tc>
              <w:tc>
                <w:tcPr>
                  <w:tcW w:w="6729" w:type="dxa"/>
                  <w:vAlign w:val="center"/>
                </w:tcPr>
                <w:p w14:paraId="6E16948D">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位于厂区南侧，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-1F~4</w:t>
                  </w:r>
                  <w:r>
                    <w:rPr>
                      <w:rFonts w:hint="default" w:ascii="Times New Roman" w:hAnsi="Times New Roman" w:cs="Times New Roman"/>
                      <w:color w:val="000000" w:themeColor="text1"/>
                      <w:sz w:val="21"/>
                      <w:szCs w:val="21"/>
                      <w:highlight w:val="none"/>
                      <w14:textFill>
                        <w14:solidFill>
                          <w14:schemeClr w14:val="tx1"/>
                        </w14:solidFill>
                      </w14:textFill>
                    </w:rPr>
                    <w:t>F，</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17.10m，</w:t>
                  </w:r>
                  <w:r>
                    <w:rPr>
                      <w:rFonts w:hint="default" w:ascii="Times New Roman" w:hAnsi="Times New Roman" w:cs="Times New Roman"/>
                      <w:color w:val="000000" w:themeColor="text1"/>
                      <w:sz w:val="21"/>
                      <w:szCs w:val="21"/>
                      <w:highlight w:val="none"/>
                      <w14:textFill>
                        <w14:solidFill>
                          <w14:schemeClr w14:val="tx1"/>
                        </w14:solidFill>
                      </w14:textFill>
                    </w:rPr>
                    <w:t>建筑面积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4053.57</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-1F为车库，1F~4F为</w:t>
                  </w:r>
                  <w:r>
                    <w:rPr>
                      <w:rFonts w:hint="default" w:ascii="Times New Roman" w:hAnsi="Times New Roman" w:cs="Times New Roman"/>
                      <w:color w:val="000000" w:themeColor="text1"/>
                      <w:sz w:val="21"/>
                      <w:szCs w:val="21"/>
                      <w:highlight w:val="none"/>
                      <w:lang w:eastAsia="zh-CN"/>
                      <w14:textFill>
                        <w14:solidFill>
                          <w14:schemeClr w14:val="tx1"/>
                        </w14:solidFill>
                      </w14:textFill>
                    </w:rPr>
                    <w:t>空置厂房</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663" w:type="dxa"/>
                  <w:vAlign w:val="center"/>
                </w:tcPr>
                <w:p w14:paraId="2AB16E6A">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r w14:paraId="72D4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2B26AF4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180" w:type="dxa"/>
                  <w:vAlign w:val="center"/>
                </w:tcPr>
                <w:p w14:paraId="16B5D202">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kern w:val="0"/>
                      <w:sz w:val="21"/>
                      <w:szCs w:val="21"/>
                      <w:highlight w:val="none"/>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楼</w:t>
                  </w:r>
                </w:p>
              </w:tc>
              <w:tc>
                <w:tcPr>
                  <w:tcW w:w="6729" w:type="dxa"/>
                  <w:vAlign w:val="center"/>
                </w:tcPr>
                <w:p w14:paraId="6484A07D">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位于厂区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南</w:t>
                  </w:r>
                  <w:r>
                    <w:rPr>
                      <w:rFonts w:hint="default" w:ascii="Times New Roman" w:hAnsi="Times New Roman" w:cs="Times New Roman"/>
                      <w:color w:val="000000" w:themeColor="text1"/>
                      <w:sz w:val="21"/>
                      <w:szCs w:val="21"/>
                      <w:highlight w:val="none"/>
                      <w14:textFill>
                        <w14:solidFill>
                          <w14:schemeClr w14:val="tx1"/>
                        </w14:solidFill>
                      </w14:textFill>
                    </w:rPr>
                    <w:t>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14:textFill>
                        <w14:solidFill>
                          <w14:schemeClr w14:val="tx1"/>
                        </w14:solidFill>
                      </w14:textFill>
                    </w:rPr>
                    <w:t>F，</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16.80m，</w:t>
                  </w:r>
                  <w:r>
                    <w:rPr>
                      <w:rFonts w:hint="default" w:ascii="Times New Roman" w:hAnsi="Times New Roman" w:cs="Times New Roman"/>
                      <w:color w:val="000000" w:themeColor="text1"/>
                      <w:sz w:val="21"/>
                      <w:szCs w:val="21"/>
                      <w:highlight w:val="none"/>
                      <w14:textFill>
                        <w14:solidFill>
                          <w14:schemeClr w14:val="tx1"/>
                        </w14:solidFill>
                      </w14:textFill>
                    </w:rPr>
                    <w:t>建筑面积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4240.92</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空置厂房</w:t>
                  </w:r>
                  <w:r>
                    <w:rPr>
                      <w:rFonts w:hint="eastAsia" w:cs="Times New Roman"/>
                      <w:color w:val="000000" w:themeColor="text1"/>
                      <w:sz w:val="21"/>
                      <w:szCs w:val="21"/>
                      <w:highlight w:val="none"/>
                      <w:lang w:eastAsia="zh-CN"/>
                      <w14:textFill>
                        <w14:solidFill>
                          <w14:schemeClr w14:val="tx1"/>
                        </w14:solidFill>
                      </w14:textFill>
                    </w:rPr>
                    <w:t>。</w:t>
                  </w:r>
                </w:p>
              </w:tc>
              <w:tc>
                <w:tcPr>
                  <w:tcW w:w="663" w:type="dxa"/>
                  <w:vAlign w:val="center"/>
                </w:tcPr>
                <w:p w14:paraId="6470C3B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r w14:paraId="72DA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6936F87B">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180" w:type="dxa"/>
                  <w:vAlign w:val="center"/>
                </w:tcPr>
                <w:p w14:paraId="4DC71D16">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highlight w:val="none"/>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楼</w:t>
                  </w:r>
                </w:p>
              </w:tc>
              <w:tc>
                <w:tcPr>
                  <w:tcW w:w="6729" w:type="dxa"/>
                  <w:vAlign w:val="center"/>
                </w:tcPr>
                <w:p w14:paraId="22DD9EB3">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位于厂区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北</w:t>
                  </w:r>
                  <w:r>
                    <w:rPr>
                      <w:rFonts w:hint="default" w:ascii="Times New Roman" w:hAnsi="Times New Roman" w:cs="Times New Roman"/>
                      <w:color w:val="000000" w:themeColor="text1"/>
                      <w:sz w:val="21"/>
                      <w:szCs w:val="21"/>
                      <w:highlight w:val="none"/>
                      <w14:textFill>
                        <w14:solidFill>
                          <w14:schemeClr w14:val="tx1"/>
                        </w14:solidFill>
                      </w14:textFill>
                    </w:rPr>
                    <w:t>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F，</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16.80m，</w:t>
                  </w:r>
                  <w:r>
                    <w:rPr>
                      <w:rFonts w:hint="default" w:ascii="Times New Roman" w:hAnsi="Times New Roman" w:cs="Times New Roman"/>
                      <w:color w:val="000000" w:themeColor="text1"/>
                      <w:sz w:val="21"/>
                      <w:szCs w:val="21"/>
                      <w:highlight w:val="none"/>
                      <w14:textFill>
                        <w14:solidFill>
                          <w14:schemeClr w14:val="tx1"/>
                        </w14:solidFill>
                      </w14:textFill>
                    </w:rPr>
                    <w:t>建筑面积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2991.09</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冻库，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用于保存原料，储存量约200t，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采用压缩机制冷的方式，采用</w:t>
                  </w:r>
                  <w:r>
                    <w:rPr>
                      <w:rFonts w:hint="default" w:ascii="Times New Roman" w:hAnsi="Times New Roman" w:cs="Times New Roman"/>
                      <w:color w:val="000000" w:themeColor="text1"/>
                      <w:sz w:val="21"/>
                      <w:szCs w:val="21"/>
                      <w:highlight w:val="none"/>
                      <w14:textFill>
                        <w14:solidFill>
                          <w14:schemeClr w14:val="tx1"/>
                        </w14:solidFill>
                      </w14:textFill>
                    </w:rPr>
                    <w:t>R404a制冷剂</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作为制冷剂</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冻库温度约为-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sz w:val="21"/>
                      <w:szCs w:val="21"/>
                      <w:highlight w:val="none"/>
                      <w14:textFill>
                        <w14:solidFill>
                          <w14:schemeClr w14:val="tx1"/>
                        </w14:solidFill>
                      </w14:textFill>
                    </w:rPr>
                    <w:t>摄氏度</w:t>
                  </w:r>
                  <w:r>
                    <w:rPr>
                      <w:rFonts w:hint="eastAsia" w:cs="Times New Roman"/>
                      <w:color w:val="000000" w:themeColor="text1"/>
                      <w:sz w:val="21"/>
                      <w:szCs w:val="21"/>
                      <w:highlight w:val="none"/>
                      <w:lang w:eastAsia="zh-CN"/>
                      <w14:textFill>
                        <w14:solidFill>
                          <w14:schemeClr w14:val="tx1"/>
                        </w14:solidFill>
                      </w14:textFill>
                    </w:rPr>
                    <w:t>。</w:t>
                  </w:r>
                </w:p>
              </w:tc>
              <w:tc>
                <w:tcPr>
                  <w:tcW w:w="663" w:type="dxa"/>
                  <w:vAlign w:val="center"/>
                </w:tcPr>
                <w:p w14:paraId="2158705E">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r w14:paraId="200C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4EE039DB">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180" w:type="dxa"/>
                  <w:vAlign w:val="center"/>
                </w:tcPr>
                <w:p w14:paraId="63D2913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kern w:val="0"/>
                      <w:sz w:val="21"/>
                      <w:szCs w:val="21"/>
                      <w:highlight w:val="none"/>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楼</w:t>
                  </w:r>
                </w:p>
              </w:tc>
              <w:tc>
                <w:tcPr>
                  <w:tcW w:w="6729" w:type="dxa"/>
                  <w:vAlign w:val="center"/>
                </w:tcPr>
                <w:p w14:paraId="2BFF686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位于厂区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北</w:t>
                  </w:r>
                  <w:r>
                    <w:rPr>
                      <w:rFonts w:hint="default" w:ascii="Times New Roman" w:hAnsi="Times New Roman" w:cs="Times New Roman"/>
                      <w:color w:val="000000" w:themeColor="text1"/>
                      <w:sz w:val="21"/>
                      <w:szCs w:val="21"/>
                      <w:highlight w:val="none"/>
                      <w14:textFill>
                        <w14:solidFill>
                          <w14:schemeClr w14:val="tx1"/>
                        </w14:solidFill>
                      </w14:textFill>
                    </w:rPr>
                    <w:t>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14:textFill>
                        <w14:solidFill>
                          <w14:schemeClr w14:val="tx1"/>
                        </w14:solidFill>
                      </w14:textFill>
                    </w:rPr>
                    <w:t>F，</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16.80m，</w:t>
                  </w:r>
                  <w:r>
                    <w:rPr>
                      <w:rFonts w:hint="default" w:ascii="Times New Roman" w:hAnsi="Times New Roman" w:cs="Times New Roman"/>
                      <w:color w:val="000000" w:themeColor="text1"/>
                      <w:sz w:val="21"/>
                      <w:szCs w:val="21"/>
                      <w:highlight w:val="none"/>
                      <w14:textFill>
                        <w14:solidFill>
                          <w14:schemeClr w14:val="tx1"/>
                        </w14:solidFill>
                      </w14:textFill>
                    </w:rPr>
                    <w:t>建筑面积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4240.92</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空置厂房</w:t>
                  </w:r>
                  <w:r>
                    <w:rPr>
                      <w:rFonts w:hint="eastAsia" w:cs="Times New Roman"/>
                      <w:color w:val="000000" w:themeColor="text1"/>
                      <w:sz w:val="21"/>
                      <w:szCs w:val="21"/>
                      <w:highlight w:val="none"/>
                      <w:lang w:eastAsia="zh-CN"/>
                      <w14:textFill>
                        <w14:solidFill>
                          <w14:schemeClr w14:val="tx1"/>
                        </w14:solidFill>
                      </w14:textFill>
                    </w:rPr>
                    <w:t>。</w:t>
                  </w:r>
                </w:p>
              </w:tc>
              <w:tc>
                <w:tcPr>
                  <w:tcW w:w="663" w:type="dxa"/>
                  <w:vAlign w:val="center"/>
                </w:tcPr>
                <w:p w14:paraId="187ABD99">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r w14:paraId="27FE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3F1FD3E9">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180" w:type="dxa"/>
                  <w:vMerge w:val="restart"/>
                  <w:vAlign w:val="center"/>
                </w:tcPr>
                <w:p w14:paraId="01C735B2">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7</w:t>
                  </w:r>
                  <w:r>
                    <w:rPr>
                      <w:rFonts w:hint="default" w:ascii="Times New Roman" w:hAnsi="Times New Roman" w:cs="Times New Roman"/>
                      <w:color w:val="000000" w:themeColor="text1"/>
                      <w:kern w:val="0"/>
                      <w:sz w:val="21"/>
                      <w:szCs w:val="21"/>
                      <w:highlight w:val="none"/>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楼（</w:t>
                  </w:r>
                  <w:r>
                    <w:rPr>
                      <w:rFonts w:hint="default" w:ascii="Times New Roman" w:hAnsi="Times New Roman" w:cs="Times New Roman"/>
                      <w:color w:val="000000" w:themeColor="text1"/>
                      <w:sz w:val="21"/>
                      <w:szCs w:val="21"/>
                      <w:highlight w:val="none"/>
                      <w14:textFill>
                        <w14:solidFill>
                          <w14:schemeClr w14:val="tx1"/>
                        </w14:solidFill>
                      </w14:textFill>
                    </w:rPr>
                    <w:t>位于厂区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北</w:t>
                  </w:r>
                  <w:r>
                    <w:rPr>
                      <w:rFonts w:hint="default" w:ascii="Times New Roman" w:hAnsi="Times New Roman" w:cs="Times New Roman"/>
                      <w:color w:val="000000" w:themeColor="text1"/>
                      <w:sz w:val="21"/>
                      <w:szCs w:val="21"/>
                      <w:highlight w:val="none"/>
                      <w14:textFill>
                        <w14:solidFill>
                          <w14:schemeClr w14:val="tx1"/>
                        </w14:solidFill>
                      </w14:textFill>
                    </w:rPr>
                    <w:t>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F，</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21.30m，</w:t>
                  </w:r>
                  <w:r>
                    <w:rPr>
                      <w:rFonts w:hint="default" w:ascii="Times New Roman" w:hAnsi="Times New Roman" w:cs="Times New Roman"/>
                      <w:color w:val="000000" w:themeColor="text1"/>
                      <w:sz w:val="21"/>
                      <w:szCs w:val="21"/>
                      <w:highlight w:val="none"/>
                      <w14:textFill>
                        <w14:solidFill>
                          <w14:schemeClr w14:val="tx1"/>
                        </w14:solidFill>
                      </w14:textFill>
                    </w:rPr>
                    <w:t>建筑面积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8818.74</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w:t>
                  </w:r>
                </w:p>
              </w:tc>
              <w:tc>
                <w:tcPr>
                  <w:tcW w:w="6729" w:type="dxa"/>
                  <w:vAlign w:val="center"/>
                </w:tcPr>
                <w:p w14:paraId="531C6110">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1F，层高约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m，建筑面积约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2016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打件出货区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、内包装间、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涨发间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、员工更衣室、冻库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、配料间、添加剂库、直播间、办公室</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r>
                    <w:rPr>
                      <w:rFonts w:hint="eastAsia" w:cs="Times New Roman"/>
                      <w:color w:val="000000" w:themeColor="text1"/>
                      <w:sz w:val="21"/>
                      <w:szCs w:val="21"/>
                      <w:highlight w:val="none"/>
                      <w:lang w:val="en-US" w:eastAsia="zh-CN"/>
                      <w14:textFill>
                        <w14:solidFill>
                          <w14:schemeClr w14:val="tx1"/>
                        </w14:solidFill>
                      </w14:textFill>
                    </w:rPr>
                    <w:t>。</w:t>
                  </w:r>
                </w:p>
              </w:tc>
              <w:tc>
                <w:tcPr>
                  <w:tcW w:w="663" w:type="dxa"/>
                  <w:vAlign w:val="center"/>
                </w:tcPr>
                <w:p w14:paraId="15A8825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r w14:paraId="55BF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24C5D90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180" w:type="dxa"/>
                  <w:vMerge w:val="continue"/>
                  <w:vAlign w:val="center"/>
                </w:tcPr>
                <w:p w14:paraId="4078CDC6">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729" w:type="dxa"/>
                  <w:vAlign w:val="center"/>
                </w:tcPr>
                <w:p w14:paraId="1B8D4E3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F，层高约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m，建筑面积约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2016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布置内外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材库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、内包装间、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涨发间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、员工更衣室、冻库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、配料间、添加剂暂存间、工具间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r>
                    <w:rPr>
                      <w:rFonts w:hint="eastAsia" w:cs="Times New Roman"/>
                      <w:color w:val="000000" w:themeColor="text1"/>
                      <w:sz w:val="21"/>
                      <w:szCs w:val="21"/>
                      <w:highlight w:val="none"/>
                      <w:lang w:val="en-US" w:eastAsia="zh-CN"/>
                      <w14:textFill>
                        <w14:solidFill>
                          <w14:schemeClr w14:val="tx1"/>
                        </w14:solidFill>
                      </w14:textFill>
                    </w:rPr>
                    <w:t>。</w:t>
                  </w:r>
                </w:p>
              </w:tc>
              <w:tc>
                <w:tcPr>
                  <w:tcW w:w="663" w:type="dxa"/>
                  <w:vAlign w:val="center"/>
                </w:tcPr>
                <w:p w14:paraId="603FCE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6D4A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11F8F6C4">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180" w:type="dxa"/>
                  <w:vMerge w:val="continue"/>
                  <w:vAlign w:val="center"/>
                </w:tcPr>
                <w:p w14:paraId="519ED2AF">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729" w:type="dxa"/>
                  <w:vAlign w:val="center"/>
                </w:tcPr>
                <w:p w14:paraId="117DA743">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F，层高约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m，建筑面积约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2016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布置内外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材库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打码间、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内包装间、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涨发间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、员工更衣室、</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配料间、添加剂暂存间、工具间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r>
                    <w:rPr>
                      <w:rFonts w:hint="eastAsia" w:cs="Times New Roman"/>
                      <w:color w:val="000000" w:themeColor="text1"/>
                      <w:sz w:val="21"/>
                      <w:szCs w:val="21"/>
                      <w:highlight w:val="none"/>
                      <w:lang w:val="en-US" w:eastAsia="zh-CN"/>
                      <w14:textFill>
                        <w14:solidFill>
                          <w14:schemeClr w14:val="tx1"/>
                        </w14:solidFill>
                      </w14:textFill>
                    </w:rPr>
                    <w:t>。</w:t>
                  </w:r>
                </w:p>
              </w:tc>
              <w:tc>
                <w:tcPr>
                  <w:tcW w:w="663" w:type="dxa"/>
                  <w:vAlign w:val="center"/>
                </w:tcPr>
                <w:p w14:paraId="35E5FD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68B9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90" w:type="dxa"/>
                  <w:vMerge w:val="continue"/>
                  <w:vAlign w:val="center"/>
                </w:tcPr>
                <w:p w14:paraId="62BDFAE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180" w:type="dxa"/>
                  <w:vMerge w:val="continue"/>
                  <w:vAlign w:val="center"/>
                </w:tcPr>
                <w:p w14:paraId="3830531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729" w:type="dxa"/>
                  <w:vAlign w:val="center"/>
                </w:tcPr>
                <w:p w14:paraId="35BAFF7F">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F，层高约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m，建筑面积约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2016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预处理间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、冻库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、煮制间、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员工更衣室、</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配料间、添加剂暂存间、工具间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r>
                    <w:rPr>
                      <w:rFonts w:hint="eastAsia" w:cs="Times New Roman"/>
                      <w:color w:val="000000" w:themeColor="text1"/>
                      <w:sz w:val="21"/>
                      <w:szCs w:val="21"/>
                      <w:highlight w:val="none"/>
                      <w:lang w:val="en-US" w:eastAsia="zh-CN"/>
                      <w14:textFill>
                        <w14:solidFill>
                          <w14:schemeClr w14:val="tx1"/>
                        </w14:solidFill>
                      </w14:textFill>
                    </w:rPr>
                    <w:t>。</w:t>
                  </w:r>
                </w:p>
              </w:tc>
              <w:tc>
                <w:tcPr>
                  <w:tcW w:w="663" w:type="dxa"/>
                  <w:vAlign w:val="center"/>
                </w:tcPr>
                <w:p w14:paraId="40A3E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1B2F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5D5D1BD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180" w:type="dxa"/>
                  <w:vMerge w:val="continue"/>
                  <w:vAlign w:val="center"/>
                </w:tcPr>
                <w:p w14:paraId="03A30F6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729" w:type="dxa"/>
                  <w:vAlign w:val="center"/>
                </w:tcPr>
                <w:p w14:paraId="6A394707">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F，层高约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m，建筑面积约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754.74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布置</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泡沫箱间、包装袋间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r>
                    <w:rPr>
                      <w:rFonts w:hint="eastAsia" w:cs="Times New Roman"/>
                      <w:color w:val="000000" w:themeColor="text1"/>
                      <w:sz w:val="21"/>
                      <w:szCs w:val="21"/>
                      <w:highlight w:val="none"/>
                      <w:lang w:val="en-US" w:eastAsia="zh-CN"/>
                      <w14:textFill>
                        <w14:solidFill>
                          <w14:schemeClr w14:val="tx1"/>
                        </w14:solidFill>
                      </w14:textFill>
                    </w:rPr>
                    <w:t>。</w:t>
                  </w:r>
                </w:p>
              </w:tc>
              <w:tc>
                <w:tcPr>
                  <w:tcW w:w="663" w:type="dxa"/>
                  <w:vAlign w:val="center"/>
                </w:tcPr>
                <w:p w14:paraId="2CE570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3C3F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restart"/>
                  <w:vAlign w:val="center"/>
                </w:tcPr>
                <w:p w14:paraId="52633A7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辅助</w:t>
                  </w:r>
                </w:p>
                <w:p w14:paraId="19F13D8F">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工程</w:t>
                  </w:r>
                </w:p>
              </w:tc>
              <w:tc>
                <w:tcPr>
                  <w:tcW w:w="1180" w:type="dxa"/>
                  <w:shd w:val="clear" w:color="auto" w:fill="auto"/>
                  <w:vAlign w:val="center"/>
                </w:tcPr>
                <w:p w14:paraId="2170991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楼</w:t>
                  </w:r>
                </w:p>
              </w:tc>
              <w:tc>
                <w:tcPr>
                  <w:tcW w:w="6729" w:type="dxa"/>
                  <w:shd w:val="clear" w:color="auto" w:fill="auto"/>
                  <w:vAlign w:val="center"/>
                </w:tcPr>
                <w:p w14:paraId="67F5577F">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位于厂区南侧，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F，</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17.10m。</w:t>
                  </w:r>
                  <w:r>
                    <w:rPr>
                      <w:rFonts w:hint="default" w:ascii="Times New Roman" w:hAnsi="Times New Roman" w:cs="Times New Roman"/>
                      <w:color w:val="000000" w:themeColor="text1"/>
                      <w:sz w:val="21"/>
                      <w:szCs w:val="21"/>
                      <w:highlight w:val="none"/>
                      <w14:textFill>
                        <w14:solidFill>
                          <w14:schemeClr w14:val="tx1"/>
                        </w14:solidFill>
                      </w14:textFill>
                    </w:rPr>
                    <w:t>建筑面积</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4825.69</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1F为办公室、检验室和研发室，检验室布设前处理台、天平室等，主要</w:t>
                  </w:r>
                  <w:r>
                    <w:rPr>
                      <w:rFonts w:hint="eastAsia" w:cs="Times New Roman"/>
                      <w:color w:val="000000" w:themeColor="text1"/>
                      <w:sz w:val="21"/>
                      <w:szCs w:val="21"/>
                      <w:highlight w:val="none"/>
                      <w:lang w:val="en-US" w:eastAsia="zh-CN"/>
                      <w14:textFill>
                        <w14:solidFill>
                          <w14:schemeClr w14:val="tx1"/>
                        </w14:solidFill>
                      </w14:textFill>
                    </w:rPr>
                    <w:t>用于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成品感官</w:t>
                  </w:r>
                  <w:r>
                    <w:rPr>
                      <w:rFonts w:hint="eastAsia" w:cs="Times New Roman"/>
                      <w:color w:val="000000" w:themeColor="text1"/>
                      <w:sz w:val="21"/>
                      <w:szCs w:val="21"/>
                      <w:highlight w:val="none"/>
                      <w:lang w:val="en-US" w:eastAsia="zh-CN"/>
                      <w14:textFill>
                        <w14:solidFill>
                          <w14:schemeClr w14:val="tx1"/>
                        </w14:solidFill>
                      </w14:textFill>
                    </w:rPr>
                    <w:t>检验</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，研发室布设餐具柜、消毒柜、冰柜、留样冰柜、水槽</w:t>
                  </w:r>
                  <w:r>
                    <w:rPr>
                      <w:rFonts w:hint="eastAsia"/>
                      <w:color w:val="000000" w:themeColor="text1"/>
                      <w:highlight w:val="none"/>
                      <w:lang w:eastAsia="zh-CN"/>
                      <w14:textFill>
                        <w14:solidFill>
                          <w14:schemeClr w14:val="tx1"/>
                        </w14:solidFill>
                      </w14:textFill>
                    </w:rPr>
                    <w:t>等，用于研发涨发新产品或通过改变生产条件提高产品的产量、质量，研发工艺与车间生产工艺流程一致，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2~5F宿舍，可供约150人住宿</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663" w:type="dxa"/>
                  <w:vAlign w:val="center"/>
                </w:tcPr>
                <w:p w14:paraId="0383E00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1EB4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49F3BC6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shd w:val="clear" w:color="auto" w:fill="auto"/>
                  <w:vAlign w:val="center"/>
                </w:tcPr>
                <w:p w14:paraId="63313638">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3#</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楼</w:t>
                  </w:r>
                </w:p>
              </w:tc>
              <w:tc>
                <w:tcPr>
                  <w:tcW w:w="6729" w:type="dxa"/>
                  <w:shd w:val="clear" w:color="auto" w:fill="auto"/>
                  <w:vAlign w:val="center"/>
                </w:tcPr>
                <w:p w14:paraId="34B82709">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位于厂区</w:t>
                  </w:r>
                  <w:r>
                    <w:rPr>
                      <w:rFonts w:hint="default" w:ascii="Times New Roman" w:hAnsi="Times New Roman" w:cs="Times New Roman"/>
                      <w:color w:val="000000" w:themeColor="text1"/>
                      <w:sz w:val="21"/>
                      <w:szCs w:val="21"/>
                      <w:highlight w:val="none"/>
                      <w:lang w:eastAsia="zh-CN"/>
                      <w14:textFill>
                        <w14:solidFill>
                          <w14:schemeClr w14:val="tx1"/>
                        </w14:solidFill>
                      </w14:textFill>
                    </w:rPr>
                    <w:t>南</w:t>
                  </w:r>
                  <w:r>
                    <w:rPr>
                      <w:rFonts w:hint="default" w:ascii="Times New Roman" w:hAnsi="Times New Roman" w:cs="Times New Roman"/>
                      <w:color w:val="000000" w:themeColor="text1"/>
                      <w:sz w:val="21"/>
                      <w:szCs w:val="21"/>
                      <w:highlight w:val="none"/>
                      <w14:textFill>
                        <w14:solidFill>
                          <w14:schemeClr w14:val="tx1"/>
                        </w14:solidFill>
                      </w14:textFill>
                    </w:rPr>
                    <w:t>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14:textFill>
                        <w14:solidFill>
                          <w14:schemeClr w14:val="tx1"/>
                        </w14:solidFill>
                      </w14:textFill>
                    </w:rPr>
                    <w:t>F，</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16.80m，</w:t>
                  </w:r>
                  <w:r>
                    <w:rPr>
                      <w:rFonts w:hint="default" w:ascii="Times New Roman" w:hAnsi="Times New Roman" w:cs="Times New Roman"/>
                      <w:color w:val="000000" w:themeColor="text1"/>
                      <w:sz w:val="21"/>
                      <w:szCs w:val="21"/>
                      <w:highlight w:val="none"/>
                      <w14:textFill>
                        <w14:solidFill>
                          <w14:schemeClr w14:val="tx1"/>
                        </w14:solidFill>
                      </w14:textFill>
                    </w:rPr>
                    <w:t>建筑面积约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4240.92</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1F为</w:t>
                  </w:r>
                  <w:r>
                    <w:rPr>
                      <w:rFonts w:hint="default" w:ascii="Times New Roman" w:hAnsi="Times New Roman" w:cs="Times New Roman"/>
                      <w:color w:val="000000" w:themeColor="text1"/>
                      <w:sz w:val="21"/>
                      <w:szCs w:val="21"/>
                      <w:highlight w:val="none"/>
                      <w:lang w:eastAsia="zh-CN"/>
                      <w14:textFill>
                        <w14:solidFill>
                          <w14:schemeClr w14:val="tx1"/>
                        </w14:solidFill>
                      </w14:textFill>
                    </w:rPr>
                    <w:t>食堂，设置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3个基准灶台，供3餐，</w:t>
                  </w:r>
                  <w:r>
                    <w:rPr>
                      <w:rFonts w:hint="default" w:ascii="Times New Roman" w:hAnsi="Times New Roman" w:cs="Times New Roman"/>
                      <w:color w:val="000000" w:themeColor="text1"/>
                      <w:sz w:val="21"/>
                      <w:szCs w:val="21"/>
                      <w:highlight w:val="none"/>
                      <w:lang w:eastAsia="zh-CN"/>
                      <w14:textFill>
                        <w14:solidFill>
                          <w14:schemeClr w14:val="tx1"/>
                        </w14:solidFill>
                      </w14:textFill>
                    </w:rPr>
                    <w:t>可供</w:t>
                  </w:r>
                  <w:r>
                    <w:rPr>
                      <w:rFonts w:hint="eastAsia"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0人</w:t>
                  </w:r>
                  <w:r>
                    <w:rPr>
                      <w:rFonts w:hint="default" w:ascii="Times New Roman" w:hAnsi="Times New Roman" w:cs="Times New Roman"/>
                      <w:color w:val="000000" w:themeColor="text1"/>
                      <w:sz w:val="21"/>
                      <w:szCs w:val="21"/>
                      <w:highlight w:val="none"/>
                      <w14:textFill>
                        <w14:solidFill>
                          <w14:schemeClr w14:val="tx1"/>
                        </w14:solidFill>
                      </w14:textFill>
                    </w:rPr>
                    <w:t>用餐。</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2~4F</w:t>
                  </w:r>
                  <w:r>
                    <w:rPr>
                      <w:rFonts w:hint="default" w:ascii="Times New Roman" w:hAnsi="Times New Roman" w:cs="Times New Roman"/>
                      <w:color w:val="000000" w:themeColor="text1"/>
                      <w:sz w:val="21"/>
                      <w:szCs w:val="21"/>
                      <w:highlight w:val="none"/>
                      <w:lang w:eastAsia="zh-CN"/>
                      <w14:textFill>
                        <w14:solidFill>
                          <w14:schemeClr w14:val="tx1"/>
                        </w14:solidFill>
                      </w14:textFill>
                    </w:rPr>
                    <w:t>空置</w:t>
                  </w:r>
                  <w:r>
                    <w:rPr>
                      <w:rFonts w:hint="eastAsia" w:cs="Times New Roman"/>
                      <w:color w:val="000000" w:themeColor="text1"/>
                      <w:sz w:val="21"/>
                      <w:szCs w:val="21"/>
                      <w:highlight w:val="none"/>
                      <w:lang w:eastAsia="zh-CN"/>
                      <w14:textFill>
                        <w14:solidFill>
                          <w14:schemeClr w14:val="tx1"/>
                        </w14:solidFill>
                      </w14:textFill>
                    </w:rPr>
                    <w:t>。</w:t>
                  </w:r>
                </w:p>
              </w:tc>
              <w:tc>
                <w:tcPr>
                  <w:tcW w:w="663" w:type="dxa"/>
                  <w:vAlign w:val="center"/>
                </w:tcPr>
                <w:p w14:paraId="4F129719">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r w14:paraId="3A98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6BE9724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shd w:val="clear" w:color="auto" w:fill="auto"/>
                  <w:vAlign w:val="center"/>
                </w:tcPr>
                <w:p w14:paraId="58E14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加药</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间</w:t>
                  </w:r>
                </w:p>
              </w:tc>
              <w:tc>
                <w:tcPr>
                  <w:tcW w:w="6729" w:type="dxa"/>
                  <w:shd w:val="clear" w:color="auto" w:fill="auto"/>
                  <w:vAlign w:val="center"/>
                </w:tcPr>
                <w:p w14:paraId="10C737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污水处理站内设置1间加药间，主要存放污水处理</w:t>
                  </w:r>
                  <w:r>
                    <w:rPr>
                      <w:rFonts w:hint="eastAsia" w:cs="Times New Roman"/>
                      <w:color w:val="000000" w:themeColor="text1"/>
                      <w:kern w:val="2"/>
                      <w:sz w:val="21"/>
                      <w:szCs w:val="21"/>
                      <w:highlight w:val="none"/>
                      <w:lang w:val="en-US" w:eastAsia="zh-CN" w:bidi="ar-SA"/>
                      <w14:textFill>
                        <w14:solidFill>
                          <w14:schemeClr w14:val="tx1"/>
                        </w14:solidFill>
                      </w14:textFill>
                    </w:rPr>
                    <w:t>及厂区消毒</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需要的药剂，如PAC、PAM</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消毒剂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w:t>
                  </w: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63" w:type="dxa"/>
                  <w:vAlign w:val="center"/>
                </w:tcPr>
                <w:p w14:paraId="32E56AB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r w14:paraId="160F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restart"/>
                  <w:vAlign w:val="center"/>
                </w:tcPr>
                <w:p w14:paraId="568D21F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公用</w:t>
                  </w:r>
                </w:p>
                <w:p w14:paraId="4738992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工程</w:t>
                  </w:r>
                </w:p>
              </w:tc>
              <w:tc>
                <w:tcPr>
                  <w:tcW w:w="1180" w:type="dxa"/>
                  <w:vAlign w:val="center"/>
                </w:tcPr>
                <w:p w14:paraId="71809AC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供电系统</w:t>
                  </w:r>
                </w:p>
              </w:tc>
              <w:tc>
                <w:tcPr>
                  <w:tcW w:w="6729" w:type="dxa"/>
                  <w:vAlign w:val="center"/>
                </w:tcPr>
                <w:p w14:paraId="6533D22E">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依托园区现有市政电网</w:t>
                  </w:r>
                  <w:r>
                    <w:rPr>
                      <w:rFonts w:hint="default" w:ascii="Times New Roman" w:hAnsi="Times New Roman" w:cs="Times New Roman"/>
                      <w:color w:val="000000" w:themeColor="text1"/>
                      <w:kern w:val="0"/>
                      <w:sz w:val="21"/>
                      <w:szCs w:val="21"/>
                      <w:highlight w:val="none"/>
                      <w14:textFill>
                        <w14:solidFill>
                          <w14:schemeClr w14:val="tx1"/>
                        </w14:solidFill>
                      </w14:textFill>
                    </w:rPr>
                    <w:t>，配备1台容量500KW的备用柴油发电机，供电电压为0.5/0.22kV</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w:t>
                  </w:r>
                </w:p>
              </w:tc>
              <w:tc>
                <w:tcPr>
                  <w:tcW w:w="663" w:type="dxa"/>
                  <w:vAlign w:val="center"/>
                </w:tcPr>
                <w:p w14:paraId="3939D12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w:t>
                  </w:r>
                </w:p>
              </w:tc>
            </w:tr>
            <w:tr w14:paraId="106E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6515349F">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40DFD00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供水系统</w:t>
                  </w:r>
                </w:p>
              </w:tc>
              <w:tc>
                <w:tcPr>
                  <w:tcW w:w="6729" w:type="dxa"/>
                  <w:vAlign w:val="center"/>
                </w:tcPr>
                <w:p w14:paraId="03FAAA28">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依托园区现有市政供水管网。</w:t>
                  </w:r>
                </w:p>
              </w:tc>
              <w:tc>
                <w:tcPr>
                  <w:tcW w:w="663" w:type="dxa"/>
                  <w:vAlign w:val="center"/>
                </w:tcPr>
                <w:p w14:paraId="0F78C3E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w:t>
                  </w:r>
                </w:p>
              </w:tc>
            </w:tr>
            <w:tr w14:paraId="1968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1D448E8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448AC1A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排水系统</w:t>
                  </w:r>
                </w:p>
              </w:tc>
              <w:tc>
                <w:tcPr>
                  <w:tcW w:w="6729" w:type="dxa"/>
                  <w:vAlign w:val="center"/>
                </w:tcPr>
                <w:p w14:paraId="2117088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雨污分流，</w:t>
                  </w:r>
                  <w:r>
                    <w:rPr>
                      <w:rFonts w:hint="eastAsia" w:cs="Times New Roman"/>
                      <w:color w:val="000000" w:themeColor="text1"/>
                      <w:sz w:val="21"/>
                      <w:szCs w:val="21"/>
                      <w:highlight w:val="none"/>
                      <w:lang w:eastAsia="zh-CN"/>
                      <w14:textFill>
                        <w14:solidFill>
                          <w14:schemeClr w14:val="tx1"/>
                        </w14:solidFill>
                      </w14:textFill>
                    </w:rPr>
                    <w:t>雨水排入雨水管网；</w:t>
                  </w:r>
                  <w:r>
                    <w:rPr>
                      <w:rFonts w:hint="default" w:ascii="Times New Roman" w:hAnsi="Times New Roman" w:cs="Times New Roman"/>
                      <w:color w:val="000000" w:themeColor="text1"/>
                      <w:sz w:val="21"/>
                      <w:szCs w:val="21"/>
                      <w:highlight w:val="none"/>
                      <w14:textFill>
                        <w14:solidFill>
                          <w14:schemeClr w14:val="tx1"/>
                        </w14:solidFill>
                      </w14:textFill>
                    </w:rPr>
                    <w:t>生产废水、生活污水、食堂废水经厂区污水处理站处理，COD、BOD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、SS、动植物油执行《肉类加工工业水污染物排放标准》（GB13457-92）表3中肉制品加工三级标准，氨氮、总磷、总氮执行《污水排入城镇下水道水质标准》（GB/T 31962-2015）B级标准</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LAS执行《污水综合排放标准》（GB8978-96）中三级标准</w:t>
                  </w:r>
                  <w:r>
                    <w:rPr>
                      <w:rFonts w:hint="default" w:ascii="Times New Roman" w:hAnsi="Times New Roman" w:cs="Times New Roman"/>
                      <w:color w:val="000000" w:themeColor="text1"/>
                      <w:sz w:val="21"/>
                      <w:szCs w:val="21"/>
                      <w:highlight w:val="none"/>
                      <w14:textFill>
                        <w14:solidFill>
                          <w14:schemeClr w14:val="tx1"/>
                        </w14:solidFill>
                      </w14:textFill>
                    </w:rPr>
                    <w:t>，处理达标后，接入市政管网排至园区污水处理厂，最终处理达到《城镇污水处理厂污染物排放标准》（GB18918-2002）一级B标准后排入建梁河</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663" w:type="dxa"/>
                  <w:vAlign w:val="center"/>
                </w:tcPr>
                <w:p w14:paraId="121E902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4139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64377F9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5441CF3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空压机</w:t>
                  </w:r>
                </w:p>
              </w:tc>
              <w:tc>
                <w:tcPr>
                  <w:tcW w:w="6729" w:type="dxa"/>
                  <w:vAlign w:val="center"/>
                </w:tcPr>
                <w:p w14:paraId="1F17E0D0">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7#楼5F平台设置1座无油空压机。</w:t>
                  </w:r>
                </w:p>
              </w:tc>
              <w:tc>
                <w:tcPr>
                  <w:tcW w:w="663" w:type="dxa"/>
                  <w:vAlign w:val="center"/>
                </w:tcPr>
                <w:p w14:paraId="205674C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5415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4373F2C4">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47D9076B">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锅炉</w:t>
                  </w:r>
                </w:p>
              </w:tc>
              <w:tc>
                <w:tcPr>
                  <w:tcW w:w="6729" w:type="dxa"/>
                  <w:vAlign w:val="center"/>
                </w:tcPr>
                <w:p w14:paraId="7126051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7#楼5F平台（平台高度16.8m）设置1台2t/h的蒸汽锅炉，</w:t>
                  </w:r>
                  <w:r>
                    <w:rPr>
                      <w:rFonts w:hint="default" w:ascii="Times New Roman" w:hAnsi="Times New Roman" w:cs="Times New Roman"/>
                      <w:color w:val="000000" w:themeColor="text1"/>
                      <w:sz w:val="21"/>
                      <w:szCs w:val="21"/>
                      <w:highlight w:val="none"/>
                      <w14:textFill>
                        <w14:solidFill>
                          <w14:schemeClr w14:val="tx1"/>
                        </w14:solidFill>
                      </w14:textFill>
                    </w:rPr>
                    <w:t>采用低氮燃烧器</w:t>
                  </w:r>
                  <w:r>
                    <w:rPr>
                      <w:rFonts w:hint="eastAsia" w:cs="Times New Roman"/>
                      <w:color w:val="000000" w:themeColor="text1"/>
                      <w:sz w:val="21"/>
                      <w:szCs w:val="21"/>
                      <w:highlight w:val="none"/>
                      <w:lang w:eastAsia="zh-CN"/>
                      <w14:textFill>
                        <w14:solidFill>
                          <w14:schemeClr w14:val="tx1"/>
                        </w14:solidFill>
                      </w14:textFill>
                    </w:rPr>
                    <w:t>。</w:t>
                  </w:r>
                </w:p>
              </w:tc>
              <w:tc>
                <w:tcPr>
                  <w:tcW w:w="663" w:type="dxa"/>
                  <w:vAlign w:val="center"/>
                </w:tcPr>
                <w:p w14:paraId="2F9482C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14:paraId="496F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9" w:hRule="atLeast"/>
                <w:jc w:val="center"/>
              </w:trPr>
              <w:tc>
                <w:tcPr>
                  <w:tcW w:w="690" w:type="dxa"/>
                  <w:vMerge w:val="continue"/>
                  <w:vAlign w:val="center"/>
                </w:tcPr>
                <w:p w14:paraId="0490D8F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6F17ABDE">
                  <w:pPr>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消防系统</w:t>
                  </w:r>
                </w:p>
              </w:tc>
              <w:tc>
                <w:tcPr>
                  <w:tcW w:w="6729" w:type="dxa"/>
                  <w:vAlign w:val="center"/>
                </w:tcPr>
                <w:p w14:paraId="7407F2A1">
                  <w:pPr>
                    <w:keepLines w:val="0"/>
                    <w:pageBreakBefore w:val="0"/>
                    <w:widowControl w:val="0"/>
                    <w:kinsoku/>
                    <w:wordWrap/>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bCs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he-IL"/>
                      <w14:textFill>
                        <w14:solidFill>
                          <w14:schemeClr w14:val="tx1"/>
                        </w14:solidFill>
                      </w14:textFill>
                    </w:rPr>
                    <w:t>消防水泵</w:t>
                  </w:r>
                  <w:r>
                    <w:rPr>
                      <w:rFonts w:hint="eastAsia"/>
                      <w:color w:val="000000" w:themeColor="text1"/>
                      <w:highlight w:val="none"/>
                      <w:lang w:eastAsia="zh-CN"/>
                      <w14:textFill>
                        <w14:solidFill>
                          <w14:schemeClr w14:val="tx1"/>
                        </w14:solidFill>
                      </w14:textFill>
                    </w:rPr>
                    <w:t>房</w:t>
                  </w:r>
                  <w:r>
                    <w:rPr>
                      <w:rFonts w:hint="default" w:ascii="Times New Roman" w:hAnsi="Times New Roman" w:cs="Times New Roman"/>
                      <w:color w:val="000000" w:themeColor="text1"/>
                      <w:kern w:val="0"/>
                      <w:sz w:val="21"/>
                      <w:szCs w:val="21"/>
                      <w:highlight w:val="none"/>
                      <w:lang w:bidi="he-IL"/>
                      <w14:textFill>
                        <w14:solidFill>
                          <w14:schemeClr w14:val="tx1"/>
                        </w14:solidFill>
                      </w14:textFill>
                    </w:rPr>
                    <w:t>，占地约1</w:t>
                  </w:r>
                  <w:r>
                    <w:rPr>
                      <w:rFonts w:hint="default" w:ascii="Times New Roman" w:hAnsi="Times New Roman" w:cs="Times New Roman"/>
                      <w:color w:val="000000" w:themeColor="text1"/>
                      <w:kern w:val="0"/>
                      <w:sz w:val="21"/>
                      <w:szCs w:val="21"/>
                      <w:highlight w:val="none"/>
                      <w:lang w:val="en-US" w:eastAsia="zh-CN" w:bidi="he-IL"/>
                      <w14:textFill>
                        <w14:solidFill>
                          <w14:schemeClr w14:val="tx1"/>
                        </w14:solidFill>
                      </w14:textFill>
                    </w:rPr>
                    <w:t>00</w:t>
                  </w:r>
                  <w:r>
                    <w:rPr>
                      <w:rFonts w:hint="default" w:ascii="Times New Roman" w:hAnsi="Times New Roman" w:cs="Times New Roman"/>
                      <w:color w:val="000000" w:themeColor="text1"/>
                      <w:kern w:val="0"/>
                      <w:sz w:val="21"/>
                      <w:szCs w:val="21"/>
                      <w:highlight w:val="none"/>
                      <w:lang w:bidi="he-IL"/>
                      <w14:textFill>
                        <w14:solidFill>
                          <w14:schemeClr w14:val="tx1"/>
                        </w14:solidFill>
                      </w14:textFill>
                    </w:rPr>
                    <w:t>m</w:t>
                  </w:r>
                  <w:r>
                    <w:rPr>
                      <w:rFonts w:hint="default" w:ascii="Times New Roman" w:hAnsi="Times New Roman" w:cs="Times New Roman"/>
                      <w:color w:val="000000" w:themeColor="text1"/>
                      <w:kern w:val="0"/>
                      <w:sz w:val="21"/>
                      <w:szCs w:val="21"/>
                      <w:highlight w:val="none"/>
                      <w:vertAlign w:val="superscript"/>
                      <w:lang w:bidi="he-IL"/>
                      <w14:textFill>
                        <w14:solidFill>
                          <w14:schemeClr w14:val="tx1"/>
                        </w14:solidFill>
                      </w14:textFill>
                    </w:rPr>
                    <w:t>2</w:t>
                  </w:r>
                  <w:r>
                    <w:rPr>
                      <w:rFonts w:hint="default" w:ascii="Times New Roman" w:hAnsi="Times New Roman" w:cs="Times New Roman"/>
                      <w:color w:val="000000" w:themeColor="text1"/>
                      <w:kern w:val="0"/>
                      <w:sz w:val="21"/>
                      <w:szCs w:val="21"/>
                      <w:highlight w:val="none"/>
                      <w:lang w:bidi="he-IL"/>
                      <w14:textFill>
                        <w14:solidFill>
                          <w14:schemeClr w14:val="tx1"/>
                        </w14:solidFill>
                      </w14:textFill>
                    </w:rPr>
                    <w:t>，消防水池，容积约</w:t>
                  </w:r>
                  <w:r>
                    <w:rPr>
                      <w:rFonts w:hint="default" w:ascii="Times New Roman" w:hAnsi="Times New Roman" w:cs="Times New Roman"/>
                      <w:color w:val="000000" w:themeColor="text1"/>
                      <w:kern w:val="0"/>
                      <w:sz w:val="21"/>
                      <w:szCs w:val="21"/>
                      <w:highlight w:val="none"/>
                      <w:lang w:val="en-US" w:eastAsia="zh-CN" w:bidi="he-IL"/>
                      <w14:textFill>
                        <w14:solidFill>
                          <w14:schemeClr w14:val="tx1"/>
                        </w14:solidFill>
                      </w14:textFill>
                    </w:rPr>
                    <w:t>306</w:t>
                  </w:r>
                  <w:r>
                    <w:rPr>
                      <w:rFonts w:hint="default" w:ascii="Times New Roman" w:hAnsi="Times New Roman" w:cs="Times New Roman"/>
                      <w:color w:val="000000" w:themeColor="text1"/>
                      <w:kern w:val="0"/>
                      <w:sz w:val="21"/>
                      <w:szCs w:val="21"/>
                      <w:highlight w:val="none"/>
                      <w:lang w:bidi="he-IL"/>
                      <w14:textFill>
                        <w14:solidFill>
                          <w14:schemeClr w14:val="tx1"/>
                        </w14:solidFill>
                      </w14:textFill>
                    </w:rPr>
                    <w:t>m</w:t>
                  </w:r>
                  <w:r>
                    <w:rPr>
                      <w:rFonts w:hint="default" w:ascii="Times New Roman" w:hAnsi="Times New Roman" w:cs="Times New Roman"/>
                      <w:color w:val="000000" w:themeColor="text1"/>
                      <w:kern w:val="0"/>
                      <w:sz w:val="21"/>
                      <w:szCs w:val="21"/>
                      <w:highlight w:val="none"/>
                      <w:vertAlign w:val="superscript"/>
                      <w:lang w:bidi="he-IL"/>
                      <w14:textFill>
                        <w14:solidFill>
                          <w14:schemeClr w14:val="tx1"/>
                        </w14:solidFill>
                      </w14:textFill>
                    </w:rPr>
                    <w:t>3</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w:t>
                  </w:r>
                </w:p>
              </w:tc>
              <w:tc>
                <w:tcPr>
                  <w:tcW w:w="663" w:type="dxa"/>
                  <w:vAlign w:val="center"/>
                </w:tcPr>
                <w:p w14:paraId="3B791168">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4AD0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restart"/>
                  <w:vAlign w:val="center"/>
                </w:tcPr>
                <w:p w14:paraId="51A31D0F">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环保</w:t>
                  </w:r>
                </w:p>
                <w:p w14:paraId="4CF1C78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工程</w:t>
                  </w:r>
                </w:p>
              </w:tc>
              <w:tc>
                <w:tcPr>
                  <w:tcW w:w="1180" w:type="dxa"/>
                  <w:vAlign w:val="center"/>
                </w:tcPr>
                <w:p w14:paraId="077728A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废水</w:t>
                  </w:r>
                </w:p>
              </w:tc>
              <w:tc>
                <w:tcPr>
                  <w:tcW w:w="6729" w:type="dxa"/>
                  <w:vAlign w:val="center"/>
                </w:tcPr>
                <w:p w14:paraId="182BF7FB">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污水处理站处理能力为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750</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/d，处理工艺为</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格栅+</w:t>
                  </w:r>
                  <w:r>
                    <w:rPr>
                      <w:rFonts w:hint="eastAsia" w:cs="Times New Roman"/>
                      <w:snapToGrid w:val="0"/>
                      <w:color w:val="000000" w:themeColor="text1"/>
                      <w:kern w:val="0"/>
                      <w:sz w:val="21"/>
                      <w:szCs w:val="21"/>
                      <w:highlight w:val="none"/>
                      <w:lang w:eastAsia="zh-CN"/>
                      <w14:textFill>
                        <w14:solidFill>
                          <w14:schemeClr w14:val="tx1"/>
                        </w14:solidFill>
                      </w14:textFill>
                    </w:rPr>
                    <w:t>隔油</w:t>
                  </w:r>
                  <w:r>
                    <w:rPr>
                      <w:rFonts w:hint="eastAsia"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调节+气浮+UASB+一级接触氧化+沉淀+二级接触氧化+沉淀</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生产废水、生活污水、食堂废水经厂区污水处理站处理，COD、BOD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、SS、动植物油执行《肉类加工工业水污染物排放标准》（GB13457-92）表3中肉制品加工三级标准，氨氮、总磷、总氮执行《污水排入城镇下水道水质标准》（GB/T 31962-2015）B级标准</w:t>
                  </w:r>
                  <w:r>
                    <w:rPr>
                      <w:rFonts w:hint="eastAsia" w:ascii="宋体" w:hAnsi="宋体" w:eastAsia="宋体" w:cs="宋体"/>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LAS执行《污水综合排放标准》（GB8978-96）中三级标准，处理达标后，接入市政管网排至园区污水处理厂，最终处理达到《城镇污水处理厂污染物排放标准》（GB18918-2002）一级B标准后排入建梁河。</w:t>
                  </w:r>
                </w:p>
              </w:tc>
              <w:tc>
                <w:tcPr>
                  <w:tcW w:w="663" w:type="dxa"/>
                  <w:vAlign w:val="center"/>
                </w:tcPr>
                <w:p w14:paraId="4AF67BEA">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3C6B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72D43CB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3AF184BA">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6729" w:type="dxa"/>
                  <w:vAlign w:val="center"/>
                </w:tcPr>
                <w:p w14:paraId="56035593">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蒸汽</w:t>
                  </w:r>
                  <w:r>
                    <w:rPr>
                      <w:rFonts w:hint="default" w:ascii="Times New Roman" w:hAnsi="Times New Roman" w:cs="Times New Roman"/>
                      <w:color w:val="000000" w:themeColor="text1"/>
                      <w:sz w:val="21"/>
                      <w:szCs w:val="21"/>
                      <w:highlight w:val="none"/>
                      <w14:textFill>
                        <w14:solidFill>
                          <w14:schemeClr w14:val="tx1"/>
                        </w14:solidFill>
                      </w14:textFill>
                    </w:rPr>
                    <w:t>锅炉采用低氮燃烧器，锅炉天然气燃烧废气经</w:t>
                  </w:r>
                  <w:r>
                    <w:rPr>
                      <w:rFonts w:hint="eastAsia" w:cs="Times New Roman"/>
                      <w:color w:val="000000" w:themeColor="text1"/>
                      <w:sz w:val="21"/>
                      <w:szCs w:val="21"/>
                      <w:highlight w:val="none"/>
                      <w:lang w:val="en-US" w:eastAsia="zh-CN"/>
                      <w14:textFill>
                        <w14:solidFill>
                          <w14:schemeClr w14:val="tx1"/>
                        </w14:solidFill>
                      </w14:textFill>
                    </w:rPr>
                    <w:t>19m</w:t>
                  </w:r>
                  <w:r>
                    <w:rPr>
                      <w:rFonts w:hint="default" w:ascii="Times New Roman" w:hAnsi="Times New Roman" w:cs="Times New Roman"/>
                      <w:color w:val="000000" w:themeColor="text1"/>
                      <w:sz w:val="21"/>
                      <w:szCs w:val="21"/>
                      <w:highlight w:val="none"/>
                      <w14:textFill>
                        <w14:solidFill>
                          <w14:schemeClr w14:val="tx1"/>
                        </w14:solidFill>
                      </w14:textFill>
                    </w:rPr>
                    <w:t>高排气筒排放。食堂油烟经油烟净化机处理后引至屋顶排放。柴油发电机废气经管道收集后引至站房顶部排放</w:t>
                  </w:r>
                  <w:r>
                    <w:rPr>
                      <w:rFonts w:hint="eastAsia" w:cs="Times New Roman"/>
                      <w:color w:val="000000" w:themeColor="text1"/>
                      <w:sz w:val="21"/>
                      <w:szCs w:val="21"/>
                      <w:highlight w:val="none"/>
                      <w:lang w:eastAsia="zh-CN"/>
                      <w14:textFill>
                        <w14:solidFill>
                          <w14:schemeClr w14:val="tx1"/>
                        </w14:solidFill>
                      </w14:textFill>
                    </w:rPr>
                    <w:t>。</w:t>
                  </w:r>
                </w:p>
              </w:tc>
              <w:tc>
                <w:tcPr>
                  <w:tcW w:w="663" w:type="dxa"/>
                  <w:vAlign w:val="center"/>
                </w:tcPr>
                <w:p w14:paraId="0DEA7D3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11CE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90" w:type="dxa"/>
                  <w:vMerge w:val="continue"/>
                  <w:vAlign w:val="center"/>
                </w:tcPr>
                <w:p w14:paraId="5F2E89B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435BFC2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固体废物</w:t>
                  </w:r>
                </w:p>
              </w:tc>
              <w:tc>
                <w:tcPr>
                  <w:tcW w:w="6729" w:type="dxa"/>
                  <w:vAlign w:val="center"/>
                </w:tcPr>
                <w:p w14:paraId="3172B098">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一般固废：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污水处理站东侧</w:t>
                  </w:r>
                  <w:r>
                    <w:rPr>
                      <w:rFonts w:hint="default" w:ascii="Times New Roman" w:hAnsi="Times New Roman" w:eastAsia="宋体" w:cs="Times New Roman"/>
                      <w:color w:val="000000" w:themeColor="text1"/>
                      <w:sz w:val="21"/>
                      <w:szCs w:val="21"/>
                      <w:highlight w:val="none"/>
                      <w14:textFill>
                        <w14:solidFill>
                          <w14:schemeClr w14:val="tx1"/>
                        </w14:solidFill>
                      </w14:textFill>
                    </w:rPr>
                    <w:t>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一处</w:t>
                  </w:r>
                  <w:r>
                    <w:rPr>
                      <w:rFonts w:hint="default" w:ascii="Times New Roman" w:hAnsi="Times New Roman" w:eastAsia="宋体" w:cs="Times New Roman"/>
                      <w:color w:val="000000" w:themeColor="text1"/>
                      <w:sz w:val="21"/>
                      <w:szCs w:val="21"/>
                      <w:highlight w:val="none"/>
                      <w14:textFill>
                        <w14:solidFill>
                          <w14:schemeClr w14:val="tx1"/>
                        </w14:solidFill>
                      </w14:textFill>
                    </w:rPr>
                    <w:t>一般固废暂存点（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14:textFill>
                        <w14:solidFill>
                          <w14:schemeClr w14:val="tx1"/>
                        </w14:solidFill>
                      </w14:textFill>
                    </w:rPr>
                    <w:t>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），产生的各类一般固废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w:t>
                  </w:r>
                  <w:r>
                    <w:rPr>
                      <w:rFonts w:hint="default" w:ascii="Times New Roman" w:hAnsi="Times New Roman" w:eastAsia="宋体" w:cs="Times New Roman"/>
                      <w:color w:val="000000" w:themeColor="text1"/>
                      <w:sz w:val="21"/>
                      <w:szCs w:val="21"/>
                      <w:highlight w:val="none"/>
                      <w14:textFill>
                        <w14:solidFill>
                          <w14:schemeClr w14:val="tx1"/>
                        </w14:solidFill>
                      </w14:textFill>
                    </w:rPr>
                    <w:t>收集后，定期委外处理。</w:t>
                  </w:r>
                </w:p>
                <w:p w14:paraId="68D31E5A">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污水处理站东侧</w:t>
                  </w:r>
                  <w:r>
                    <w:rPr>
                      <w:rFonts w:hint="default" w:ascii="Times New Roman" w:hAnsi="Times New Roman" w:eastAsia="宋体" w:cs="Times New Roman"/>
                      <w:color w:val="000000" w:themeColor="text1"/>
                      <w:sz w:val="21"/>
                      <w:szCs w:val="21"/>
                      <w:highlight w:val="none"/>
                      <w14:textFill>
                        <w14:solidFill>
                          <w14:schemeClr w14:val="tx1"/>
                        </w14:solidFill>
                      </w14:textFill>
                    </w:rPr>
                    <w:t>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1处</w:t>
                  </w: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贮存点</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14:textFill>
                        <w14:solidFill>
                          <w14:schemeClr w14:val="tx1"/>
                        </w14:solidFill>
                      </w14:textFill>
                    </w:rPr>
                    <w:t>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采取“六防”措施，</w:t>
                  </w:r>
                  <w:r>
                    <w:rPr>
                      <w:rFonts w:hint="default" w:ascii="Times New Roman" w:hAnsi="Times New Roman" w:eastAsia="宋体" w:cs="Times New Roman"/>
                      <w:color w:val="000000" w:themeColor="text1"/>
                      <w:sz w:val="21"/>
                      <w:szCs w:val="21"/>
                      <w:highlight w:val="none"/>
                      <w14:textFill>
                        <w14:solidFill>
                          <w14:schemeClr w14:val="tx1"/>
                        </w14:solidFill>
                      </w14:textFill>
                    </w:rPr>
                    <w:t>产生的各类危险废物分类分开收集后，定期委外交有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危险废物处理</w:t>
                  </w:r>
                  <w:r>
                    <w:rPr>
                      <w:rFonts w:hint="default" w:ascii="Times New Roman" w:hAnsi="Times New Roman" w:eastAsia="宋体" w:cs="Times New Roman"/>
                      <w:color w:val="000000" w:themeColor="text1"/>
                      <w:sz w:val="21"/>
                      <w:szCs w:val="21"/>
                      <w:highlight w:val="none"/>
                      <w14:textFill>
                        <w14:solidFill>
                          <w14:schemeClr w14:val="tx1"/>
                        </w14:solidFill>
                      </w14:textFill>
                    </w:rPr>
                    <w:t>资质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的</w:t>
                  </w:r>
                  <w:r>
                    <w:rPr>
                      <w:rFonts w:hint="default" w:ascii="Times New Roman" w:hAnsi="Times New Roman" w:eastAsia="宋体" w:cs="Times New Roman"/>
                      <w:color w:val="000000" w:themeColor="text1"/>
                      <w:sz w:val="21"/>
                      <w:szCs w:val="21"/>
                      <w:highlight w:val="none"/>
                      <w14:textFill>
                        <w14:solidFill>
                          <w14:schemeClr w14:val="tx1"/>
                        </w14:solidFill>
                      </w14:textFill>
                    </w:rPr>
                    <w:t>单位处理。</w:t>
                  </w:r>
                </w:p>
                <w:p w14:paraId="7A3956F3">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生活垃圾：集中收集后由环卫部门统一处理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p w14:paraId="088CB90C">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原料边角料、食材边角料、不合格产品、餐厨垃圾、抽检样品收集后交餐厨垃圾回收单位</w:t>
                  </w:r>
                  <w:r>
                    <w:rPr>
                      <w:rFonts w:hint="eastAsia" w:cs="Times New Roman"/>
                      <w:color w:val="000000" w:themeColor="text1"/>
                      <w:sz w:val="21"/>
                      <w:szCs w:val="21"/>
                      <w:highlight w:val="none"/>
                      <w:lang w:val="en-US" w:eastAsia="zh-CN"/>
                      <w14:textFill>
                        <w14:solidFill>
                          <w14:schemeClr w14:val="tx1"/>
                        </w14:solidFill>
                      </w14:textFill>
                    </w:rPr>
                    <w:t>。</w:t>
                  </w:r>
                </w:p>
              </w:tc>
              <w:tc>
                <w:tcPr>
                  <w:tcW w:w="663" w:type="dxa"/>
                  <w:vAlign w:val="center"/>
                </w:tcPr>
                <w:p w14:paraId="73C06A8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001B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219A6CFE">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448712F0">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6729" w:type="dxa"/>
                  <w:vAlign w:val="center"/>
                </w:tcPr>
                <w:p w14:paraId="54DDA71A">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选用低噪声设备、</w:t>
                  </w:r>
                  <w:r>
                    <w:rPr>
                      <w:rFonts w:hint="default" w:ascii="Times New Roman" w:hAnsi="Times New Roman" w:eastAsia="宋体" w:cs="Times New Roman"/>
                      <w:color w:val="000000" w:themeColor="text1"/>
                      <w:sz w:val="21"/>
                      <w:szCs w:val="21"/>
                      <w:highlight w:val="none"/>
                      <w14:textFill>
                        <w14:solidFill>
                          <w14:schemeClr w14:val="tx1"/>
                        </w14:solidFill>
                      </w14:textFill>
                    </w:rPr>
                    <w:t>合理布置、基础减振、建筑隔声</w:t>
                  </w:r>
                </w:p>
              </w:tc>
              <w:tc>
                <w:tcPr>
                  <w:tcW w:w="663" w:type="dxa"/>
                  <w:vAlign w:val="center"/>
                </w:tcPr>
                <w:p w14:paraId="04F39D47">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14:paraId="762C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0" w:type="dxa"/>
                  <w:vMerge w:val="continue"/>
                  <w:vAlign w:val="center"/>
                </w:tcPr>
                <w:p w14:paraId="3C6A7E6A">
                  <w:pPr>
                    <w:pStyle w:val="4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80" w:type="dxa"/>
                  <w:vAlign w:val="center"/>
                </w:tcPr>
                <w:p w14:paraId="1763DAC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风险防范</w:t>
                  </w:r>
                </w:p>
              </w:tc>
              <w:tc>
                <w:tcPr>
                  <w:tcW w:w="6729" w:type="dxa"/>
                  <w:vAlign w:val="center"/>
                </w:tcPr>
                <w:p w14:paraId="0BFEC69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分区防渗：</w:t>
                  </w:r>
                </w:p>
                <w:p w14:paraId="4877BDF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重点防渗区：对污水处理站、危废贮存点区域进行重点防渗，防渗技术要求为等效黏土防渗层Mb≥6.0m，K≤10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cm/s；</w:t>
                  </w:r>
                </w:p>
                <w:p w14:paraId="588B44C3">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一般防渗区：一般固废暂存区进行一般防渗，防渗技术要求为等效黏土防渗层Mb≥1.5m，K≤1.0×10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cm/s；</w:t>
                  </w:r>
                </w:p>
                <w:p w14:paraId="1BFD70A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简单防渗区：办公区及其他区域进行一般防渗，防渗技术要求为一般地面硬化。</w:t>
                  </w:r>
                </w:p>
              </w:tc>
              <w:tc>
                <w:tcPr>
                  <w:tcW w:w="663" w:type="dxa"/>
                  <w:vAlign w:val="center"/>
                </w:tcPr>
                <w:p w14:paraId="5FAEE9E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bl>
          <w:p w14:paraId="03F6C154">
            <w:pPr>
              <w:keepNext w:val="0"/>
              <w:keepLines w:val="0"/>
              <w:pageBreakBefore w:val="0"/>
              <w:kinsoku/>
              <w:wordWrap/>
              <w:overflowPunct/>
              <w:topLinePunct w:val="0"/>
              <w:autoSpaceDE/>
              <w:autoSpaceDN/>
              <w:bidi w:val="0"/>
              <w:spacing w:line="360" w:lineRule="auto"/>
              <w:ind w:firstLine="480"/>
              <w:textAlignment w:val="auto"/>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项目依托情况详见表2</w:t>
            </w:r>
            <w:r>
              <w:rPr>
                <w:rFonts w:hint="eastAsia"/>
                <w:bCs/>
                <w:color w:val="000000" w:themeColor="text1"/>
                <w:szCs w:val="21"/>
                <w:highlight w:val="none"/>
                <w:lang w:val="en-US" w:eastAsia="zh-CN"/>
                <w14:textFill>
                  <w14:solidFill>
                    <w14:schemeClr w14:val="tx1"/>
                  </w14:solidFill>
                </w14:textFill>
              </w:rPr>
              <w:t>.3</w:t>
            </w:r>
            <w:r>
              <w:rPr>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2</w:t>
            </w:r>
            <w:r>
              <w:rPr>
                <w:bCs/>
                <w:color w:val="000000" w:themeColor="text1"/>
                <w:szCs w:val="21"/>
                <w:highlight w:val="none"/>
                <w14:textFill>
                  <w14:solidFill>
                    <w14:schemeClr w14:val="tx1"/>
                  </w14:solidFill>
                </w14:textFill>
              </w:rPr>
              <w:t>。</w:t>
            </w:r>
          </w:p>
          <w:p w14:paraId="74054349">
            <w:pPr>
              <w:pStyle w:val="4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 xml:space="preserve">   项目依托关系一览表</w:t>
            </w:r>
          </w:p>
          <w:tbl>
            <w:tblPr>
              <w:tblStyle w:val="28"/>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126"/>
              <w:gridCol w:w="1108"/>
              <w:gridCol w:w="2366"/>
              <w:gridCol w:w="3299"/>
            </w:tblGrid>
            <w:tr w14:paraId="0277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4" w:type="pct"/>
                  <w:vAlign w:val="center"/>
                </w:tcPr>
                <w:p w14:paraId="2B26AB4B">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1206" w:type="pct"/>
                  <w:gridSpan w:val="2"/>
                  <w:vAlign w:val="center"/>
                </w:tcPr>
                <w:p w14:paraId="4721A5CB">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tc>
              <w:tc>
                <w:tcPr>
                  <w:tcW w:w="1277" w:type="pct"/>
                  <w:vAlign w:val="center"/>
                </w:tcPr>
                <w:p w14:paraId="2DC7E17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本项目建设情况</w:t>
                  </w:r>
                </w:p>
              </w:tc>
              <w:tc>
                <w:tcPr>
                  <w:tcW w:w="1781" w:type="pct"/>
                  <w:vAlign w:val="center"/>
                </w:tcPr>
                <w:p w14:paraId="26E89F1A">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依托可行性</w:t>
                  </w:r>
                </w:p>
              </w:tc>
            </w:tr>
            <w:tr w14:paraId="4314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pct"/>
                  <w:vAlign w:val="center"/>
                </w:tcPr>
                <w:p w14:paraId="138350B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608" w:type="pct"/>
                  <w:vAlign w:val="center"/>
                </w:tcPr>
                <w:p w14:paraId="13EE53C4">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公用工程</w:t>
                  </w:r>
                </w:p>
              </w:tc>
              <w:tc>
                <w:tcPr>
                  <w:tcW w:w="597" w:type="pct"/>
                  <w:vAlign w:val="center"/>
                </w:tcPr>
                <w:p w14:paraId="0404E41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供电供水</w:t>
                  </w:r>
                </w:p>
              </w:tc>
              <w:tc>
                <w:tcPr>
                  <w:tcW w:w="1277" w:type="pct"/>
                  <w:vAlign w:val="center"/>
                </w:tcPr>
                <w:p w14:paraId="01D76D8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依托市政电网及自来水管网。</w:t>
                  </w:r>
                </w:p>
              </w:tc>
              <w:tc>
                <w:tcPr>
                  <w:tcW w:w="1781" w:type="pct"/>
                  <w:vAlign w:val="center"/>
                </w:tcPr>
                <w:p w14:paraId="48DAE54E">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由市政电网和管网供给，能满足本项目用电用水要求，依托可行。</w:t>
                  </w:r>
                </w:p>
              </w:tc>
            </w:tr>
          </w:tbl>
          <w:p w14:paraId="19A4CE80">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b/>
                <w:color w:val="000000" w:themeColor="text1"/>
                <w:szCs w:val="2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2.4</w:t>
            </w:r>
            <w:r>
              <w:rPr>
                <w:b/>
                <w:color w:val="000000" w:themeColor="text1"/>
                <w:szCs w:val="21"/>
                <w:highlight w:val="none"/>
                <w14:textFill>
                  <w14:solidFill>
                    <w14:schemeClr w14:val="tx1"/>
                  </w14:solidFill>
                </w14:textFill>
              </w:rPr>
              <w:t>产品方案</w:t>
            </w:r>
          </w:p>
          <w:p w14:paraId="69630D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）产品方案</w:t>
            </w:r>
          </w:p>
          <w:p w14:paraId="201BB6C1">
            <w:pPr>
              <w:keepNext w:val="0"/>
              <w:keepLines w:val="0"/>
              <w:pageBreakBefore w:val="0"/>
              <w:kinsoku/>
              <w:wordWrap/>
              <w:overflowPunct/>
              <w:topLinePunct w:val="0"/>
              <w:autoSpaceDE/>
              <w:autoSpaceDN/>
              <w:bidi w:val="0"/>
              <w:spacing w:line="360" w:lineRule="auto"/>
              <w:ind w:left="0" w:leftChars="0" w:firstLine="480" w:firstLineChars="200"/>
              <w:textAlignment w:val="auto"/>
              <w:rPr>
                <w:b/>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本项目主要外购</w:t>
            </w:r>
            <w:r>
              <w:rPr>
                <w:rFonts w:hint="eastAsia"/>
                <w:color w:val="000000" w:themeColor="text1"/>
                <w:highlight w:val="none"/>
                <w:lang w:val="en-US" w:eastAsia="zh-CN"/>
                <w14:textFill>
                  <w14:solidFill>
                    <w14:schemeClr w14:val="tx1"/>
                  </w14:solidFill>
                </w14:textFill>
              </w:rPr>
              <w:t>毛肚、牛鞭、蹄筋、黄喉、鸭肠、鹅肠原料，通过涨发工艺</w:t>
            </w:r>
            <w:r>
              <w:rPr>
                <w:rFonts w:hint="eastAsia"/>
                <w:color w:val="000000" w:themeColor="text1"/>
                <w:highlight w:val="none"/>
                <w:lang w:eastAsia="zh-CN"/>
                <w14:textFill>
                  <w14:solidFill>
                    <w14:schemeClr w14:val="tx1"/>
                  </w14:solidFill>
                </w14:textFill>
              </w:rPr>
              <w:t>生产肉类副产品，包括</w:t>
            </w:r>
            <w:r>
              <w:rPr>
                <w:rFonts w:hint="eastAsia" w:ascii="Times New Roman" w:hAnsi="Times New Roman" w:cs="Times New Roman"/>
                <w:color w:val="000000" w:themeColor="text1"/>
                <w:szCs w:val="21"/>
                <w:highlight w:val="none"/>
                <w:lang w:val="en-US" w:eastAsia="zh-CN"/>
                <w14:textFill>
                  <w14:solidFill>
                    <w14:schemeClr w14:val="tx1"/>
                  </w14:solidFill>
                </w14:textFill>
              </w:rPr>
              <w:t>牛副产品、猪副产品、鸭副产品</w:t>
            </w:r>
            <w:r>
              <w:rPr>
                <w:rFonts w:hint="eastAsia" w:cs="Times New Roman"/>
                <w:color w:val="000000" w:themeColor="text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鹅副产品</w:t>
            </w:r>
            <w:r>
              <w:rPr>
                <w:rFonts w:hint="eastAsia"/>
                <w:color w:val="000000" w:themeColor="text1"/>
                <w:highlight w:val="none"/>
                <w:lang w:val="en-US" w:eastAsia="zh-CN"/>
                <w14:textFill>
                  <w14:solidFill>
                    <w14:schemeClr w14:val="tx1"/>
                  </w14:solidFill>
                </w14:textFill>
              </w:rPr>
              <w:t>等，年产量3000吨。</w:t>
            </w:r>
            <w:r>
              <w:rPr>
                <w:rFonts w:hint="default" w:ascii="Times New Roman" w:hAnsi="Times New Roman" w:cs="Times New Roman"/>
                <w:color w:val="000000" w:themeColor="text1"/>
                <w:szCs w:val="21"/>
                <w:highlight w:val="none"/>
                <w14:textFill>
                  <w14:solidFill>
                    <w14:schemeClr w14:val="tx1"/>
                  </w14:solidFill>
                </w14:textFill>
              </w:rPr>
              <w:t>产品方案详见表2</w:t>
            </w:r>
            <w:r>
              <w:rPr>
                <w:rFonts w:hint="eastAsia" w:cs="Times New Roman"/>
                <w:color w:val="000000" w:themeColor="text1"/>
                <w:szCs w:val="21"/>
                <w:highlight w:val="none"/>
                <w:lang w:val="en-US" w:eastAsia="zh-CN"/>
                <w14:textFill>
                  <w14:solidFill>
                    <w14:schemeClr w14:val="tx1"/>
                  </w14:solidFill>
                </w14:textFill>
              </w:rPr>
              <w:t>.4-1</w:t>
            </w:r>
            <w:r>
              <w:rPr>
                <w:rFonts w:hint="default" w:ascii="Times New Roman" w:hAnsi="Times New Roman" w:cs="Times New Roman"/>
                <w:color w:val="000000" w:themeColor="text1"/>
                <w:szCs w:val="21"/>
                <w:highlight w:val="none"/>
                <w14:textFill>
                  <w14:solidFill>
                    <w14:schemeClr w14:val="tx1"/>
                  </w14:solidFill>
                </w14:textFill>
              </w:rPr>
              <w:t>。</w:t>
            </w:r>
          </w:p>
          <w:p w14:paraId="04A38A99">
            <w:pPr>
              <w:keepNext w:val="0"/>
              <w:keepLines w:val="0"/>
              <w:pageBreakBefore w:val="0"/>
              <w:widowControl w:val="0"/>
              <w:kinsoku/>
              <w:wordWrap/>
              <w:overflowPunct/>
              <w:topLinePunct w:val="0"/>
              <w:autoSpaceDE/>
              <w:autoSpaceDN/>
              <w:bidi w:val="0"/>
              <w:adjustRightInd/>
              <w:snapToGrid/>
              <w:spacing w:line="240" w:lineRule="auto"/>
              <w:ind w:left="0" w:leftChars="0" w:firstLine="482" w:firstLineChars="200"/>
              <w:jc w:val="center"/>
              <w:textAlignment w:val="auto"/>
              <w:rPr>
                <w:rFonts w:hint="eastAsia"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表2.4-1  项目产品方案一览表  单位：t/a</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8"/>
              <w:gridCol w:w="980"/>
              <w:gridCol w:w="983"/>
              <w:gridCol w:w="926"/>
              <w:gridCol w:w="3385"/>
              <w:gridCol w:w="2392"/>
            </w:tblGrid>
            <w:tr w14:paraId="5F27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noWrap w:val="0"/>
                  <w:vAlign w:val="center"/>
                </w:tcPr>
                <w:p w14:paraId="5EE1CE7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058" w:type="pct"/>
                  <w:gridSpan w:val="2"/>
                  <w:noWrap w:val="0"/>
                  <w:vAlign w:val="center"/>
                </w:tcPr>
                <w:p w14:paraId="777FA51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产品名称</w:t>
                  </w:r>
                </w:p>
              </w:tc>
              <w:tc>
                <w:tcPr>
                  <w:tcW w:w="499" w:type="pct"/>
                  <w:noWrap w:val="0"/>
                  <w:vAlign w:val="center"/>
                </w:tcPr>
                <w:p w14:paraId="7C6F6AF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产量（t）</w:t>
                  </w:r>
                </w:p>
              </w:tc>
              <w:tc>
                <w:tcPr>
                  <w:tcW w:w="1824" w:type="pct"/>
                  <w:noWrap w:val="0"/>
                  <w:vAlign w:val="center"/>
                </w:tcPr>
                <w:p w14:paraId="2EDDB62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产品规格</w:t>
                  </w:r>
                </w:p>
              </w:tc>
              <w:tc>
                <w:tcPr>
                  <w:tcW w:w="1289" w:type="pct"/>
                  <w:noWrap w:val="0"/>
                  <w:vAlign w:val="center"/>
                </w:tcPr>
                <w:p w14:paraId="279F0C8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产品质量标准</w:t>
                  </w:r>
                </w:p>
              </w:tc>
            </w:tr>
            <w:tr w14:paraId="4EE3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noWrap w:val="0"/>
                  <w:vAlign w:val="center"/>
                </w:tcPr>
                <w:p w14:paraId="0E2E164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528" w:type="pct"/>
                  <w:vMerge w:val="restart"/>
                  <w:noWrap w:val="0"/>
                  <w:vAlign w:val="center"/>
                </w:tcPr>
                <w:p w14:paraId="5E37DBB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牛副产品</w:t>
                  </w:r>
                </w:p>
              </w:tc>
              <w:tc>
                <w:tcPr>
                  <w:tcW w:w="529" w:type="pct"/>
                  <w:noWrap w:val="0"/>
                  <w:vAlign w:val="center"/>
                </w:tcPr>
                <w:p w14:paraId="40B4E25D">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毛肚</w:t>
                  </w:r>
                </w:p>
              </w:tc>
              <w:tc>
                <w:tcPr>
                  <w:tcW w:w="499" w:type="pct"/>
                  <w:noWrap w:val="0"/>
                  <w:vAlign w:val="center"/>
                </w:tcPr>
                <w:p w14:paraId="168D4F1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1500</w:t>
                  </w:r>
                </w:p>
              </w:tc>
              <w:tc>
                <w:tcPr>
                  <w:tcW w:w="1824" w:type="pct"/>
                  <w:noWrap w:val="0"/>
                  <w:vAlign w:val="center"/>
                </w:tcPr>
                <w:p w14:paraId="1041BCB6">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p>
              </w:tc>
              <w:tc>
                <w:tcPr>
                  <w:tcW w:w="1289" w:type="pct"/>
                  <w:vMerge w:val="restart"/>
                  <w:noWrap w:val="0"/>
                  <w:vAlign w:val="center"/>
                </w:tcPr>
                <w:p w14:paraId="0193A34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《食品安全国家标准 鲜（冻）畜、禽产品》（GB 2707-2016）</w:t>
                  </w:r>
                </w:p>
              </w:tc>
            </w:tr>
            <w:tr w14:paraId="3309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noWrap w:val="0"/>
                  <w:vAlign w:val="center"/>
                </w:tcPr>
                <w:p w14:paraId="16295866">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528" w:type="pct"/>
                  <w:vMerge w:val="continue"/>
                  <w:noWrap w:val="0"/>
                  <w:vAlign w:val="center"/>
                </w:tcPr>
                <w:p w14:paraId="6417657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29" w:type="pct"/>
                  <w:shd w:val="clear" w:color="auto" w:fill="auto"/>
                  <w:noWrap w:val="0"/>
                  <w:vAlign w:val="center"/>
                </w:tcPr>
                <w:p w14:paraId="40DE706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牛鞭</w:t>
                  </w:r>
                </w:p>
              </w:tc>
              <w:tc>
                <w:tcPr>
                  <w:tcW w:w="499" w:type="pct"/>
                  <w:shd w:val="clear" w:color="auto" w:fill="auto"/>
                  <w:noWrap w:val="0"/>
                  <w:vAlign w:val="center"/>
                </w:tcPr>
                <w:p w14:paraId="2AA2BE9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w:t>
                  </w:r>
                </w:p>
              </w:tc>
              <w:tc>
                <w:tcPr>
                  <w:tcW w:w="1824" w:type="pct"/>
                  <w:noWrap w:val="0"/>
                  <w:vAlign w:val="center"/>
                </w:tcPr>
                <w:p w14:paraId="7B71344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p>
              </w:tc>
              <w:tc>
                <w:tcPr>
                  <w:tcW w:w="1289" w:type="pct"/>
                  <w:vMerge w:val="continue"/>
                  <w:noWrap w:val="0"/>
                  <w:vAlign w:val="center"/>
                </w:tcPr>
                <w:p w14:paraId="50B320E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16D4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noWrap w:val="0"/>
                  <w:vAlign w:val="center"/>
                </w:tcPr>
                <w:p w14:paraId="3DD9712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528" w:type="pct"/>
                  <w:vMerge w:val="continue"/>
                  <w:noWrap w:val="0"/>
                  <w:vAlign w:val="center"/>
                </w:tcPr>
                <w:p w14:paraId="15BB700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29" w:type="pct"/>
                  <w:shd w:val="clear" w:color="auto" w:fill="auto"/>
                  <w:noWrap w:val="0"/>
                  <w:vAlign w:val="center"/>
                </w:tcPr>
                <w:p w14:paraId="5CA28A3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蹄筋</w:t>
                  </w:r>
                </w:p>
              </w:tc>
              <w:tc>
                <w:tcPr>
                  <w:tcW w:w="499" w:type="pct"/>
                  <w:shd w:val="clear" w:color="auto" w:fill="auto"/>
                  <w:noWrap w:val="0"/>
                  <w:vAlign w:val="center"/>
                </w:tcPr>
                <w:p w14:paraId="4B9698D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w:t>
                  </w:r>
                </w:p>
              </w:tc>
              <w:tc>
                <w:tcPr>
                  <w:tcW w:w="1824" w:type="pct"/>
                  <w:noWrap w:val="0"/>
                  <w:vAlign w:val="center"/>
                </w:tcPr>
                <w:p w14:paraId="5AF6313F">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p>
              </w:tc>
              <w:tc>
                <w:tcPr>
                  <w:tcW w:w="1289" w:type="pct"/>
                  <w:vMerge w:val="continue"/>
                  <w:noWrap w:val="0"/>
                  <w:vAlign w:val="center"/>
                </w:tcPr>
                <w:p w14:paraId="1CC22A9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3C32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noWrap w:val="0"/>
                  <w:vAlign w:val="center"/>
                </w:tcPr>
                <w:p w14:paraId="5127C36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528" w:type="pct"/>
                  <w:vMerge w:val="continue"/>
                  <w:noWrap w:val="0"/>
                  <w:vAlign w:val="center"/>
                </w:tcPr>
                <w:p w14:paraId="5208F29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29" w:type="pct"/>
                  <w:shd w:val="clear" w:color="auto" w:fill="auto"/>
                  <w:noWrap w:val="0"/>
                  <w:vAlign w:val="center"/>
                </w:tcPr>
                <w:p w14:paraId="49D071F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牛黄喉</w:t>
                  </w:r>
                </w:p>
              </w:tc>
              <w:tc>
                <w:tcPr>
                  <w:tcW w:w="499" w:type="pct"/>
                  <w:shd w:val="clear" w:color="auto" w:fill="auto"/>
                  <w:noWrap w:val="0"/>
                  <w:vAlign w:val="center"/>
                </w:tcPr>
                <w:p w14:paraId="7F935DC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190</w:t>
                  </w:r>
                </w:p>
              </w:tc>
              <w:tc>
                <w:tcPr>
                  <w:tcW w:w="1824" w:type="pct"/>
                  <w:shd w:val="clear" w:color="auto" w:fill="auto"/>
                  <w:noWrap w:val="0"/>
                  <w:vAlign w:val="center"/>
                </w:tcPr>
                <w:p w14:paraId="1936307D">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p>
              </w:tc>
              <w:tc>
                <w:tcPr>
                  <w:tcW w:w="1289" w:type="pct"/>
                  <w:vMerge w:val="continue"/>
                  <w:shd w:val="clear" w:color="auto" w:fill="auto"/>
                  <w:noWrap w:val="0"/>
                  <w:vAlign w:val="center"/>
                </w:tcPr>
                <w:p w14:paraId="7A4164F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538C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noWrap w:val="0"/>
                  <w:vAlign w:val="center"/>
                </w:tcPr>
                <w:p w14:paraId="6778F91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528" w:type="pct"/>
                  <w:shd w:val="clear" w:color="auto" w:fill="auto"/>
                  <w:noWrap w:val="0"/>
                  <w:vAlign w:val="center"/>
                </w:tcPr>
                <w:p w14:paraId="6BF5F74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猪副产品</w:t>
                  </w:r>
                </w:p>
              </w:tc>
              <w:tc>
                <w:tcPr>
                  <w:tcW w:w="529" w:type="pct"/>
                  <w:shd w:val="clear" w:color="auto" w:fill="auto"/>
                  <w:noWrap w:val="0"/>
                  <w:vAlign w:val="center"/>
                </w:tcPr>
                <w:p w14:paraId="4B8EBEA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黄喉</w:t>
                  </w:r>
                </w:p>
              </w:tc>
              <w:tc>
                <w:tcPr>
                  <w:tcW w:w="499" w:type="pct"/>
                  <w:shd w:val="clear" w:color="auto" w:fill="auto"/>
                  <w:noWrap w:val="0"/>
                  <w:vAlign w:val="center"/>
                </w:tcPr>
                <w:p w14:paraId="1EBFE51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180</w:t>
                  </w:r>
                </w:p>
              </w:tc>
              <w:tc>
                <w:tcPr>
                  <w:tcW w:w="1824" w:type="pct"/>
                  <w:noWrap w:val="0"/>
                  <w:vAlign w:val="center"/>
                </w:tcPr>
                <w:p w14:paraId="3609DC6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p>
              </w:tc>
              <w:tc>
                <w:tcPr>
                  <w:tcW w:w="1289" w:type="pct"/>
                  <w:vMerge w:val="continue"/>
                  <w:noWrap w:val="0"/>
                  <w:vAlign w:val="center"/>
                </w:tcPr>
                <w:p w14:paraId="6010323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7D60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noWrap w:val="0"/>
                  <w:vAlign w:val="center"/>
                </w:tcPr>
                <w:p w14:paraId="67954C6D">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w:t>
                  </w:r>
                </w:p>
              </w:tc>
              <w:tc>
                <w:tcPr>
                  <w:tcW w:w="528" w:type="pct"/>
                  <w:shd w:val="clear" w:color="auto" w:fill="auto"/>
                  <w:noWrap w:val="0"/>
                  <w:vAlign w:val="center"/>
                </w:tcPr>
                <w:p w14:paraId="472AA6B6">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鸭</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副产品</w:t>
                  </w:r>
                </w:p>
              </w:tc>
              <w:tc>
                <w:tcPr>
                  <w:tcW w:w="529" w:type="pct"/>
                  <w:shd w:val="clear" w:color="auto" w:fill="auto"/>
                  <w:noWrap w:val="0"/>
                  <w:vAlign w:val="center"/>
                </w:tcPr>
                <w:p w14:paraId="365C19A6">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鸭肠</w:t>
                  </w:r>
                </w:p>
              </w:tc>
              <w:tc>
                <w:tcPr>
                  <w:tcW w:w="499" w:type="pct"/>
                  <w:shd w:val="clear" w:color="auto" w:fill="auto"/>
                  <w:noWrap w:val="0"/>
                  <w:vAlign w:val="center"/>
                </w:tcPr>
                <w:p w14:paraId="2B9C408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170</w:t>
                  </w:r>
                </w:p>
              </w:tc>
              <w:tc>
                <w:tcPr>
                  <w:tcW w:w="1824" w:type="pct"/>
                  <w:noWrap w:val="0"/>
                  <w:vAlign w:val="center"/>
                </w:tcPr>
                <w:p w14:paraId="4FDED61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p>
              </w:tc>
              <w:tc>
                <w:tcPr>
                  <w:tcW w:w="1289" w:type="pct"/>
                  <w:vMerge w:val="continue"/>
                  <w:noWrap w:val="0"/>
                  <w:vAlign w:val="center"/>
                </w:tcPr>
                <w:p w14:paraId="715E479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79E1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noWrap w:val="0"/>
                  <w:vAlign w:val="center"/>
                </w:tcPr>
                <w:p w14:paraId="38BEEBD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528" w:type="pct"/>
                  <w:shd w:val="clear" w:color="auto" w:fill="auto"/>
                  <w:noWrap w:val="0"/>
                  <w:vAlign w:val="center"/>
                </w:tcPr>
                <w:p w14:paraId="68943FC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鹅</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副产品</w:t>
                  </w:r>
                </w:p>
              </w:tc>
              <w:tc>
                <w:tcPr>
                  <w:tcW w:w="529" w:type="pct"/>
                  <w:shd w:val="clear" w:color="auto" w:fill="auto"/>
                  <w:noWrap w:val="0"/>
                  <w:vAlign w:val="center"/>
                </w:tcPr>
                <w:p w14:paraId="70BC6C1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鹅肠</w:t>
                  </w:r>
                </w:p>
              </w:tc>
              <w:tc>
                <w:tcPr>
                  <w:tcW w:w="499" w:type="pct"/>
                  <w:shd w:val="clear" w:color="auto" w:fill="auto"/>
                  <w:noWrap w:val="0"/>
                  <w:vAlign w:val="center"/>
                </w:tcPr>
                <w:p w14:paraId="4B7082EF">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180</w:t>
                  </w:r>
                </w:p>
              </w:tc>
              <w:tc>
                <w:tcPr>
                  <w:tcW w:w="1824" w:type="pct"/>
                  <w:shd w:val="clear" w:color="auto" w:fill="auto"/>
                  <w:noWrap w:val="0"/>
                  <w:vAlign w:val="center"/>
                </w:tcPr>
                <w:p w14:paraId="0544D6C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kg/袋</w:t>
                  </w:r>
                </w:p>
              </w:tc>
              <w:tc>
                <w:tcPr>
                  <w:tcW w:w="1289" w:type="pct"/>
                  <w:vMerge w:val="continue"/>
                  <w:shd w:val="clear" w:color="auto" w:fill="auto"/>
                  <w:noWrap w:val="0"/>
                  <w:vAlign w:val="center"/>
                </w:tcPr>
                <w:p w14:paraId="3293BF2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bl>
          <w:p w14:paraId="7A8D3D11">
            <w:pPr>
              <w:keepNext w:val="0"/>
              <w:keepLines w:val="0"/>
              <w:pageBreakBefore w:val="0"/>
              <w:kinsoku/>
              <w:wordWrap/>
              <w:overflowPunct/>
              <w:topLinePunct w:val="0"/>
              <w:autoSpaceDE/>
              <w:autoSpaceDN/>
              <w:bidi w:val="0"/>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2.5</w:t>
            </w:r>
            <w:r>
              <w:rPr>
                <w:b/>
                <w:color w:val="000000" w:themeColor="text1"/>
                <w:highlight w:val="none"/>
                <w14:textFill>
                  <w14:solidFill>
                    <w14:schemeClr w14:val="tx1"/>
                  </w14:solidFill>
                </w14:textFill>
              </w:rPr>
              <w:t>主要生产设备</w:t>
            </w:r>
          </w:p>
          <w:p w14:paraId="64E9FB6D">
            <w:pPr>
              <w:keepNext w:val="0"/>
              <w:keepLines w:val="0"/>
              <w:pageBreakBefore w:val="0"/>
              <w:kinsoku/>
              <w:wordWrap/>
              <w:overflowPunct/>
              <w:topLinePunct w:val="0"/>
              <w:autoSpaceDE/>
              <w:autoSpaceDN/>
              <w:bidi w:val="0"/>
              <w:spacing w:line="360" w:lineRule="auto"/>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本项目生产</w:t>
            </w:r>
            <w:r>
              <w:rPr>
                <w:color w:val="000000" w:themeColor="text1"/>
                <w:highlight w:val="none"/>
                <w14:textFill>
                  <w14:solidFill>
                    <w14:schemeClr w14:val="tx1"/>
                  </w14:solidFill>
                </w14:textFill>
              </w:rPr>
              <w:t>设施设备情况详见下表2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14:paraId="67D0D8A8">
            <w:pPr>
              <w:pStyle w:val="4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拟建项目</w:t>
            </w:r>
            <w:r>
              <w:rPr>
                <w:color w:val="000000" w:themeColor="text1"/>
                <w:highlight w:val="none"/>
                <w14:textFill>
                  <w14:solidFill>
                    <w14:schemeClr w14:val="tx1"/>
                  </w14:solidFill>
                </w14:textFill>
              </w:rPr>
              <w:t>主要生产设备清单</w:t>
            </w:r>
          </w:p>
          <w:tbl>
            <w:tblPr>
              <w:tblStyle w:val="28"/>
              <w:tblW w:w="933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2168"/>
              <w:gridCol w:w="2177"/>
              <w:gridCol w:w="914"/>
              <w:gridCol w:w="841"/>
              <w:gridCol w:w="1779"/>
              <w:gridCol w:w="721"/>
            </w:tblGrid>
            <w:tr w14:paraId="740266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395" w:type="pct"/>
                  <w:tcBorders>
                    <w:tl2br w:val="nil"/>
                    <w:tr2bl w:val="nil"/>
                  </w:tcBorders>
                  <w:vAlign w:val="center"/>
                </w:tcPr>
                <w:p w14:paraId="54238D6E">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序号</w:t>
                  </w:r>
                </w:p>
              </w:tc>
              <w:tc>
                <w:tcPr>
                  <w:tcW w:w="1160" w:type="pct"/>
                  <w:tcBorders>
                    <w:tl2br w:val="nil"/>
                    <w:tr2bl w:val="nil"/>
                  </w:tcBorders>
                  <w:vAlign w:val="center"/>
                </w:tcPr>
                <w:p w14:paraId="59C42FB4">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设备名称</w:t>
                  </w:r>
                </w:p>
              </w:tc>
              <w:tc>
                <w:tcPr>
                  <w:tcW w:w="1165" w:type="pct"/>
                  <w:tcBorders>
                    <w:tl2br w:val="nil"/>
                    <w:tr2bl w:val="nil"/>
                  </w:tcBorders>
                  <w:vAlign w:val="center"/>
                </w:tcPr>
                <w:p w14:paraId="0D987441">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规格参数</w:t>
                  </w:r>
                </w:p>
              </w:tc>
              <w:tc>
                <w:tcPr>
                  <w:tcW w:w="489" w:type="pct"/>
                  <w:tcBorders>
                    <w:tl2br w:val="nil"/>
                    <w:tr2bl w:val="nil"/>
                  </w:tcBorders>
                  <w:vAlign w:val="center"/>
                </w:tcPr>
                <w:p w14:paraId="0ECB590F">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单位</w:t>
                  </w:r>
                </w:p>
              </w:tc>
              <w:tc>
                <w:tcPr>
                  <w:tcW w:w="450" w:type="pct"/>
                  <w:tcBorders>
                    <w:tl2br w:val="nil"/>
                    <w:tr2bl w:val="nil"/>
                  </w:tcBorders>
                  <w:vAlign w:val="center"/>
                </w:tcPr>
                <w:p w14:paraId="2A1B3382">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数量</w:t>
                  </w:r>
                </w:p>
              </w:tc>
              <w:tc>
                <w:tcPr>
                  <w:tcW w:w="1338" w:type="pct"/>
                  <w:gridSpan w:val="2"/>
                  <w:tcBorders>
                    <w:tl2br w:val="nil"/>
                    <w:tr2bl w:val="nil"/>
                  </w:tcBorders>
                  <w:vAlign w:val="center"/>
                </w:tcPr>
                <w:p w14:paraId="15E2FE99">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备注</w:t>
                  </w:r>
                </w:p>
              </w:tc>
            </w:tr>
            <w:tr w14:paraId="58F13F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6E3166E1">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1</w:t>
                  </w:r>
                </w:p>
              </w:tc>
              <w:tc>
                <w:tcPr>
                  <w:tcW w:w="1160" w:type="pct"/>
                  <w:tcBorders>
                    <w:tl2br w:val="nil"/>
                    <w:tr2bl w:val="nil"/>
                  </w:tcBorders>
                  <w:vAlign w:val="center"/>
                </w:tcPr>
                <w:p w14:paraId="6033190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蒸汽</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煮锅</w:t>
                  </w:r>
                </w:p>
              </w:tc>
              <w:tc>
                <w:tcPr>
                  <w:tcW w:w="1165" w:type="pct"/>
                  <w:tcBorders>
                    <w:tl2br w:val="nil"/>
                    <w:tr2bl w:val="nil"/>
                  </w:tcBorders>
                  <w:vAlign w:val="center"/>
                </w:tcPr>
                <w:p w14:paraId="6A16771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Φ</w:t>
                  </w:r>
                  <w:r>
                    <w:rPr>
                      <w:rFonts w:hint="eastAsia"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eastAsia" w:cs="Times New Roman"/>
                      <w:color w:val="000000" w:themeColor="text1"/>
                      <w:sz w:val="21"/>
                      <w:szCs w:val="21"/>
                      <w:highlight w:val="none"/>
                      <w:lang w:val="en-US" w:eastAsia="zh-CN"/>
                      <w14:textFill>
                        <w14:solidFill>
                          <w14:schemeClr w14:val="tx1"/>
                        </w14:solidFill>
                      </w14:textFill>
                    </w:rPr>
                    <w:t>0.6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lang w:val="en-US" w:eastAsia="zh-CN"/>
                      <w14:textFill>
                        <w14:solidFill>
                          <w14:schemeClr w14:val="tx1"/>
                        </w14:solidFill>
                      </w14:textFill>
                    </w:rPr>
                    <w:t>，</w:t>
                  </w:r>
                </w:p>
                <w:p w14:paraId="3C1560D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容积0.68m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489" w:type="pct"/>
                  <w:tcBorders>
                    <w:tl2br w:val="nil"/>
                    <w:tr2bl w:val="nil"/>
                  </w:tcBorders>
                  <w:vAlign w:val="center"/>
                </w:tcPr>
                <w:p w14:paraId="3DB9577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450" w:type="pct"/>
                  <w:tcBorders>
                    <w:tl2br w:val="nil"/>
                    <w:tr2bl w:val="nil"/>
                  </w:tcBorders>
                  <w:vAlign w:val="center"/>
                </w:tcPr>
                <w:p w14:paraId="7F531AAF">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52" w:type="pct"/>
                  <w:tcBorders>
                    <w:right w:val="single" w:color="auto" w:sz="4" w:space="0"/>
                    <w:tl2br w:val="nil"/>
                    <w:tr2bl w:val="nil"/>
                  </w:tcBorders>
                  <w:vAlign w:val="center"/>
                </w:tcPr>
                <w:p w14:paraId="1C7ED10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4F煮制间</w:t>
                  </w:r>
                </w:p>
              </w:tc>
              <w:tc>
                <w:tcPr>
                  <w:tcW w:w="386" w:type="pct"/>
                  <w:vMerge w:val="restart"/>
                  <w:tcBorders>
                    <w:left w:val="single" w:color="auto" w:sz="4" w:space="0"/>
                    <w:tl2br w:val="nil"/>
                    <w:tr2bl w:val="nil"/>
                  </w:tcBorders>
                  <w:vAlign w:val="center"/>
                </w:tcPr>
                <w:p w14:paraId="185E0EE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7#车间</w:t>
                  </w:r>
                </w:p>
              </w:tc>
            </w:tr>
            <w:tr w14:paraId="2E8732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7FBCE6F5">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2</w:t>
                  </w:r>
                </w:p>
              </w:tc>
              <w:tc>
                <w:tcPr>
                  <w:tcW w:w="1160" w:type="pct"/>
                  <w:tcBorders>
                    <w:tl2br w:val="nil"/>
                    <w:tr2bl w:val="nil"/>
                  </w:tcBorders>
                  <w:vAlign w:val="center"/>
                </w:tcPr>
                <w:p w14:paraId="5AB4AD9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冷却池</w:t>
                  </w:r>
                </w:p>
              </w:tc>
              <w:tc>
                <w:tcPr>
                  <w:tcW w:w="1165" w:type="pct"/>
                  <w:tcBorders>
                    <w:tl2br w:val="nil"/>
                    <w:tr2bl w:val="nil"/>
                  </w:tcBorders>
                  <w:vAlign w:val="center"/>
                </w:tcPr>
                <w:p w14:paraId="03F38A1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1.95m×1.9m×0.65m</w:t>
                  </w:r>
                  <w:r>
                    <w:rPr>
                      <w:rFonts w:hint="eastAsia" w:cs="Times New Roman"/>
                      <w:color w:val="000000" w:themeColor="text1"/>
                      <w:sz w:val="21"/>
                      <w:szCs w:val="21"/>
                      <w:highlight w:val="none"/>
                      <w:lang w:val="en-US" w:eastAsia="zh-CN"/>
                      <w14:textFill>
                        <w14:solidFill>
                          <w14:schemeClr w14:val="tx1"/>
                        </w14:solidFill>
                      </w14:textFill>
                    </w:rPr>
                    <w:t>，容积2.41m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489" w:type="pct"/>
                  <w:tcBorders>
                    <w:tl2br w:val="nil"/>
                    <w:tr2bl w:val="nil"/>
                  </w:tcBorders>
                  <w:vAlign w:val="center"/>
                </w:tcPr>
                <w:p w14:paraId="0E3B049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450" w:type="pct"/>
                  <w:tcBorders>
                    <w:tl2br w:val="nil"/>
                    <w:tr2bl w:val="nil"/>
                  </w:tcBorders>
                  <w:vAlign w:val="center"/>
                </w:tcPr>
                <w:p w14:paraId="781C69A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952" w:type="pct"/>
                  <w:tcBorders>
                    <w:right w:val="single" w:color="auto" w:sz="4" w:space="0"/>
                    <w:tl2br w:val="nil"/>
                    <w:tr2bl w:val="nil"/>
                  </w:tcBorders>
                  <w:vAlign w:val="center"/>
                </w:tcPr>
                <w:p w14:paraId="03F7006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4F煮制间</w:t>
                  </w:r>
                </w:p>
              </w:tc>
              <w:tc>
                <w:tcPr>
                  <w:tcW w:w="386" w:type="pct"/>
                  <w:vMerge w:val="continue"/>
                  <w:tcBorders>
                    <w:left w:val="single" w:color="auto" w:sz="4" w:space="0"/>
                    <w:tl2br w:val="nil"/>
                    <w:tr2bl w:val="nil"/>
                  </w:tcBorders>
                  <w:vAlign w:val="center"/>
                </w:tcPr>
                <w:p w14:paraId="6F1A6F2D">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B3753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5AEAB62A">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160" w:type="pct"/>
                  <w:tcBorders>
                    <w:tl2br w:val="nil"/>
                    <w:tr2bl w:val="nil"/>
                  </w:tcBorders>
                  <w:vAlign w:val="center"/>
                </w:tcPr>
                <w:p w14:paraId="4534667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打磨机</w:t>
                  </w:r>
                </w:p>
              </w:tc>
              <w:tc>
                <w:tcPr>
                  <w:tcW w:w="1165" w:type="pct"/>
                  <w:tcBorders>
                    <w:tl2br w:val="nil"/>
                    <w:tr2bl w:val="nil"/>
                  </w:tcBorders>
                  <w:vAlign w:val="center"/>
                </w:tcPr>
                <w:p w14:paraId="65607DD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p>
              </w:tc>
              <w:tc>
                <w:tcPr>
                  <w:tcW w:w="489" w:type="pct"/>
                  <w:tcBorders>
                    <w:tl2br w:val="nil"/>
                    <w:tr2bl w:val="nil"/>
                  </w:tcBorders>
                  <w:vAlign w:val="center"/>
                </w:tcPr>
                <w:p w14:paraId="788DB4D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450" w:type="pct"/>
                  <w:tcBorders>
                    <w:tl2br w:val="nil"/>
                    <w:tr2bl w:val="nil"/>
                  </w:tcBorders>
                  <w:vAlign w:val="center"/>
                </w:tcPr>
                <w:p w14:paraId="27B2BAB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952" w:type="pct"/>
                  <w:tcBorders>
                    <w:right w:val="single" w:color="auto" w:sz="4" w:space="0"/>
                    <w:tl2br w:val="nil"/>
                    <w:tr2bl w:val="nil"/>
                  </w:tcBorders>
                  <w:vAlign w:val="center"/>
                </w:tcPr>
                <w:p w14:paraId="35DF4AFF">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4F煮制间</w:t>
                  </w:r>
                </w:p>
              </w:tc>
              <w:tc>
                <w:tcPr>
                  <w:tcW w:w="386" w:type="pct"/>
                  <w:vMerge w:val="continue"/>
                  <w:tcBorders>
                    <w:left w:val="single" w:color="auto" w:sz="4" w:space="0"/>
                    <w:tl2br w:val="nil"/>
                    <w:tr2bl w:val="nil"/>
                  </w:tcBorders>
                  <w:vAlign w:val="center"/>
                </w:tcPr>
                <w:p w14:paraId="608A74F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810C7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424EAE4F">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1160" w:type="pct"/>
                  <w:tcBorders>
                    <w:tl2br w:val="nil"/>
                    <w:tr2bl w:val="nil"/>
                  </w:tcBorders>
                  <w:vAlign w:val="center"/>
                </w:tcPr>
                <w:p w14:paraId="0806026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切割机</w:t>
                  </w:r>
                </w:p>
              </w:tc>
              <w:tc>
                <w:tcPr>
                  <w:tcW w:w="1165" w:type="pct"/>
                  <w:tcBorders>
                    <w:tl2br w:val="nil"/>
                    <w:tr2bl w:val="nil"/>
                  </w:tcBorders>
                  <w:vAlign w:val="center"/>
                </w:tcPr>
                <w:p w14:paraId="2BE1579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489" w:type="pct"/>
                  <w:tcBorders>
                    <w:tl2br w:val="nil"/>
                    <w:tr2bl w:val="nil"/>
                  </w:tcBorders>
                  <w:vAlign w:val="center"/>
                </w:tcPr>
                <w:p w14:paraId="5BCDA12D">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450" w:type="pct"/>
                  <w:tcBorders>
                    <w:tl2br w:val="nil"/>
                    <w:tr2bl w:val="nil"/>
                  </w:tcBorders>
                  <w:vAlign w:val="center"/>
                </w:tcPr>
                <w:p w14:paraId="3D88E94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952" w:type="pct"/>
                  <w:tcBorders>
                    <w:right w:val="single" w:color="auto" w:sz="4" w:space="0"/>
                    <w:tl2br w:val="nil"/>
                    <w:tr2bl w:val="nil"/>
                  </w:tcBorders>
                  <w:vAlign w:val="center"/>
                </w:tcPr>
                <w:p w14:paraId="77D3074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3F内包装间</w:t>
                  </w:r>
                </w:p>
              </w:tc>
              <w:tc>
                <w:tcPr>
                  <w:tcW w:w="386" w:type="pct"/>
                  <w:vMerge w:val="continue"/>
                  <w:tcBorders>
                    <w:left w:val="single" w:color="auto" w:sz="4" w:space="0"/>
                    <w:tl2br w:val="nil"/>
                    <w:tr2bl w:val="nil"/>
                  </w:tcBorders>
                  <w:vAlign w:val="center"/>
                </w:tcPr>
                <w:p w14:paraId="131E11F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DE243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2E58730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1160" w:type="pct"/>
                  <w:tcBorders>
                    <w:tl2br w:val="nil"/>
                    <w:tr2bl w:val="nil"/>
                  </w:tcBorders>
                  <w:vAlign w:val="center"/>
                </w:tcPr>
                <w:p w14:paraId="7E3E7B0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激光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码机</w:t>
                  </w:r>
                </w:p>
              </w:tc>
              <w:tc>
                <w:tcPr>
                  <w:tcW w:w="1165" w:type="pct"/>
                  <w:tcBorders>
                    <w:tl2br w:val="nil"/>
                    <w:tr2bl w:val="nil"/>
                  </w:tcBorders>
                  <w:vAlign w:val="center"/>
                </w:tcPr>
                <w:p w14:paraId="33A4A29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89" w:type="pct"/>
                  <w:tcBorders>
                    <w:tl2br w:val="nil"/>
                    <w:tr2bl w:val="nil"/>
                  </w:tcBorders>
                  <w:vAlign w:val="center"/>
                </w:tcPr>
                <w:p w14:paraId="2481062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450" w:type="pct"/>
                  <w:tcBorders>
                    <w:tl2br w:val="nil"/>
                    <w:tr2bl w:val="nil"/>
                  </w:tcBorders>
                  <w:vAlign w:val="center"/>
                </w:tcPr>
                <w:p w14:paraId="606BABD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52" w:type="pct"/>
                  <w:tcBorders>
                    <w:right w:val="single" w:color="auto" w:sz="4" w:space="0"/>
                    <w:tl2br w:val="nil"/>
                    <w:tr2bl w:val="nil"/>
                  </w:tcBorders>
                  <w:vAlign w:val="center"/>
                </w:tcPr>
                <w:p w14:paraId="4C0BE77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3F打码间</w:t>
                  </w:r>
                </w:p>
              </w:tc>
              <w:tc>
                <w:tcPr>
                  <w:tcW w:w="386" w:type="pct"/>
                  <w:vMerge w:val="continue"/>
                  <w:tcBorders>
                    <w:left w:val="single" w:color="auto" w:sz="4" w:space="0"/>
                    <w:tl2br w:val="nil"/>
                    <w:tr2bl w:val="nil"/>
                  </w:tcBorders>
                  <w:vAlign w:val="center"/>
                </w:tcPr>
                <w:p w14:paraId="74A115E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9EABF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334677CE">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1160" w:type="pct"/>
                  <w:tcBorders>
                    <w:tl2br w:val="nil"/>
                    <w:tr2bl w:val="nil"/>
                  </w:tcBorders>
                  <w:vAlign w:val="center"/>
                </w:tcPr>
                <w:p w14:paraId="5520AA29">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无油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空压机</w:t>
                  </w:r>
                </w:p>
              </w:tc>
              <w:tc>
                <w:tcPr>
                  <w:tcW w:w="1165" w:type="pct"/>
                  <w:tcBorders>
                    <w:tl2br w:val="nil"/>
                    <w:tr2bl w:val="nil"/>
                  </w:tcBorders>
                  <w:vAlign w:val="center"/>
                </w:tcPr>
                <w:p w14:paraId="72E349E5">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LG-30</w:t>
                  </w:r>
                </w:p>
              </w:tc>
              <w:tc>
                <w:tcPr>
                  <w:tcW w:w="489" w:type="pct"/>
                  <w:tcBorders>
                    <w:tl2br w:val="nil"/>
                    <w:tr2bl w:val="nil"/>
                  </w:tcBorders>
                  <w:vAlign w:val="center"/>
                </w:tcPr>
                <w:p w14:paraId="3AF7C5C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台</w:t>
                  </w:r>
                </w:p>
              </w:tc>
              <w:tc>
                <w:tcPr>
                  <w:tcW w:w="450" w:type="pct"/>
                  <w:tcBorders>
                    <w:tl2br w:val="nil"/>
                    <w:tr2bl w:val="nil"/>
                  </w:tcBorders>
                  <w:vAlign w:val="center"/>
                </w:tcPr>
                <w:p w14:paraId="5F3193D4">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52" w:type="pct"/>
                  <w:tcBorders>
                    <w:right w:val="single" w:color="auto" w:sz="4" w:space="0"/>
                    <w:tl2br w:val="nil"/>
                    <w:tr2bl w:val="nil"/>
                  </w:tcBorders>
                  <w:vAlign w:val="center"/>
                </w:tcPr>
                <w:p w14:paraId="189B7E7F">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5F</w:t>
                  </w:r>
                </w:p>
              </w:tc>
              <w:tc>
                <w:tcPr>
                  <w:tcW w:w="386" w:type="pct"/>
                  <w:vMerge w:val="continue"/>
                  <w:tcBorders>
                    <w:left w:val="single" w:color="auto" w:sz="4" w:space="0"/>
                    <w:tl2br w:val="nil"/>
                    <w:tr2bl w:val="nil"/>
                  </w:tcBorders>
                  <w:vAlign w:val="center"/>
                </w:tcPr>
                <w:p w14:paraId="1983FD76">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92AD4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696A075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w:t>
                  </w:r>
                </w:p>
              </w:tc>
              <w:tc>
                <w:tcPr>
                  <w:tcW w:w="2168" w:type="dxa"/>
                  <w:tcBorders>
                    <w:tl2br w:val="nil"/>
                    <w:tr2bl w:val="nil"/>
                  </w:tcBorders>
                  <w:vAlign w:val="center"/>
                </w:tcPr>
                <w:p w14:paraId="43FE33F8">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胶桶</w:t>
                  </w:r>
                </w:p>
              </w:tc>
              <w:tc>
                <w:tcPr>
                  <w:tcW w:w="1165" w:type="pct"/>
                  <w:tcBorders>
                    <w:tl2br w:val="nil"/>
                    <w:tr2bl w:val="nil"/>
                  </w:tcBorders>
                  <w:vAlign w:val="center"/>
                </w:tcPr>
                <w:p w14:paraId="5297EEF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1.2m×0.9m×0.6m</w:t>
                  </w:r>
                  <w:r>
                    <w:rPr>
                      <w:rFonts w:hint="eastAsia" w:cs="Times New Roman"/>
                      <w:color w:val="000000" w:themeColor="text1"/>
                      <w:sz w:val="21"/>
                      <w:szCs w:val="21"/>
                      <w:highlight w:val="none"/>
                      <w:lang w:val="en-US" w:eastAsia="zh-CN"/>
                      <w14:textFill>
                        <w14:solidFill>
                          <w14:schemeClr w14:val="tx1"/>
                        </w14:solidFill>
                      </w14:textFill>
                    </w:rPr>
                    <w:t>，容积0.65m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489" w:type="pct"/>
                  <w:tcBorders>
                    <w:tl2br w:val="nil"/>
                    <w:tr2bl w:val="nil"/>
                  </w:tcBorders>
                  <w:vAlign w:val="center"/>
                </w:tcPr>
                <w:p w14:paraId="2180D3F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450" w:type="pct"/>
                  <w:tcBorders>
                    <w:tl2br w:val="nil"/>
                    <w:tr2bl w:val="nil"/>
                  </w:tcBorders>
                  <w:vAlign w:val="center"/>
                </w:tcPr>
                <w:p w14:paraId="6BA1D67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952" w:type="pct"/>
                  <w:tcBorders>
                    <w:right w:val="single" w:color="auto" w:sz="4" w:space="0"/>
                    <w:tl2br w:val="nil"/>
                    <w:tr2bl w:val="nil"/>
                  </w:tcBorders>
                  <w:vAlign w:val="center"/>
                </w:tcPr>
                <w:p w14:paraId="329A9AA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用于解冻清洗</w:t>
                  </w:r>
                </w:p>
              </w:tc>
              <w:tc>
                <w:tcPr>
                  <w:tcW w:w="386" w:type="pct"/>
                  <w:vMerge w:val="continue"/>
                  <w:tcBorders>
                    <w:left w:val="single" w:color="auto" w:sz="4" w:space="0"/>
                    <w:tl2br w:val="nil"/>
                    <w:tr2bl w:val="nil"/>
                  </w:tcBorders>
                  <w:vAlign w:val="center"/>
                </w:tcPr>
                <w:p w14:paraId="6629E65D">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85536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395" w:type="pct"/>
                  <w:tcBorders>
                    <w:tl2br w:val="nil"/>
                    <w:tr2bl w:val="nil"/>
                  </w:tcBorders>
                  <w:vAlign w:val="center"/>
                </w:tcPr>
                <w:p w14:paraId="7599A70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2168" w:type="dxa"/>
                  <w:tcBorders>
                    <w:tl2br w:val="nil"/>
                    <w:tr2bl w:val="nil"/>
                  </w:tcBorders>
                  <w:vAlign w:val="center"/>
                </w:tcPr>
                <w:p w14:paraId="5C78E30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不锈钢涨发桶</w:t>
                  </w:r>
                </w:p>
              </w:tc>
              <w:tc>
                <w:tcPr>
                  <w:tcW w:w="1165" w:type="pct"/>
                  <w:tcBorders>
                    <w:tl2br w:val="nil"/>
                    <w:tr2bl w:val="nil"/>
                  </w:tcBorders>
                  <w:vAlign w:val="center"/>
                </w:tcPr>
                <w:p w14:paraId="5BD426C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1.22m×0.88m×0.65m</w:t>
                  </w:r>
                  <w:r>
                    <w:rPr>
                      <w:rFonts w:hint="eastAsia" w:cs="Times New Roman"/>
                      <w:color w:val="000000" w:themeColor="text1"/>
                      <w:sz w:val="21"/>
                      <w:szCs w:val="21"/>
                      <w:highlight w:val="none"/>
                      <w:lang w:val="en-US" w:eastAsia="zh-CN"/>
                      <w14:textFill>
                        <w14:solidFill>
                          <w14:schemeClr w14:val="tx1"/>
                        </w14:solidFill>
                      </w14:textFill>
                    </w:rPr>
                    <w:t>，容积0.70m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489" w:type="pct"/>
                  <w:tcBorders>
                    <w:tl2br w:val="nil"/>
                    <w:tr2bl w:val="nil"/>
                  </w:tcBorders>
                  <w:vAlign w:val="center"/>
                </w:tcPr>
                <w:p w14:paraId="6426C87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450" w:type="pct"/>
                  <w:tcBorders>
                    <w:tl2br w:val="nil"/>
                    <w:tr2bl w:val="nil"/>
                  </w:tcBorders>
                  <w:vAlign w:val="center"/>
                </w:tcPr>
                <w:p w14:paraId="4AAB8DA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952" w:type="pct"/>
                  <w:tcBorders>
                    <w:right w:val="single" w:color="auto" w:sz="4" w:space="0"/>
                    <w:tl2br w:val="nil"/>
                    <w:tr2bl w:val="nil"/>
                  </w:tcBorders>
                  <w:vAlign w:val="center"/>
                </w:tcPr>
                <w:p w14:paraId="19E47EB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1F涨发间、2F涨发间、</w:t>
                  </w: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F涨发间</w:t>
                  </w:r>
                </w:p>
              </w:tc>
              <w:tc>
                <w:tcPr>
                  <w:tcW w:w="386" w:type="pct"/>
                  <w:vMerge w:val="continue"/>
                  <w:tcBorders>
                    <w:left w:val="single" w:color="auto" w:sz="4" w:space="0"/>
                    <w:tl2br w:val="nil"/>
                    <w:tr2bl w:val="nil"/>
                  </w:tcBorders>
                  <w:vAlign w:val="center"/>
                </w:tcPr>
                <w:p w14:paraId="4E2EC691">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E7846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395" w:type="pct"/>
                  <w:tcBorders>
                    <w:tl2br w:val="nil"/>
                    <w:tr2bl w:val="nil"/>
                  </w:tcBorders>
                  <w:vAlign w:val="center"/>
                </w:tcPr>
                <w:p w14:paraId="57218578">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p>
              </w:tc>
              <w:tc>
                <w:tcPr>
                  <w:tcW w:w="1160" w:type="pct"/>
                  <w:tcBorders>
                    <w:tl2br w:val="nil"/>
                    <w:tr2bl w:val="nil"/>
                  </w:tcBorders>
                  <w:vAlign w:val="center"/>
                </w:tcPr>
                <w:p w14:paraId="5F9836C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真空机</w:t>
                  </w:r>
                </w:p>
              </w:tc>
              <w:tc>
                <w:tcPr>
                  <w:tcW w:w="1165" w:type="pct"/>
                  <w:tcBorders>
                    <w:tl2br w:val="nil"/>
                    <w:tr2bl w:val="nil"/>
                  </w:tcBorders>
                  <w:vAlign w:val="center"/>
                </w:tcPr>
                <w:p w14:paraId="5BE33CD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DZ-700/25</w:t>
                  </w:r>
                </w:p>
              </w:tc>
              <w:tc>
                <w:tcPr>
                  <w:tcW w:w="489" w:type="pct"/>
                  <w:tcBorders>
                    <w:tl2br w:val="nil"/>
                    <w:tr2bl w:val="nil"/>
                  </w:tcBorders>
                  <w:vAlign w:val="center"/>
                </w:tcPr>
                <w:p w14:paraId="6246F46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450" w:type="pct"/>
                  <w:tcBorders>
                    <w:tl2br w:val="nil"/>
                    <w:tr2bl w:val="nil"/>
                  </w:tcBorders>
                  <w:vAlign w:val="center"/>
                </w:tcPr>
                <w:p w14:paraId="64ACEF5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952" w:type="pct"/>
                  <w:tcBorders>
                    <w:right w:val="single" w:color="auto" w:sz="4" w:space="0"/>
                    <w:tl2br w:val="nil"/>
                    <w:tr2bl w:val="nil"/>
                  </w:tcBorders>
                  <w:vAlign w:val="center"/>
                </w:tcPr>
                <w:p w14:paraId="63E485E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2F内包装间、3F内包装间</w:t>
                  </w:r>
                </w:p>
              </w:tc>
              <w:tc>
                <w:tcPr>
                  <w:tcW w:w="386" w:type="pct"/>
                  <w:vMerge w:val="continue"/>
                  <w:tcBorders>
                    <w:left w:val="single" w:color="auto" w:sz="4" w:space="0"/>
                    <w:tl2br w:val="nil"/>
                    <w:tr2bl w:val="nil"/>
                  </w:tcBorders>
                  <w:vAlign w:val="center"/>
                </w:tcPr>
                <w:p w14:paraId="4F20E4BB">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EFEED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395" w:type="pct"/>
                  <w:tcBorders>
                    <w:tl2br w:val="nil"/>
                    <w:tr2bl w:val="nil"/>
                  </w:tcBorders>
                  <w:vAlign w:val="center"/>
                </w:tcPr>
                <w:p w14:paraId="55904E86">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w:t>
                  </w:r>
                </w:p>
              </w:tc>
              <w:tc>
                <w:tcPr>
                  <w:tcW w:w="1160" w:type="pct"/>
                  <w:tcBorders>
                    <w:tl2br w:val="nil"/>
                    <w:tr2bl w:val="nil"/>
                  </w:tcBorders>
                  <w:vAlign w:val="center"/>
                </w:tcPr>
                <w:p w14:paraId="36921D1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净水器</w:t>
                  </w:r>
                </w:p>
              </w:tc>
              <w:tc>
                <w:tcPr>
                  <w:tcW w:w="1165" w:type="pct"/>
                  <w:tcBorders>
                    <w:tl2br w:val="nil"/>
                    <w:tr2bl w:val="nil"/>
                  </w:tcBorders>
                  <w:vAlign w:val="center"/>
                </w:tcPr>
                <w:p w14:paraId="7D3E5E8D">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1T</w:t>
                  </w:r>
                </w:p>
              </w:tc>
              <w:tc>
                <w:tcPr>
                  <w:tcW w:w="489" w:type="pct"/>
                  <w:tcBorders>
                    <w:tl2br w:val="nil"/>
                    <w:tr2bl w:val="nil"/>
                  </w:tcBorders>
                  <w:vAlign w:val="center"/>
                </w:tcPr>
                <w:p w14:paraId="38B9BE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450" w:type="pct"/>
                  <w:tcBorders>
                    <w:tl2br w:val="nil"/>
                    <w:tr2bl w:val="nil"/>
                  </w:tcBorders>
                  <w:vAlign w:val="center"/>
                </w:tcPr>
                <w:p w14:paraId="5451C6D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952" w:type="pct"/>
                  <w:tcBorders>
                    <w:right w:val="single" w:color="auto" w:sz="4" w:space="0"/>
                    <w:tl2br w:val="nil"/>
                    <w:tr2bl w:val="nil"/>
                  </w:tcBorders>
                  <w:vAlign w:val="center"/>
                </w:tcPr>
                <w:p w14:paraId="7F91FFB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为包装、蒸汽锅炉提供净水</w:t>
                  </w:r>
                </w:p>
              </w:tc>
              <w:tc>
                <w:tcPr>
                  <w:tcW w:w="386" w:type="pct"/>
                  <w:vMerge w:val="continue"/>
                  <w:tcBorders>
                    <w:left w:val="single" w:color="auto" w:sz="4" w:space="0"/>
                    <w:tl2br w:val="nil"/>
                    <w:tr2bl w:val="nil"/>
                  </w:tcBorders>
                  <w:vAlign w:val="center"/>
                </w:tcPr>
                <w:p w14:paraId="4D57F505">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2C5F9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4DB6896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w:t>
                  </w:r>
                </w:p>
              </w:tc>
              <w:tc>
                <w:tcPr>
                  <w:tcW w:w="1160" w:type="pct"/>
                  <w:tcBorders>
                    <w:tl2br w:val="nil"/>
                    <w:tr2bl w:val="nil"/>
                  </w:tcBorders>
                  <w:vAlign w:val="center"/>
                </w:tcPr>
                <w:p w14:paraId="650E181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给袋式真空包装机</w:t>
                  </w:r>
                </w:p>
              </w:tc>
              <w:tc>
                <w:tcPr>
                  <w:tcW w:w="1165" w:type="pct"/>
                  <w:tcBorders>
                    <w:tl2br w:val="nil"/>
                    <w:tr2bl w:val="nil"/>
                  </w:tcBorders>
                  <w:vAlign w:val="center"/>
                </w:tcPr>
                <w:p w14:paraId="2D6007D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R38-2402-10ZK</w:t>
                  </w:r>
                </w:p>
              </w:tc>
              <w:tc>
                <w:tcPr>
                  <w:tcW w:w="489" w:type="pct"/>
                  <w:tcBorders>
                    <w:tl2br w:val="nil"/>
                    <w:tr2bl w:val="nil"/>
                  </w:tcBorders>
                  <w:vAlign w:val="center"/>
                </w:tcPr>
                <w:p w14:paraId="3F3290D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450" w:type="pct"/>
                  <w:tcBorders>
                    <w:tl2br w:val="nil"/>
                    <w:tr2bl w:val="nil"/>
                  </w:tcBorders>
                  <w:vAlign w:val="center"/>
                </w:tcPr>
                <w:p w14:paraId="510B462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52" w:type="pct"/>
                  <w:tcBorders>
                    <w:right w:val="single" w:color="auto" w:sz="4" w:space="0"/>
                    <w:tl2br w:val="nil"/>
                    <w:tr2bl w:val="nil"/>
                  </w:tcBorders>
                  <w:vAlign w:val="center"/>
                </w:tcPr>
                <w:p w14:paraId="53AC5D98">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1F内包装间</w:t>
                  </w:r>
                </w:p>
              </w:tc>
              <w:tc>
                <w:tcPr>
                  <w:tcW w:w="386" w:type="pct"/>
                  <w:vMerge w:val="continue"/>
                  <w:tcBorders>
                    <w:left w:val="single" w:color="auto" w:sz="4" w:space="0"/>
                    <w:tl2br w:val="nil"/>
                    <w:tr2bl w:val="nil"/>
                  </w:tcBorders>
                  <w:vAlign w:val="center"/>
                </w:tcPr>
                <w:p w14:paraId="249BA85D">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36BF0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4110F9AF">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11</w:t>
                  </w:r>
                </w:p>
              </w:tc>
              <w:tc>
                <w:tcPr>
                  <w:tcW w:w="1160" w:type="pct"/>
                  <w:tcBorders>
                    <w:tl2br w:val="nil"/>
                    <w:tr2bl w:val="nil"/>
                  </w:tcBorders>
                  <w:vAlign w:val="center"/>
                </w:tcPr>
                <w:p w14:paraId="135FFF6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净化干燥机</w:t>
                  </w:r>
                </w:p>
              </w:tc>
              <w:tc>
                <w:tcPr>
                  <w:tcW w:w="1165" w:type="pct"/>
                  <w:tcBorders>
                    <w:tl2br w:val="nil"/>
                    <w:tr2bl w:val="nil"/>
                  </w:tcBorders>
                  <w:vAlign w:val="center"/>
                </w:tcPr>
                <w:p w14:paraId="30E0B66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89" w:type="pct"/>
                  <w:tcBorders>
                    <w:tl2br w:val="nil"/>
                    <w:tr2bl w:val="nil"/>
                  </w:tcBorders>
                  <w:vAlign w:val="center"/>
                </w:tcPr>
                <w:p w14:paraId="68EA6318">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450" w:type="pct"/>
                  <w:tcBorders>
                    <w:tl2br w:val="nil"/>
                    <w:tr2bl w:val="nil"/>
                  </w:tcBorders>
                  <w:vAlign w:val="center"/>
                </w:tcPr>
                <w:p w14:paraId="770961AD">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52" w:type="pct"/>
                  <w:tcBorders>
                    <w:right w:val="single" w:color="auto" w:sz="4" w:space="0"/>
                    <w:tl2br w:val="nil"/>
                    <w:tr2bl w:val="nil"/>
                  </w:tcBorders>
                  <w:vAlign w:val="center"/>
                </w:tcPr>
                <w:p w14:paraId="4EA7E5F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1F打件出货区</w:t>
                  </w:r>
                </w:p>
              </w:tc>
              <w:tc>
                <w:tcPr>
                  <w:tcW w:w="386" w:type="pct"/>
                  <w:vMerge w:val="continue"/>
                  <w:tcBorders>
                    <w:left w:val="single" w:color="auto" w:sz="4" w:space="0"/>
                    <w:tl2br w:val="nil"/>
                    <w:tr2bl w:val="nil"/>
                  </w:tcBorders>
                  <w:vAlign w:val="center"/>
                </w:tcPr>
                <w:p w14:paraId="0802974D">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AA894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26" w:hRule="atLeast"/>
                <w:jc w:val="center"/>
              </w:trPr>
              <w:tc>
                <w:tcPr>
                  <w:tcW w:w="395" w:type="pct"/>
                  <w:tcBorders>
                    <w:tl2br w:val="nil"/>
                    <w:tr2bl w:val="nil"/>
                  </w:tcBorders>
                  <w:vAlign w:val="center"/>
                </w:tcPr>
                <w:p w14:paraId="6F39105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w:t>
                  </w:r>
                </w:p>
              </w:tc>
              <w:tc>
                <w:tcPr>
                  <w:tcW w:w="1160" w:type="pct"/>
                  <w:tcBorders>
                    <w:tl2br w:val="nil"/>
                    <w:tr2bl w:val="nil"/>
                  </w:tcBorders>
                  <w:vAlign w:val="center"/>
                </w:tcPr>
                <w:p w14:paraId="38480F5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塑料食品筐</w:t>
                  </w:r>
                </w:p>
              </w:tc>
              <w:tc>
                <w:tcPr>
                  <w:tcW w:w="1165" w:type="pct"/>
                  <w:tcBorders>
                    <w:tl2br w:val="nil"/>
                    <w:tr2bl w:val="nil"/>
                  </w:tcBorders>
                  <w:vAlign w:val="center"/>
                </w:tcPr>
                <w:p w14:paraId="3CBDF335">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489" w:type="pct"/>
                  <w:tcBorders>
                    <w:tl2br w:val="nil"/>
                    <w:tr2bl w:val="nil"/>
                  </w:tcBorders>
                  <w:vAlign w:val="center"/>
                </w:tcPr>
                <w:p w14:paraId="426E76E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450" w:type="pct"/>
                  <w:tcBorders>
                    <w:tl2br w:val="nil"/>
                    <w:tr2bl w:val="nil"/>
                  </w:tcBorders>
                  <w:vAlign w:val="center"/>
                </w:tcPr>
                <w:p w14:paraId="26E49E7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1600</w:t>
                  </w:r>
                </w:p>
              </w:tc>
              <w:tc>
                <w:tcPr>
                  <w:tcW w:w="952" w:type="pct"/>
                  <w:tcBorders>
                    <w:right w:val="single" w:color="auto" w:sz="4" w:space="0"/>
                    <w:tl2br w:val="nil"/>
                    <w:tr2bl w:val="nil"/>
                  </w:tcBorders>
                  <w:vAlign w:val="center"/>
                </w:tcPr>
                <w:p w14:paraId="3CB6A7B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1F打件出货区、2F内包装间、2F涨发间、3F涨发间、3F内包装间、4F预处理间</w:t>
                  </w:r>
                </w:p>
              </w:tc>
              <w:tc>
                <w:tcPr>
                  <w:tcW w:w="386" w:type="pct"/>
                  <w:vMerge w:val="continue"/>
                  <w:tcBorders>
                    <w:left w:val="single" w:color="auto" w:sz="4" w:space="0"/>
                    <w:tl2br w:val="nil"/>
                    <w:tr2bl w:val="nil"/>
                  </w:tcBorders>
                  <w:vAlign w:val="center"/>
                </w:tcPr>
                <w:p w14:paraId="682437DF">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59994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2349D3B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3</w:t>
                  </w:r>
                </w:p>
              </w:tc>
              <w:tc>
                <w:tcPr>
                  <w:tcW w:w="1160" w:type="pct"/>
                  <w:tcBorders>
                    <w:tl2br w:val="nil"/>
                    <w:tr2bl w:val="nil"/>
                  </w:tcBorders>
                  <w:vAlign w:val="center"/>
                </w:tcPr>
                <w:p w14:paraId="095AAA6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蒸汽锅炉</w:t>
                  </w:r>
                </w:p>
              </w:tc>
              <w:tc>
                <w:tcPr>
                  <w:tcW w:w="1165" w:type="pct"/>
                  <w:tcBorders>
                    <w:tl2br w:val="nil"/>
                    <w:tr2bl w:val="nil"/>
                  </w:tcBorders>
                  <w:vAlign w:val="center"/>
                </w:tcPr>
                <w:p w14:paraId="75BA9AFD">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2T</w:t>
                  </w:r>
                </w:p>
              </w:tc>
              <w:tc>
                <w:tcPr>
                  <w:tcW w:w="489" w:type="pct"/>
                  <w:tcBorders>
                    <w:tl2br w:val="nil"/>
                    <w:tr2bl w:val="nil"/>
                  </w:tcBorders>
                  <w:vAlign w:val="center"/>
                </w:tcPr>
                <w:p w14:paraId="6D704818">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台</w:t>
                  </w:r>
                </w:p>
              </w:tc>
              <w:tc>
                <w:tcPr>
                  <w:tcW w:w="450" w:type="pct"/>
                  <w:tcBorders>
                    <w:tl2br w:val="nil"/>
                    <w:tr2bl w:val="nil"/>
                  </w:tcBorders>
                  <w:vAlign w:val="center"/>
                </w:tcPr>
                <w:p w14:paraId="1FB7F45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52" w:type="pct"/>
                  <w:tcBorders>
                    <w:right w:val="single" w:color="auto" w:sz="4" w:space="0"/>
                    <w:tl2br w:val="nil"/>
                    <w:tr2bl w:val="nil"/>
                  </w:tcBorders>
                  <w:vAlign w:val="center"/>
                </w:tcPr>
                <w:p w14:paraId="6810C6E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5F</w:t>
                  </w:r>
                </w:p>
              </w:tc>
              <w:tc>
                <w:tcPr>
                  <w:tcW w:w="386" w:type="pct"/>
                  <w:vMerge w:val="continue"/>
                  <w:tcBorders>
                    <w:left w:val="single" w:color="auto" w:sz="4" w:space="0"/>
                    <w:tl2br w:val="nil"/>
                    <w:tr2bl w:val="nil"/>
                  </w:tcBorders>
                  <w:vAlign w:val="center"/>
                </w:tcPr>
                <w:p w14:paraId="3A71F746">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C35AE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14:paraId="277DF5FF">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4</w:t>
                  </w:r>
                </w:p>
              </w:tc>
              <w:tc>
                <w:tcPr>
                  <w:tcW w:w="1160" w:type="pct"/>
                  <w:tcBorders>
                    <w:tl2br w:val="nil"/>
                    <w:tr2bl w:val="nil"/>
                  </w:tcBorders>
                  <w:vAlign w:val="center"/>
                </w:tcPr>
                <w:p w14:paraId="45E4A27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电动叉车</w:t>
                  </w:r>
                </w:p>
              </w:tc>
              <w:tc>
                <w:tcPr>
                  <w:tcW w:w="1165" w:type="pct"/>
                  <w:tcBorders>
                    <w:tl2br w:val="nil"/>
                    <w:tr2bl w:val="nil"/>
                  </w:tcBorders>
                  <w:vAlign w:val="center"/>
                </w:tcPr>
                <w:p w14:paraId="5871CCA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89" w:type="pct"/>
                  <w:tcBorders>
                    <w:tl2br w:val="nil"/>
                    <w:tr2bl w:val="nil"/>
                  </w:tcBorders>
                  <w:vAlign w:val="center"/>
                </w:tcPr>
                <w:p w14:paraId="37F3FD6E">
                  <w:pPr>
                    <w:keepNext w:val="0"/>
                    <w:keepLines w:val="0"/>
                    <w:pageBreakBefore w:val="0"/>
                    <w:widowControl w:val="0"/>
                    <w:kinsoku/>
                    <w:wordWrap/>
                    <w:overflowPunct/>
                    <w:topLinePunct w:val="0"/>
                    <w:autoSpaceDE/>
                    <w:autoSpaceDN/>
                    <w:bidi w:val="0"/>
                    <w:adjustRightInd/>
                    <w:snapToGrid/>
                    <w:spacing w:line="240" w:lineRule="auto"/>
                    <w:ind w:left="0" w:leftChars="0" w:firstLine="210" w:firstLineChars="1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台</w:t>
                  </w:r>
                </w:p>
              </w:tc>
              <w:tc>
                <w:tcPr>
                  <w:tcW w:w="450" w:type="pct"/>
                  <w:tcBorders>
                    <w:tl2br w:val="nil"/>
                    <w:tr2bl w:val="nil"/>
                  </w:tcBorders>
                  <w:vAlign w:val="center"/>
                </w:tcPr>
                <w:p w14:paraId="0DD61D5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p>
              </w:tc>
              <w:tc>
                <w:tcPr>
                  <w:tcW w:w="952" w:type="pct"/>
                  <w:tcBorders>
                    <w:right w:val="single" w:color="auto" w:sz="4" w:space="0"/>
                    <w:tl2br w:val="nil"/>
                    <w:tr2bl w:val="nil"/>
                  </w:tcBorders>
                  <w:vAlign w:val="center"/>
                </w:tcPr>
                <w:p w14:paraId="1883983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1F打件出货区</w:t>
                  </w:r>
                </w:p>
              </w:tc>
              <w:tc>
                <w:tcPr>
                  <w:tcW w:w="386" w:type="pct"/>
                  <w:vMerge w:val="continue"/>
                  <w:tcBorders>
                    <w:left w:val="single" w:color="auto" w:sz="4" w:space="0"/>
                    <w:tl2br w:val="nil"/>
                    <w:tr2bl w:val="nil"/>
                  </w:tcBorders>
                  <w:vAlign w:val="center"/>
                </w:tcPr>
                <w:p w14:paraId="0E9F595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BF137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shd w:val="clear" w:color="auto" w:fill="auto"/>
                  <w:vAlign w:val="center"/>
                </w:tcPr>
                <w:p w14:paraId="5BD258F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w:t>
                  </w:r>
                </w:p>
              </w:tc>
              <w:tc>
                <w:tcPr>
                  <w:tcW w:w="1160" w:type="pct"/>
                  <w:tcBorders>
                    <w:tl2br w:val="nil"/>
                    <w:tr2bl w:val="nil"/>
                  </w:tcBorders>
                  <w:vAlign w:val="center"/>
                </w:tcPr>
                <w:p w14:paraId="432900A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机动叉车</w:t>
                  </w:r>
                </w:p>
              </w:tc>
              <w:tc>
                <w:tcPr>
                  <w:tcW w:w="1165" w:type="pct"/>
                  <w:tcBorders>
                    <w:tl2br w:val="nil"/>
                    <w:tr2bl w:val="nil"/>
                  </w:tcBorders>
                  <w:vAlign w:val="center"/>
                </w:tcPr>
                <w:p w14:paraId="5616F95E">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2T</w:t>
                  </w:r>
                </w:p>
              </w:tc>
              <w:tc>
                <w:tcPr>
                  <w:tcW w:w="489" w:type="pct"/>
                  <w:tcBorders>
                    <w:tl2br w:val="nil"/>
                    <w:tr2bl w:val="nil"/>
                  </w:tcBorders>
                  <w:vAlign w:val="center"/>
                </w:tcPr>
                <w:p w14:paraId="47BF5F88">
                  <w:pPr>
                    <w:keepNext w:val="0"/>
                    <w:keepLines w:val="0"/>
                    <w:pageBreakBefore w:val="0"/>
                    <w:widowControl w:val="0"/>
                    <w:kinsoku/>
                    <w:wordWrap/>
                    <w:overflowPunct/>
                    <w:topLinePunct w:val="0"/>
                    <w:autoSpaceDE/>
                    <w:autoSpaceDN/>
                    <w:bidi w:val="0"/>
                    <w:adjustRightInd/>
                    <w:snapToGrid/>
                    <w:spacing w:line="240" w:lineRule="auto"/>
                    <w:ind w:left="0" w:leftChars="0" w:firstLine="210" w:firstLineChars="1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台</w:t>
                  </w:r>
                </w:p>
              </w:tc>
              <w:tc>
                <w:tcPr>
                  <w:tcW w:w="450" w:type="pct"/>
                  <w:tcBorders>
                    <w:tl2br w:val="nil"/>
                    <w:tr2bl w:val="nil"/>
                  </w:tcBorders>
                  <w:vAlign w:val="center"/>
                </w:tcPr>
                <w:p w14:paraId="7FEDF39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952" w:type="pct"/>
                  <w:tcBorders>
                    <w:right w:val="single" w:color="auto" w:sz="4" w:space="0"/>
                    <w:tl2br w:val="nil"/>
                    <w:tr2bl w:val="nil"/>
                  </w:tcBorders>
                  <w:vAlign w:val="center"/>
                </w:tcPr>
                <w:p w14:paraId="3BB3D4C1">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1F打件出货区</w:t>
                  </w:r>
                </w:p>
              </w:tc>
              <w:tc>
                <w:tcPr>
                  <w:tcW w:w="386" w:type="pct"/>
                  <w:vMerge w:val="continue"/>
                  <w:tcBorders>
                    <w:left w:val="single" w:color="auto" w:sz="4" w:space="0"/>
                    <w:tl2br w:val="nil"/>
                    <w:tr2bl w:val="nil"/>
                  </w:tcBorders>
                  <w:vAlign w:val="center"/>
                </w:tcPr>
                <w:p w14:paraId="1C1D2DBD">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3632D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shd w:val="clear" w:color="auto" w:fill="auto"/>
                  <w:vAlign w:val="center"/>
                </w:tcPr>
                <w:p w14:paraId="3721F5D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w:t>
                  </w:r>
                </w:p>
              </w:tc>
              <w:tc>
                <w:tcPr>
                  <w:tcW w:w="1160" w:type="pct"/>
                  <w:tcBorders>
                    <w:tl2br w:val="nil"/>
                    <w:tr2bl w:val="nil"/>
                  </w:tcBorders>
                  <w:vAlign w:val="center"/>
                </w:tcPr>
                <w:p w14:paraId="63F2F4F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风机</w:t>
                  </w:r>
                </w:p>
              </w:tc>
              <w:tc>
                <w:tcPr>
                  <w:tcW w:w="1165" w:type="pct"/>
                  <w:tcBorders>
                    <w:tl2br w:val="nil"/>
                    <w:tr2bl w:val="nil"/>
                  </w:tcBorders>
                  <w:vAlign w:val="center"/>
                </w:tcPr>
                <w:p w14:paraId="25C6F28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1.1KW、7.5KW</w:t>
                  </w:r>
                </w:p>
              </w:tc>
              <w:tc>
                <w:tcPr>
                  <w:tcW w:w="489" w:type="pct"/>
                  <w:tcBorders>
                    <w:tl2br w:val="nil"/>
                    <w:tr2bl w:val="nil"/>
                  </w:tcBorders>
                  <w:vAlign w:val="center"/>
                </w:tcPr>
                <w:p w14:paraId="07F7E376">
                  <w:pPr>
                    <w:keepNext w:val="0"/>
                    <w:keepLines w:val="0"/>
                    <w:pageBreakBefore w:val="0"/>
                    <w:widowControl w:val="0"/>
                    <w:kinsoku/>
                    <w:wordWrap/>
                    <w:overflowPunct/>
                    <w:topLinePunct w:val="0"/>
                    <w:autoSpaceDE/>
                    <w:autoSpaceDN/>
                    <w:bidi w:val="0"/>
                    <w:adjustRightInd/>
                    <w:snapToGrid/>
                    <w:spacing w:line="240" w:lineRule="auto"/>
                    <w:ind w:left="0" w:leftChars="0" w:firstLine="210" w:firstLineChars="1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台</w:t>
                  </w:r>
                </w:p>
              </w:tc>
              <w:tc>
                <w:tcPr>
                  <w:tcW w:w="450" w:type="pct"/>
                  <w:tcBorders>
                    <w:tl2br w:val="nil"/>
                    <w:tr2bl w:val="nil"/>
                  </w:tcBorders>
                  <w:vAlign w:val="center"/>
                </w:tcPr>
                <w:p w14:paraId="1CE7624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952" w:type="pct"/>
                  <w:tcBorders>
                    <w:right w:val="single" w:color="auto" w:sz="4" w:space="0"/>
                    <w:tl2br w:val="nil"/>
                    <w:tr2bl w:val="nil"/>
                  </w:tcBorders>
                  <w:vAlign w:val="center"/>
                </w:tcPr>
                <w:p w14:paraId="4FEDAFA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用于原料解冻后曝气清洗</w:t>
                  </w:r>
                </w:p>
              </w:tc>
              <w:tc>
                <w:tcPr>
                  <w:tcW w:w="386" w:type="pct"/>
                  <w:vMerge w:val="continue"/>
                  <w:tcBorders>
                    <w:left w:val="single" w:color="auto" w:sz="4" w:space="0"/>
                    <w:tl2br w:val="nil"/>
                    <w:tr2bl w:val="nil"/>
                  </w:tcBorders>
                  <w:vAlign w:val="center"/>
                </w:tcPr>
                <w:p w14:paraId="193805F2">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774C2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395" w:type="pct"/>
                  <w:tcBorders>
                    <w:tl2br w:val="nil"/>
                    <w:tr2bl w:val="nil"/>
                  </w:tcBorders>
                  <w:shd w:val="clear" w:color="auto" w:fill="auto"/>
                  <w:vAlign w:val="center"/>
                </w:tcPr>
                <w:p w14:paraId="4E9D2B6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w:t>
                  </w:r>
                </w:p>
              </w:tc>
              <w:tc>
                <w:tcPr>
                  <w:tcW w:w="1160" w:type="pct"/>
                  <w:tcBorders>
                    <w:tl2br w:val="nil"/>
                    <w:tr2bl w:val="nil"/>
                  </w:tcBorders>
                  <w:vAlign w:val="center"/>
                </w:tcPr>
                <w:p w14:paraId="45A728FF">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白瓷盘</w:t>
                  </w:r>
                </w:p>
              </w:tc>
              <w:tc>
                <w:tcPr>
                  <w:tcW w:w="1165" w:type="pct"/>
                  <w:tcBorders>
                    <w:tl2br w:val="nil"/>
                    <w:tr2bl w:val="nil"/>
                  </w:tcBorders>
                  <w:vAlign w:val="center"/>
                </w:tcPr>
                <w:p w14:paraId="49EC76B6">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20*30CM</w:t>
                  </w:r>
                </w:p>
              </w:tc>
              <w:tc>
                <w:tcPr>
                  <w:tcW w:w="489" w:type="pct"/>
                  <w:tcBorders>
                    <w:tl2br w:val="nil"/>
                    <w:tr2bl w:val="nil"/>
                  </w:tcBorders>
                  <w:vAlign w:val="center"/>
                </w:tcPr>
                <w:p w14:paraId="17051FC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50" w:type="pct"/>
                  <w:tcBorders>
                    <w:tl2br w:val="nil"/>
                    <w:tr2bl w:val="nil"/>
                  </w:tcBorders>
                  <w:vAlign w:val="center"/>
                </w:tcPr>
                <w:p w14:paraId="61596DB9">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52" w:type="pct"/>
                  <w:vMerge w:val="restart"/>
                  <w:tcBorders>
                    <w:right w:val="single" w:color="auto" w:sz="4" w:space="0"/>
                    <w:tl2br w:val="nil"/>
                    <w:tr2bl w:val="nil"/>
                  </w:tcBorders>
                  <w:vAlign w:val="center"/>
                </w:tcPr>
                <w:p w14:paraId="198F7403">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检验室</w:t>
                  </w:r>
                </w:p>
              </w:tc>
              <w:tc>
                <w:tcPr>
                  <w:tcW w:w="386" w:type="pct"/>
                  <w:vMerge w:val="restart"/>
                  <w:tcBorders>
                    <w:left w:val="single" w:color="auto" w:sz="4" w:space="0"/>
                    <w:tl2br w:val="nil"/>
                    <w:tr2bl w:val="nil"/>
                  </w:tcBorders>
                  <w:vAlign w:val="center"/>
                </w:tcPr>
                <w:p w14:paraId="75B769E4">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1#楼</w:t>
                  </w:r>
                </w:p>
              </w:tc>
            </w:tr>
            <w:tr w14:paraId="4960B3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shd w:val="clear" w:color="auto" w:fill="auto"/>
                  <w:vAlign w:val="center"/>
                </w:tcPr>
                <w:p w14:paraId="6512490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18</w:t>
                  </w:r>
                </w:p>
              </w:tc>
              <w:tc>
                <w:tcPr>
                  <w:tcW w:w="1160" w:type="pct"/>
                  <w:tcBorders>
                    <w:tl2br w:val="nil"/>
                    <w:tr2bl w:val="nil"/>
                  </w:tcBorders>
                  <w:vAlign w:val="center"/>
                </w:tcPr>
                <w:p w14:paraId="459CD7DB">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天平</w:t>
                  </w:r>
                </w:p>
              </w:tc>
              <w:tc>
                <w:tcPr>
                  <w:tcW w:w="1165" w:type="pct"/>
                  <w:tcBorders>
                    <w:tl2br w:val="nil"/>
                    <w:tr2bl w:val="nil"/>
                  </w:tcBorders>
                  <w:vAlign w:val="center"/>
                </w:tcPr>
                <w:p w14:paraId="5F15497F">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0.1g/max大于500g</w:t>
                  </w:r>
                </w:p>
              </w:tc>
              <w:tc>
                <w:tcPr>
                  <w:tcW w:w="489" w:type="pct"/>
                  <w:tcBorders>
                    <w:tl2br w:val="nil"/>
                    <w:tr2bl w:val="nil"/>
                  </w:tcBorders>
                  <w:vAlign w:val="center"/>
                </w:tcPr>
                <w:p w14:paraId="288A8FD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450" w:type="pct"/>
                  <w:tcBorders>
                    <w:tl2br w:val="nil"/>
                    <w:tr2bl w:val="nil"/>
                  </w:tcBorders>
                  <w:vAlign w:val="center"/>
                </w:tcPr>
                <w:p w14:paraId="2E3FE82A">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52" w:type="pct"/>
                  <w:vMerge w:val="continue"/>
                  <w:tcBorders>
                    <w:right w:val="single" w:color="auto" w:sz="4" w:space="0"/>
                    <w:tl2br w:val="nil"/>
                    <w:tr2bl w:val="nil"/>
                  </w:tcBorders>
                  <w:vAlign w:val="center"/>
                </w:tcPr>
                <w:p w14:paraId="6678B0D4">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left w:val="single" w:color="auto" w:sz="4" w:space="0"/>
                    <w:tl2br w:val="nil"/>
                    <w:tr2bl w:val="nil"/>
                  </w:tcBorders>
                  <w:vAlign w:val="center"/>
                </w:tcPr>
                <w:p w14:paraId="31E8332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604B9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95" w:type="pct"/>
                  <w:tcBorders>
                    <w:tl2br w:val="nil"/>
                    <w:tr2bl w:val="nil"/>
                  </w:tcBorders>
                  <w:shd w:val="clear" w:color="auto" w:fill="auto"/>
                  <w:vAlign w:val="center"/>
                </w:tcPr>
                <w:p w14:paraId="37DF6F4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9</w:t>
                  </w:r>
                </w:p>
              </w:tc>
              <w:tc>
                <w:tcPr>
                  <w:tcW w:w="1160" w:type="pct"/>
                  <w:tcBorders>
                    <w:tl2br w:val="nil"/>
                    <w:tr2bl w:val="nil"/>
                  </w:tcBorders>
                  <w:vAlign w:val="center"/>
                </w:tcPr>
                <w:p w14:paraId="28D5FA03">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冰柜</w:t>
                  </w:r>
                </w:p>
              </w:tc>
              <w:tc>
                <w:tcPr>
                  <w:tcW w:w="1165" w:type="pct"/>
                  <w:tcBorders>
                    <w:tl2br w:val="nil"/>
                    <w:tr2bl w:val="nil"/>
                  </w:tcBorders>
                  <w:vAlign w:val="center"/>
                </w:tcPr>
                <w:p w14:paraId="365E8467">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89" w:type="pct"/>
                  <w:tcBorders>
                    <w:tl2br w:val="nil"/>
                    <w:tr2bl w:val="nil"/>
                  </w:tcBorders>
                  <w:vAlign w:val="center"/>
                </w:tcPr>
                <w:p w14:paraId="29406DC2">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w:t>
                  </w:r>
                </w:p>
              </w:tc>
              <w:tc>
                <w:tcPr>
                  <w:tcW w:w="450" w:type="pct"/>
                  <w:tcBorders>
                    <w:tl2br w:val="nil"/>
                    <w:tr2bl w:val="nil"/>
                  </w:tcBorders>
                  <w:vAlign w:val="center"/>
                </w:tcPr>
                <w:p w14:paraId="698962AC">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52" w:type="pct"/>
                  <w:tcBorders>
                    <w:right w:val="single" w:color="auto" w:sz="4" w:space="0"/>
                    <w:tl2br w:val="nil"/>
                    <w:tr2bl w:val="nil"/>
                  </w:tcBorders>
                  <w:vAlign w:val="center"/>
                </w:tcPr>
                <w:p w14:paraId="43C93946">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研发室</w:t>
                  </w:r>
                </w:p>
              </w:tc>
              <w:tc>
                <w:tcPr>
                  <w:tcW w:w="386" w:type="pct"/>
                  <w:vMerge w:val="continue"/>
                  <w:tcBorders>
                    <w:left w:val="single" w:color="auto" w:sz="4" w:space="0"/>
                    <w:tl2br w:val="nil"/>
                    <w:tr2bl w:val="nil"/>
                  </w:tcBorders>
                  <w:vAlign w:val="center"/>
                </w:tcPr>
                <w:p w14:paraId="0F0E4BB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6EDA7EA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对照《产业结构调整指导目录</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20</w:t>
            </w:r>
            <w:r>
              <w:rPr>
                <w:rFonts w:hint="eastAsia"/>
                <w:color w:val="000000" w:themeColor="text1"/>
                <w:szCs w:val="21"/>
                <w:highlight w:val="none"/>
                <w:lang w:val="en-US" w:eastAsia="zh-CN"/>
                <w14:textFill>
                  <w14:solidFill>
                    <w14:schemeClr w14:val="tx1"/>
                  </w14:solidFill>
                </w14:textFill>
              </w:rPr>
              <w:t>24</w:t>
            </w:r>
            <w:r>
              <w:rPr>
                <w:color w:val="000000" w:themeColor="text1"/>
                <w:szCs w:val="21"/>
                <w:highlight w:val="none"/>
                <w14:textFill>
                  <w14:solidFill>
                    <w14:schemeClr w14:val="tx1"/>
                  </w14:solidFill>
                </w14:textFill>
              </w:rPr>
              <w:t>年本</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淘汰落后生产能力、工艺和产品的目录》</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第一批至第四批</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、《部分工业行业淘汰落后生产工艺装备和产品指导目录》</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2010年本</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、《高耗能落后机电设备</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产品</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淘汰目录</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第一批</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》、工信部</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2012</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第14号文《高耗能落后机电设备</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产品</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淘汰目录</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第二批</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》等文件，确定本项目所有生产设备均不属于淘汰落后及限制生产或使用的设备。</w:t>
            </w:r>
          </w:p>
          <w:p w14:paraId="486E3C1C">
            <w:pPr>
              <w:pStyle w:val="27"/>
              <w:numPr>
                <w:ilvl w:val="0"/>
                <w:numId w:val="0"/>
              </w:numPr>
              <w:spacing w:line="240" w:lineRule="auto"/>
              <w:ind w:leftChars="200"/>
              <w:jc w:val="both"/>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产</w:t>
            </w:r>
            <w:r>
              <w:rPr>
                <w:rFonts w:hint="eastAsia" w:ascii="Times New Roman" w:cs="Times New Roman"/>
                <w:b/>
                <w:bCs/>
                <w:color w:val="000000" w:themeColor="text1"/>
                <w:sz w:val="24"/>
                <w:szCs w:val="24"/>
                <w:highlight w:val="none"/>
                <w:lang w:eastAsia="zh-CN"/>
                <w14:textFill>
                  <w14:solidFill>
                    <w14:schemeClr w14:val="tx1"/>
                  </w14:solidFill>
                </w14:textFill>
              </w:rPr>
              <w:t>能</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匹配性</w:t>
            </w:r>
            <w:r>
              <w:rPr>
                <w:rFonts w:hint="eastAsia" w:ascii="Times New Roman" w:cs="Times New Roman"/>
                <w:b/>
                <w:bCs/>
                <w:color w:val="000000" w:themeColor="text1"/>
                <w:sz w:val="24"/>
                <w:szCs w:val="24"/>
                <w:highlight w:val="none"/>
                <w:lang w:eastAsia="zh-CN"/>
                <w14:textFill>
                  <w14:solidFill>
                    <w14:schemeClr w14:val="tx1"/>
                  </w14:solidFill>
                </w14:textFill>
              </w:rPr>
              <w:t>分析</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p>
          <w:p w14:paraId="5E659808">
            <w:pPr>
              <w:pStyle w:val="2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煮锅产能匹配性分析：毛肚年耗量750t/a。本项目配置0.68m³的蒸汽煮锅12个，</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10用2备，</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则每批次</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最多</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可煮制</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吨毛肚，毛肚的每批次煮制时间约4分钟，除去准备时间，每天可煮制</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批次，项目年工作300d，经计算，煮锅煮制次数为</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9</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00批次/a，则煮锅煮制能力为</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90</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0t/a，可满足本项目毛肚年耗量750t/a的能力要求。</w:t>
            </w:r>
          </w:p>
          <w:p w14:paraId="0B7A7E87">
            <w:pPr>
              <w:pStyle w:val="2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冷却池产能匹配性分析：毛肚年耗量750t/a。本项目配置2.41m³的冷却池6个，</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4用2备，</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每批次</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最多</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可冷却0.5吨，毛肚的每批次冷却时间约10分钟，除去准备时间，每天可冷却6批次，项目年工作300d，经计算，冷却池冷却次数为1800批次/a，则冷却池冷却能力为900t/a，可满足本项目毛肚年耗量750t/a的能力要求。</w:t>
            </w:r>
          </w:p>
          <w:p w14:paraId="6CC17A72">
            <w:pPr>
              <w:pStyle w:val="2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解冻桶产能匹配性分析：本项目原料年耗量1500t/a，配置了0.6</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m³的解冻桶</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200</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个</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（其中备用100个桶）</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，每批次</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最多</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可解冻清洗</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吨，每批次解冻清洗时间约</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1h</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，除去准备时间，每天可解冻清洗</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批次，项目年工作300d，经计算，解冻桶解冻清洗数为</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00批次/a，则解冻桶解冻清洗能力为1</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8</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00t/a，可满足本项目原料年耗量1</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00t/a的能力要求。</w:t>
            </w:r>
          </w:p>
          <w:p w14:paraId="25070422">
            <w:pPr>
              <w:pStyle w:val="2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不锈钢涨发桶产能匹配性分析：本项目原料年耗量1500t/a，配置了0.70m³的涨发桶</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400</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个</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（其中备用200个桶）</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，每批次</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最多</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可涨发</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吨</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原料</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，每批次涨发时间约2h，</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漂洗浸泡</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时间约</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24</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h</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除去准备时间，涨发</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漂洗</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1批次</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需2</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天</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，1批次用100个涨发桶</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项目配置足够的涨发桶，可满足每天涨发漂洗1</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批次</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项目年工作300d，涨发次数为</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30</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0批次/a，则涨发能力为1</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8</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00t/a，可满足本项目原料年耗量1</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00t/a的能力要求。</w:t>
            </w:r>
          </w:p>
          <w:p w14:paraId="57E9CA96">
            <w:pPr>
              <w:keepNext w:val="0"/>
              <w:keepLines w:val="0"/>
              <w:pageBreakBefore w:val="0"/>
              <w:kinsoku/>
              <w:wordWrap/>
              <w:overflowPunct/>
              <w:topLinePunct w:val="0"/>
              <w:autoSpaceDE/>
              <w:autoSpaceDN/>
              <w:bidi w:val="0"/>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2.6</w:t>
            </w:r>
            <w:r>
              <w:rPr>
                <w:b/>
                <w:color w:val="000000" w:themeColor="text1"/>
                <w:highlight w:val="none"/>
                <w14:textFill>
                  <w14:solidFill>
                    <w14:schemeClr w14:val="tx1"/>
                  </w14:solidFill>
                </w14:textFill>
              </w:rPr>
              <w:t>主要原辅材料</w:t>
            </w:r>
          </w:p>
          <w:p w14:paraId="728D451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项目运营期能源消耗见表2</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14:paraId="0545E357">
            <w:pPr>
              <w:pStyle w:val="4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.6-1</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能耗一览表</w:t>
            </w:r>
          </w:p>
          <w:tbl>
            <w:tblPr>
              <w:tblStyle w:val="2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3077"/>
              <w:gridCol w:w="2894"/>
              <w:gridCol w:w="2128"/>
            </w:tblGrid>
            <w:tr w14:paraId="7A76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19" w:type="dxa"/>
                  <w:vAlign w:val="center"/>
                </w:tcPr>
                <w:p w14:paraId="6C7BED3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tc>
              <w:tc>
                <w:tcPr>
                  <w:tcW w:w="3077" w:type="dxa"/>
                  <w:vAlign w:val="center"/>
                </w:tcPr>
                <w:p w14:paraId="72536DF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能源名称</w:t>
                  </w:r>
                </w:p>
              </w:tc>
              <w:tc>
                <w:tcPr>
                  <w:tcW w:w="2894" w:type="dxa"/>
                  <w:vAlign w:val="center"/>
                </w:tcPr>
                <w:p w14:paraId="5190D08B">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耗量</w:t>
                  </w:r>
                </w:p>
              </w:tc>
              <w:tc>
                <w:tcPr>
                  <w:tcW w:w="2128" w:type="dxa"/>
                  <w:vAlign w:val="center"/>
                </w:tcPr>
                <w:p w14:paraId="7DCCB98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备注</w:t>
                  </w:r>
                </w:p>
              </w:tc>
            </w:tr>
            <w:tr w14:paraId="3E2E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19" w:type="dxa"/>
                  <w:vMerge w:val="restart"/>
                  <w:vAlign w:val="center"/>
                </w:tcPr>
                <w:p w14:paraId="6A4FBCE6">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能源消耗</w:t>
                  </w:r>
                </w:p>
              </w:tc>
              <w:tc>
                <w:tcPr>
                  <w:tcW w:w="3077" w:type="dxa"/>
                  <w:shd w:val="clear" w:color="auto" w:fill="auto"/>
                  <w:vAlign w:val="center"/>
                </w:tcPr>
                <w:p w14:paraId="78C248FD">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新鲜水</w:t>
                  </w:r>
                </w:p>
              </w:tc>
              <w:tc>
                <w:tcPr>
                  <w:tcW w:w="2894" w:type="dxa"/>
                  <w:shd w:val="clear" w:color="auto" w:fill="auto"/>
                  <w:vAlign w:val="center"/>
                </w:tcPr>
                <w:p w14:paraId="2FFDA8EA">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70614.45</w:t>
                  </w:r>
                  <w:bookmarkStart w:id="9" w:name="_GoBack"/>
                  <w:bookmarkEnd w:id="9"/>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/a</w:t>
                  </w:r>
                </w:p>
              </w:tc>
              <w:tc>
                <w:tcPr>
                  <w:tcW w:w="2128" w:type="dxa"/>
                  <w:vMerge w:val="restart"/>
                  <w:vAlign w:val="center"/>
                </w:tcPr>
                <w:p w14:paraId="05BF37A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市政供给</w:t>
                  </w:r>
                </w:p>
              </w:tc>
            </w:tr>
            <w:tr w14:paraId="524E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19" w:type="dxa"/>
                  <w:vMerge w:val="continue"/>
                  <w:vAlign w:val="center"/>
                </w:tcPr>
                <w:p w14:paraId="3503525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77" w:type="dxa"/>
                  <w:shd w:val="clear" w:color="auto" w:fill="auto"/>
                  <w:vAlign w:val="center"/>
                </w:tcPr>
                <w:p w14:paraId="77A01FDA">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电</w:t>
                  </w:r>
                </w:p>
              </w:tc>
              <w:tc>
                <w:tcPr>
                  <w:tcW w:w="2894" w:type="dxa"/>
                  <w:shd w:val="clear" w:color="auto" w:fill="auto"/>
                  <w:vAlign w:val="center"/>
                </w:tcPr>
                <w:p w14:paraId="62EAE987">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highlight w:val="none"/>
                      <w14:textFill>
                        <w14:solidFill>
                          <w14:schemeClr w14:val="tx1"/>
                        </w14:solidFill>
                      </w14:textFill>
                    </w:rPr>
                    <w:t>0万</w:t>
                  </w:r>
                  <w:r>
                    <w:rPr>
                      <w:rFonts w:hint="default" w:ascii="Times New Roman" w:hAnsi="Times New Roman" w:cs="Times New Roman"/>
                      <w:color w:val="000000" w:themeColor="text1"/>
                      <w:sz w:val="21"/>
                      <w:szCs w:val="21"/>
                      <w:highlight w:val="none"/>
                      <w14:textFill>
                        <w14:solidFill>
                          <w14:schemeClr w14:val="tx1"/>
                        </w14:solidFill>
                      </w14:textFill>
                    </w:rPr>
                    <w:t>kWh/a</w:t>
                  </w:r>
                </w:p>
              </w:tc>
              <w:tc>
                <w:tcPr>
                  <w:tcW w:w="2128" w:type="dxa"/>
                  <w:vMerge w:val="continue"/>
                  <w:vAlign w:val="center"/>
                </w:tcPr>
                <w:p w14:paraId="6296830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14:paraId="0725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19" w:type="dxa"/>
                  <w:vMerge w:val="continue"/>
                  <w:vAlign w:val="center"/>
                </w:tcPr>
                <w:p w14:paraId="77DF9C8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77" w:type="dxa"/>
                  <w:shd w:val="clear" w:color="auto" w:fill="auto"/>
                  <w:vAlign w:val="center"/>
                </w:tcPr>
                <w:p w14:paraId="7E743742">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天然气</w:t>
                  </w:r>
                </w:p>
              </w:tc>
              <w:tc>
                <w:tcPr>
                  <w:tcW w:w="2894" w:type="dxa"/>
                  <w:shd w:val="clear" w:color="auto" w:fill="auto"/>
                  <w:vAlign w:val="center"/>
                </w:tcPr>
                <w:p w14:paraId="2FE2C343">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cs="Times New Roman"/>
                      <w:color w:val="000000" w:themeColor="text1"/>
                      <w:sz w:val="21"/>
                      <w:szCs w:val="21"/>
                      <w:highlight w:val="none"/>
                      <w14:textFill>
                        <w14:solidFill>
                          <w14:schemeClr w14:val="tx1"/>
                        </w14:solidFill>
                      </w14:textFill>
                    </w:rPr>
                    <w:t>万m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/a</w:t>
                  </w:r>
                </w:p>
              </w:tc>
              <w:tc>
                <w:tcPr>
                  <w:tcW w:w="2128" w:type="dxa"/>
                  <w:vMerge w:val="continue"/>
                  <w:vAlign w:val="center"/>
                </w:tcPr>
                <w:p w14:paraId="4514D916">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bl>
          <w:p w14:paraId="05074E75">
            <w:pPr>
              <w:keepNext w:val="0"/>
              <w:keepLines w:val="0"/>
              <w:pageBreakBefore w:val="0"/>
              <w:kinsoku/>
              <w:wordWrap/>
              <w:overflowPunct/>
              <w:topLinePunct w:val="0"/>
              <w:autoSpaceDE/>
              <w:autoSpaceDN/>
              <w:bidi w:val="0"/>
              <w:spacing w:line="360" w:lineRule="auto"/>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项目运营期</w:t>
            </w:r>
            <w:r>
              <w:rPr>
                <w:rFonts w:hint="eastAsia"/>
                <w:color w:val="000000" w:themeColor="text1"/>
                <w:highlight w:val="none"/>
                <w14:textFill>
                  <w14:solidFill>
                    <w14:schemeClr w14:val="tx1"/>
                  </w14:solidFill>
                </w14:textFill>
              </w:rPr>
              <w:t>原辅料及</w:t>
            </w:r>
            <w:r>
              <w:rPr>
                <w:color w:val="000000" w:themeColor="text1"/>
                <w:highlight w:val="none"/>
                <w14:textFill>
                  <w14:solidFill>
                    <w14:schemeClr w14:val="tx1"/>
                  </w14:solidFill>
                </w14:textFill>
              </w:rPr>
              <w:t>能源消耗见表2</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7F5FC98A">
            <w:pPr>
              <w:pStyle w:val="44"/>
              <w:keepNext w:val="0"/>
              <w:keepLines w:val="0"/>
              <w:pageBreakBefore w:val="0"/>
              <w:widowControl w:val="0"/>
              <w:kinsoku/>
              <w:wordWrap/>
              <w:overflowPunct/>
              <w:topLinePunct w:val="0"/>
              <w:autoSpaceDE/>
              <w:autoSpaceDN/>
              <w:bidi w:val="0"/>
              <w:adjustRightInd/>
              <w:snapToGrid/>
              <w:spacing w:before="0" w:beforeLines="0" w:line="240" w:lineRule="auto"/>
              <w:jc w:val="center"/>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项目原辅料及</w:t>
            </w:r>
            <w:r>
              <w:rPr>
                <w:color w:val="000000" w:themeColor="text1"/>
                <w:highlight w:val="none"/>
                <w14:textFill>
                  <w14:solidFill>
                    <w14:schemeClr w14:val="tx1"/>
                  </w14:solidFill>
                </w14:textFill>
              </w:rPr>
              <w:t>能耗一览表</w:t>
            </w:r>
          </w:p>
          <w:tbl>
            <w:tblPr>
              <w:tblStyle w:val="28"/>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614"/>
              <w:gridCol w:w="2034"/>
              <w:gridCol w:w="970"/>
              <w:gridCol w:w="1420"/>
              <w:gridCol w:w="1350"/>
              <w:gridCol w:w="1140"/>
            </w:tblGrid>
            <w:tr w14:paraId="7427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4883E45F">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序号</w:t>
                  </w:r>
                </w:p>
              </w:tc>
              <w:tc>
                <w:tcPr>
                  <w:tcW w:w="1614" w:type="dxa"/>
                  <w:vAlign w:val="center"/>
                </w:tcPr>
                <w:p w14:paraId="789D3F03">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原辅料名称</w:t>
                  </w:r>
                </w:p>
              </w:tc>
              <w:tc>
                <w:tcPr>
                  <w:tcW w:w="2034" w:type="dxa"/>
                  <w:vAlign w:val="center"/>
                </w:tcPr>
                <w:p w14:paraId="2AA912DD">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主要成分</w:t>
                  </w:r>
                </w:p>
              </w:tc>
              <w:tc>
                <w:tcPr>
                  <w:tcW w:w="970" w:type="dxa"/>
                  <w:vAlign w:val="center"/>
                </w:tcPr>
                <w:p w14:paraId="208C7C4B">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年</w:t>
                  </w:r>
                  <w:r>
                    <w:rPr>
                      <w:rFonts w:hint="default" w:ascii="Times New Roman" w:hAnsi="Times New Roman" w:cs="Times New Roman"/>
                      <w:b/>
                      <w:bCs/>
                      <w:color w:val="000000" w:themeColor="text1"/>
                      <w:sz w:val="21"/>
                      <w:szCs w:val="21"/>
                      <w:highlight w:val="none"/>
                      <w14:textFill>
                        <w14:solidFill>
                          <w14:schemeClr w14:val="tx1"/>
                        </w14:solidFill>
                      </w14:textFill>
                    </w:rPr>
                    <w:t>耗量t</w:t>
                  </w:r>
                </w:p>
              </w:tc>
              <w:tc>
                <w:tcPr>
                  <w:tcW w:w="1420" w:type="dxa"/>
                  <w:vAlign w:val="center"/>
                </w:tcPr>
                <w:p w14:paraId="3FC99B3C">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最大储存量</w:t>
                  </w:r>
                  <w:r>
                    <w:rPr>
                      <w:rFonts w:hint="default" w:ascii="Times New Roman" w:hAnsi="Times New Roman" w:cs="Times New Roman"/>
                      <w:color w:val="000000" w:themeColor="text1"/>
                      <w:sz w:val="21"/>
                      <w:szCs w:val="21"/>
                      <w:highlight w:val="none"/>
                      <w14:textFill>
                        <w14:solidFill>
                          <w14:schemeClr w14:val="tx1"/>
                        </w14:solidFill>
                      </w14:textFill>
                    </w:rPr>
                    <w:t>t</w:t>
                  </w:r>
                </w:p>
              </w:tc>
              <w:tc>
                <w:tcPr>
                  <w:tcW w:w="1350" w:type="dxa"/>
                  <w:vAlign w:val="center"/>
                </w:tcPr>
                <w:p w14:paraId="295A55E9">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暂存位置</w:t>
                  </w:r>
                </w:p>
              </w:tc>
              <w:tc>
                <w:tcPr>
                  <w:tcW w:w="1140" w:type="dxa"/>
                  <w:vAlign w:val="center"/>
                </w:tcPr>
                <w:p w14:paraId="7F0F295D">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涨发比例</w:t>
                  </w:r>
                </w:p>
              </w:tc>
            </w:tr>
            <w:tr w14:paraId="64FE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3D42666E">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614" w:type="dxa"/>
                  <w:shd w:val="clear" w:color="auto" w:fill="auto"/>
                  <w:vAlign w:val="center"/>
                </w:tcPr>
                <w:p w14:paraId="4E0C764D">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毛肚</w:t>
                  </w:r>
                </w:p>
              </w:tc>
              <w:tc>
                <w:tcPr>
                  <w:tcW w:w="2034" w:type="dxa"/>
                  <w:shd w:val="clear" w:color="auto" w:fill="auto"/>
                  <w:vAlign w:val="center"/>
                </w:tcPr>
                <w:p w14:paraId="25536C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2DEBD591">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750</w:t>
                  </w:r>
                </w:p>
              </w:tc>
              <w:tc>
                <w:tcPr>
                  <w:tcW w:w="1420" w:type="dxa"/>
                  <w:vAlign w:val="center"/>
                </w:tcPr>
                <w:p w14:paraId="7E0F2AFE">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1350" w:type="dxa"/>
                  <w:vAlign w:val="center"/>
                </w:tcPr>
                <w:p w14:paraId="471D50CA">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冻库</w:t>
                  </w:r>
                </w:p>
              </w:tc>
              <w:tc>
                <w:tcPr>
                  <w:tcW w:w="1140" w:type="dxa"/>
                  <w:vMerge w:val="restart"/>
                  <w:vAlign w:val="center"/>
                </w:tcPr>
                <w:p w14:paraId="78D2D4D7">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r>
            <w:tr w14:paraId="301E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4EDF447F">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614" w:type="dxa"/>
                  <w:shd w:val="clear" w:color="auto" w:fill="auto"/>
                  <w:vAlign w:val="center"/>
                </w:tcPr>
                <w:p w14:paraId="78FF7F0A">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鸭肠</w:t>
                  </w:r>
                </w:p>
              </w:tc>
              <w:tc>
                <w:tcPr>
                  <w:tcW w:w="2034" w:type="dxa"/>
                  <w:shd w:val="clear" w:color="auto" w:fill="auto"/>
                  <w:vAlign w:val="center"/>
                </w:tcPr>
                <w:p w14:paraId="0D901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294DC602">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85</w:t>
                  </w:r>
                </w:p>
              </w:tc>
              <w:tc>
                <w:tcPr>
                  <w:tcW w:w="1420" w:type="dxa"/>
                  <w:vAlign w:val="center"/>
                </w:tcPr>
                <w:p w14:paraId="61FE2A09">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350" w:type="dxa"/>
                  <w:vAlign w:val="center"/>
                </w:tcPr>
                <w:p w14:paraId="3B1C54D4">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冻库</w:t>
                  </w:r>
                </w:p>
              </w:tc>
              <w:tc>
                <w:tcPr>
                  <w:tcW w:w="1140" w:type="dxa"/>
                  <w:vMerge w:val="continue"/>
                  <w:vAlign w:val="center"/>
                </w:tcPr>
                <w:p w14:paraId="4EB4A8BF">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r>
            <w:tr w14:paraId="047C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620DF5A6">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614" w:type="dxa"/>
                  <w:shd w:val="clear" w:color="auto" w:fill="auto"/>
                  <w:vAlign w:val="center"/>
                </w:tcPr>
                <w:p w14:paraId="2EE5E310">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鹅肠</w:t>
                  </w:r>
                </w:p>
              </w:tc>
              <w:tc>
                <w:tcPr>
                  <w:tcW w:w="2034" w:type="dxa"/>
                  <w:shd w:val="clear" w:color="auto" w:fill="auto"/>
                  <w:vAlign w:val="center"/>
                </w:tcPr>
                <w:p w14:paraId="63AABE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423B4979">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w:t>
                  </w:r>
                </w:p>
              </w:tc>
              <w:tc>
                <w:tcPr>
                  <w:tcW w:w="1420" w:type="dxa"/>
                  <w:vAlign w:val="center"/>
                </w:tcPr>
                <w:p w14:paraId="08A5E4D6">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350" w:type="dxa"/>
                  <w:vAlign w:val="center"/>
                </w:tcPr>
                <w:p w14:paraId="48E64377">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冻库</w:t>
                  </w:r>
                </w:p>
              </w:tc>
              <w:tc>
                <w:tcPr>
                  <w:tcW w:w="1140" w:type="dxa"/>
                  <w:vMerge w:val="continue"/>
                  <w:vAlign w:val="center"/>
                </w:tcPr>
                <w:p w14:paraId="17C158EF">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r>
            <w:tr w14:paraId="786D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7B8CA55A">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1614" w:type="dxa"/>
                  <w:shd w:val="clear" w:color="auto" w:fill="auto"/>
                  <w:vAlign w:val="center"/>
                </w:tcPr>
                <w:p w14:paraId="34D7051E">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黄喉</w:t>
                  </w:r>
                </w:p>
              </w:tc>
              <w:tc>
                <w:tcPr>
                  <w:tcW w:w="2034" w:type="dxa"/>
                  <w:shd w:val="clear" w:color="auto" w:fill="auto"/>
                  <w:vAlign w:val="center"/>
                </w:tcPr>
                <w:p w14:paraId="5677C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0508BC78">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w:t>
                  </w:r>
                </w:p>
              </w:tc>
              <w:tc>
                <w:tcPr>
                  <w:tcW w:w="1420" w:type="dxa"/>
                  <w:vAlign w:val="center"/>
                </w:tcPr>
                <w:p w14:paraId="14D03B52">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350" w:type="dxa"/>
                  <w:vAlign w:val="center"/>
                </w:tcPr>
                <w:p w14:paraId="5F0452A7">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冻库</w:t>
                  </w:r>
                </w:p>
              </w:tc>
              <w:tc>
                <w:tcPr>
                  <w:tcW w:w="1140" w:type="dxa"/>
                  <w:vMerge w:val="continue"/>
                  <w:vAlign w:val="center"/>
                </w:tcPr>
                <w:p w14:paraId="5A1A6687">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r>
            <w:tr w14:paraId="2FB4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09573F72">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1614" w:type="dxa"/>
                  <w:shd w:val="clear" w:color="auto" w:fill="auto"/>
                  <w:vAlign w:val="center"/>
                </w:tcPr>
                <w:p w14:paraId="7FA599BA">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牛</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黄喉</w:t>
                  </w:r>
                </w:p>
              </w:tc>
              <w:tc>
                <w:tcPr>
                  <w:tcW w:w="2034" w:type="dxa"/>
                  <w:shd w:val="clear" w:color="auto" w:fill="auto"/>
                  <w:vAlign w:val="center"/>
                </w:tcPr>
                <w:p w14:paraId="51F6DC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323AB3E8">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95</w:t>
                  </w:r>
                </w:p>
              </w:tc>
              <w:tc>
                <w:tcPr>
                  <w:tcW w:w="1420" w:type="dxa"/>
                  <w:vAlign w:val="center"/>
                </w:tcPr>
                <w:p w14:paraId="7EB2C4FF">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350" w:type="dxa"/>
                  <w:vAlign w:val="center"/>
                </w:tcPr>
                <w:p w14:paraId="7FD8E3ED">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冻库</w:t>
                  </w:r>
                </w:p>
              </w:tc>
              <w:tc>
                <w:tcPr>
                  <w:tcW w:w="1140" w:type="dxa"/>
                  <w:vMerge w:val="continue"/>
                  <w:vAlign w:val="center"/>
                </w:tcPr>
                <w:p w14:paraId="3BE45265">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r>
            <w:tr w14:paraId="225B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shd w:val="clear" w:color="auto" w:fill="auto"/>
                  <w:vAlign w:val="center"/>
                </w:tcPr>
                <w:p w14:paraId="20727855">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w:t>
                  </w:r>
                </w:p>
              </w:tc>
              <w:tc>
                <w:tcPr>
                  <w:tcW w:w="1614" w:type="dxa"/>
                  <w:shd w:val="clear" w:color="auto" w:fill="auto"/>
                  <w:vAlign w:val="center"/>
                </w:tcPr>
                <w:p w14:paraId="0EE0F29B">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蹄筋</w:t>
                  </w:r>
                </w:p>
              </w:tc>
              <w:tc>
                <w:tcPr>
                  <w:tcW w:w="2034" w:type="dxa"/>
                  <w:shd w:val="clear" w:color="auto" w:fill="auto"/>
                  <w:vAlign w:val="center"/>
                </w:tcPr>
                <w:p w14:paraId="6F80D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3BF0764F">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195</w:t>
                  </w:r>
                </w:p>
              </w:tc>
              <w:tc>
                <w:tcPr>
                  <w:tcW w:w="1420" w:type="dxa"/>
                  <w:vAlign w:val="center"/>
                </w:tcPr>
                <w:p w14:paraId="6611AAAB">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350" w:type="dxa"/>
                  <w:vAlign w:val="center"/>
                </w:tcPr>
                <w:p w14:paraId="1CCEB7A8">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冻库</w:t>
                  </w:r>
                </w:p>
              </w:tc>
              <w:tc>
                <w:tcPr>
                  <w:tcW w:w="1140" w:type="dxa"/>
                  <w:vMerge w:val="continue"/>
                  <w:vAlign w:val="center"/>
                </w:tcPr>
                <w:p w14:paraId="6538360E">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r>
            <w:tr w14:paraId="1ABD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shd w:val="clear" w:color="auto" w:fill="auto"/>
                  <w:vAlign w:val="center"/>
                </w:tcPr>
                <w:p w14:paraId="0E03FA6C">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1614" w:type="dxa"/>
                  <w:shd w:val="clear" w:color="auto" w:fill="auto"/>
                  <w:vAlign w:val="center"/>
                </w:tcPr>
                <w:p w14:paraId="6470B743">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牛鞭</w:t>
                  </w:r>
                </w:p>
              </w:tc>
              <w:tc>
                <w:tcPr>
                  <w:tcW w:w="2034" w:type="dxa"/>
                  <w:shd w:val="clear" w:color="auto" w:fill="auto"/>
                  <w:vAlign w:val="center"/>
                </w:tcPr>
                <w:p w14:paraId="01926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13355E56">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195</w:t>
                  </w:r>
                </w:p>
              </w:tc>
              <w:tc>
                <w:tcPr>
                  <w:tcW w:w="1420" w:type="dxa"/>
                  <w:vAlign w:val="center"/>
                </w:tcPr>
                <w:p w14:paraId="01A1C0E5">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350" w:type="dxa"/>
                  <w:vAlign w:val="center"/>
                </w:tcPr>
                <w:p w14:paraId="12181E17">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冻库</w:t>
                  </w:r>
                </w:p>
              </w:tc>
              <w:tc>
                <w:tcPr>
                  <w:tcW w:w="1140" w:type="dxa"/>
                  <w:vMerge w:val="continue"/>
                  <w:vAlign w:val="center"/>
                </w:tcPr>
                <w:p w14:paraId="6BCB1E78">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r>
            <w:tr w14:paraId="1435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shd w:val="clear" w:color="auto" w:fill="auto"/>
                  <w:vAlign w:val="center"/>
                </w:tcPr>
                <w:p w14:paraId="5301858F">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p>
              </w:tc>
              <w:tc>
                <w:tcPr>
                  <w:tcW w:w="1614" w:type="dxa"/>
                  <w:shd w:val="clear" w:color="auto" w:fill="auto"/>
                  <w:vAlign w:val="center"/>
                </w:tcPr>
                <w:p w14:paraId="46FB1317">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碳酸钠</w:t>
                  </w:r>
                </w:p>
              </w:tc>
              <w:tc>
                <w:tcPr>
                  <w:tcW w:w="2034" w:type="dxa"/>
                  <w:shd w:val="clear" w:color="auto" w:fill="auto"/>
                  <w:vAlign w:val="center"/>
                </w:tcPr>
                <w:p w14:paraId="726BF086">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碳酸钠</w:t>
                  </w:r>
                </w:p>
              </w:tc>
              <w:tc>
                <w:tcPr>
                  <w:tcW w:w="970" w:type="dxa"/>
                  <w:shd w:val="clear" w:color="auto" w:fill="auto"/>
                  <w:vAlign w:val="center"/>
                </w:tcPr>
                <w:p w14:paraId="045739C2">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0.75</w:t>
                  </w:r>
                </w:p>
              </w:tc>
              <w:tc>
                <w:tcPr>
                  <w:tcW w:w="1420" w:type="dxa"/>
                  <w:vAlign w:val="center"/>
                </w:tcPr>
                <w:p w14:paraId="70120BEB">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w:t>
                  </w:r>
                </w:p>
              </w:tc>
              <w:tc>
                <w:tcPr>
                  <w:tcW w:w="1350" w:type="dxa"/>
                  <w:vAlign w:val="center"/>
                </w:tcPr>
                <w:p w14:paraId="41619C85">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添加剂库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/配料间</w:t>
                  </w:r>
                </w:p>
              </w:tc>
              <w:tc>
                <w:tcPr>
                  <w:tcW w:w="1140" w:type="dxa"/>
                  <w:vAlign w:val="center"/>
                </w:tcPr>
                <w:p w14:paraId="1E7BE769">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5898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08" w:type="dxa"/>
                  <w:shd w:val="clear" w:color="auto" w:fill="auto"/>
                  <w:vAlign w:val="center"/>
                </w:tcPr>
                <w:p w14:paraId="733BECB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w:t>
                  </w:r>
                </w:p>
              </w:tc>
              <w:tc>
                <w:tcPr>
                  <w:tcW w:w="1614" w:type="dxa"/>
                  <w:shd w:val="clear" w:color="auto" w:fill="auto"/>
                  <w:vAlign w:val="center"/>
                </w:tcPr>
                <w:p w14:paraId="26014466">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氢氧化钠</w:t>
                  </w:r>
                </w:p>
              </w:tc>
              <w:tc>
                <w:tcPr>
                  <w:tcW w:w="2034" w:type="dxa"/>
                  <w:shd w:val="clear" w:color="auto" w:fill="auto"/>
                  <w:vAlign w:val="center"/>
                </w:tcPr>
                <w:p w14:paraId="23156C15">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氢氧化钠</w:t>
                  </w:r>
                </w:p>
              </w:tc>
              <w:tc>
                <w:tcPr>
                  <w:tcW w:w="970" w:type="dxa"/>
                  <w:shd w:val="clear" w:color="auto" w:fill="auto"/>
                  <w:vAlign w:val="center"/>
                </w:tcPr>
                <w:p w14:paraId="6F81F1BC">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w:t>
                  </w:r>
                </w:p>
              </w:tc>
              <w:tc>
                <w:tcPr>
                  <w:tcW w:w="1420" w:type="dxa"/>
                  <w:vAlign w:val="center"/>
                </w:tcPr>
                <w:p w14:paraId="4DEC5EC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350" w:type="dxa"/>
                  <w:vAlign w:val="center"/>
                </w:tcPr>
                <w:p w14:paraId="599AE810">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添加剂库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/配料间</w:t>
                  </w:r>
                </w:p>
              </w:tc>
              <w:tc>
                <w:tcPr>
                  <w:tcW w:w="1140" w:type="dxa"/>
                  <w:vAlign w:val="center"/>
                </w:tcPr>
                <w:p w14:paraId="12256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38A1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shd w:val="clear" w:color="auto" w:fill="auto"/>
                  <w:vAlign w:val="center"/>
                </w:tcPr>
                <w:p w14:paraId="3738DA49">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w:t>
                  </w:r>
                </w:p>
              </w:tc>
              <w:tc>
                <w:tcPr>
                  <w:tcW w:w="1614" w:type="dxa"/>
                  <w:shd w:val="clear" w:color="auto" w:fill="auto"/>
                  <w:vAlign w:val="center"/>
                </w:tcPr>
                <w:p w14:paraId="7DC7BDA1">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盐</w:t>
                  </w:r>
                </w:p>
              </w:tc>
              <w:tc>
                <w:tcPr>
                  <w:tcW w:w="2034" w:type="dxa"/>
                  <w:shd w:val="clear" w:color="auto" w:fill="auto"/>
                  <w:vAlign w:val="center"/>
                </w:tcPr>
                <w:p w14:paraId="2195F0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40E6B73F">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w:t>
                  </w:r>
                </w:p>
              </w:tc>
              <w:tc>
                <w:tcPr>
                  <w:tcW w:w="1420" w:type="dxa"/>
                  <w:vAlign w:val="center"/>
                </w:tcPr>
                <w:p w14:paraId="63958884">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350" w:type="dxa"/>
                  <w:vAlign w:val="center"/>
                </w:tcPr>
                <w:p w14:paraId="0CA50B3C">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添加剂库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/配料间</w:t>
                  </w:r>
                </w:p>
              </w:tc>
              <w:tc>
                <w:tcPr>
                  <w:tcW w:w="1140" w:type="dxa"/>
                  <w:vAlign w:val="center"/>
                </w:tcPr>
                <w:p w14:paraId="372B0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0923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shd w:val="clear" w:color="auto" w:fill="auto"/>
                  <w:vAlign w:val="center"/>
                </w:tcPr>
                <w:p w14:paraId="09394A01">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11</w:t>
                  </w:r>
                </w:p>
              </w:tc>
              <w:tc>
                <w:tcPr>
                  <w:tcW w:w="1614" w:type="dxa"/>
                  <w:shd w:val="clear" w:color="auto" w:fill="auto"/>
                  <w:vAlign w:val="center"/>
                </w:tcPr>
                <w:p w14:paraId="2016C657">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柴油</w:t>
                  </w:r>
                </w:p>
              </w:tc>
              <w:tc>
                <w:tcPr>
                  <w:tcW w:w="2034" w:type="dxa"/>
                  <w:shd w:val="clear" w:color="auto" w:fill="auto"/>
                  <w:vAlign w:val="center"/>
                </w:tcPr>
                <w:p w14:paraId="5D778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70" w:type="dxa"/>
                  <w:shd w:val="clear" w:color="auto" w:fill="auto"/>
                  <w:vAlign w:val="center"/>
                </w:tcPr>
                <w:p w14:paraId="33BDE6D9">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420" w:type="dxa"/>
                  <w:vAlign w:val="center"/>
                </w:tcPr>
                <w:p w14:paraId="1B5FBBF9">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350" w:type="dxa"/>
                  <w:vAlign w:val="center"/>
                </w:tcPr>
                <w:p w14:paraId="55352BBD">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2#楼-1F</w:t>
                  </w:r>
                </w:p>
              </w:tc>
              <w:tc>
                <w:tcPr>
                  <w:tcW w:w="1140" w:type="dxa"/>
                  <w:vAlign w:val="center"/>
                </w:tcPr>
                <w:p w14:paraId="64E94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0282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33721888">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w:t>
                  </w:r>
                </w:p>
              </w:tc>
              <w:tc>
                <w:tcPr>
                  <w:tcW w:w="1614" w:type="dxa"/>
                  <w:shd w:val="clear" w:color="auto" w:fill="auto"/>
                  <w:vAlign w:val="center"/>
                </w:tcPr>
                <w:p w14:paraId="47579D88">
                  <w:pPr>
                    <w:pStyle w:val="45"/>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洗洁精</w:t>
                  </w:r>
                </w:p>
              </w:tc>
              <w:tc>
                <w:tcPr>
                  <w:tcW w:w="2034" w:type="dxa"/>
                  <w:shd w:val="clear" w:color="auto" w:fill="auto"/>
                  <w:vAlign w:val="center"/>
                </w:tcPr>
                <w:p w14:paraId="13DA6F70">
                  <w:pPr>
                    <w:pStyle w:val="45"/>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直链烷基苯磺酸钠、十二烷基硫酸等</w:t>
                  </w:r>
                </w:p>
              </w:tc>
              <w:tc>
                <w:tcPr>
                  <w:tcW w:w="970" w:type="dxa"/>
                  <w:shd w:val="clear" w:color="auto" w:fill="auto"/>
                  <w:vAlign w:val="center"/>
                </w:tcPr>
                <w:p w14:paraId="2E9E682F">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420" w:type="dxa"/>
                  <w:vAlign w:val="center"/>
                </w:tcPr>
                <w:p w14:paraId="3ACF94DF">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350" w:type="dxa"/>
                  <w:vAlign w:val="center"/>
                </w:tcPr>
                <w:p w14:paraId="432557CD">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添加剂库</w:t>
                  </w:r>
                </w:p>
              </w:tc>
              <w:tc>
                <w:tcPr>
                  <w:tcW w:w="1140" w:type="dxa"/>
                  <w:vAlign w:val="center"/>
                </w:tcPr>
                <w:p w14:paraId="6FA2C9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2BF8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3D85FB58">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w:t>
                  </w:r>
                </w:p>
              </w:tc>
              <w:tc>
                <w:tcPr>
                  <w:tcW w:w="1614" w:type="dxa"/>
                  <w:shd w:val="clear" w:color="auto" w:fill="auto"/>
                  <w:vAlign w:val="center"/>
                </w:tcPr>
                <w:p w14:paraId="6C12F878">
                  <w:pPr>
                    <w:pStyle w:val="45"/>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R404</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cs="Times New Roman"/>
                      <w:color w:val="000000" w:themeColor="text1"/>
                      <w:sz w:val="21"/>
                      <w:szCs w:val="21"/>
                      <w:highlight w:val="none"/>
                      <w14:textFill>
                        <w14:solidFill>
                          <w14:schemeClr w14:val="tx1"/>
                        </w14:solidFill>
                      </w14:textFill>
                    </w:rPr>
                    <w:t>制冷剂</w:t>
                  </w:r>
                </w:p>
              </w:tc>
              <w:tc>
                <w:tcPr>
                  <w:tcW w:w="2034" w:type="dxa"/>
                  <w:shd w:val="clear" w:color="auto" w:fill="auto"/>
                  <w:vAlign w:val="center"/>
                </w:tcPr>
                <w:p w14:paraId="3E0C907C">
                  <w:pPr>
                    <w:pStyle w:val="45"/>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HFC125、HFC-134a和HFC-143</w:t>
                  </w:r>
                </w:p>
              </w:tc>
              <w:tc>
                <w:tcPr>
                  <w:tcW w:w="970" w:type="dxa"/>
                  <w:shd w:val="clear" w:color="auto" w:fill="auto"/>
                  <w:vAlign w:val="center"/>
                </w:tcPr>
                <w:p w14:paraId="35E37A59">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420" w:type="dxa"/>
                  <w:vAlign w:val="center"/>
                </w:tcPr>
                <w:p w14:paraId="55F6EE77">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0.1</w:t>
                  </w:r>
                </w:p>
              </w:tc>
              <w:tc>
                <w:tcPr>
                  <w:tcW w:w="1350" w:type="dxa"/>
                  <w:vAlign w:val="center"/>
                </w:tcPr>
                <w:p w14:paraId="5DBA1F45">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由供应商现场添加</w:t>
                  </w:r>
                </w:p>
              </w:tc>
              <w:tc>
                <w:tcPr>
                  <w:tcW w:w="1140" w:type="dxa"/>
                  <w:vAlign w:val="center"/>
                </w:tcPr>
                <w:p w14:paraId="15DD8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5CEC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36A75E87">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w:t>
                  </w:r>
                </w:p>
              </w:tc>
              <w:tc>
                <w:tcPr>
                  <w:tcW w:w="1614" w:type="dxa"/>
                  <w:shd w:val="clear" w:color="auto" w:fill="auto"/>
                  <w:vAlign w:val="center"/>
                </w:tcPr>
                <w:p w14:paraId="6D502254">
                  <w:pPr>
                    <w:pStyle w:val="45"/>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聚合氯化铝（PAC）</w:t>
                  </w:r>
                </w:p>
              </w:tc>
              <w:tc>
                <w:tcPr>
                  <w:tcW w:w="2034" w:type="dxa"/>
                  <w:shd w:val="clear" w:color="auto" w:fill="auto"/>
                  <w:vAlign w:val="center"/>
                </w:tcPr>
                <w:p w14:paraId="09BA72BF">
                  <w:pPr>
                    <w:pStyle w:val="45"/>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氯化铝</w:t>
                  </w:r>
                </w:p>
              </w:tc>
              <w:tc>
                <w:tcPr>
                  <w:tcW w:w="970" w:type="dxa"/>
                  <w:shd w:val="clear" w:color="auto" w:fill="auto"/>
                  <w:vAlign w:val="center"/>
                </w:tcPr>
                <w:p w14:paraId="09895797">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100</w:t>
                  </w:r>
                </w:p>
              </w:tc>
              <w:tc>
                <w:tcPr>
                  <w:tcW w:w="1420" w:type="dxa"/>
                  <w:vAlign w:val="center"/>
                </w:tcPr>
                <w:p w14:paraId="006A680F">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350" w:type="dxa"/>
                  <w:vAlign w:val="center"/>
                </w:tcPr>
                <w:p w14:paraId="6830D501">
                  <w:pPr>
                    <w:pStyle w:val="45"/>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污水处理站加药间</w:t>
                  </w:r>
                </w:p>
              </w:tc>
              <w:tc>
                <w:tcPr>
                  <w:tcW w:w="1140" w:type="dxa"/>
                  <w:vAlign w:val="center"/>
                </w:tcPr>
                <w:p w14:paraId="089B07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16C3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119A7176">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w:t>
                  </w:r>
                </w:p>
              </w:tc>
              <w:tc>
                <w:tcPr>
                  <w:tcW w:w="1614" w:type="dxa"/>
                  <w:shd w:val="clear" w:color="auto" w:fill="auto"/>
                  <w:vAlign w:val="center"/>
                </w:tcPr>
                <w:p w14:paraId="44E892CB">
                  <w:pPr>
                    <w:pStyle w:val="45"/>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聚丙烯酰胺（PAM）</w:t>
                  </w:r>
                </w:p>
              </w:tc>
              <w:tc>
                <w:tcPr>
                  <w:tcW w:w="2034" w:type="dxa"/>
                  <w:shd w:val="clear" w:color="auto" w:fill="auto"/>
                  <w:vAlign w:val="center"/>
                </w:tcPr>
                <w:p w14:paraId="57887907">
                  <w:pPr>
                    <w:pStyle w:val="45"/>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丙烯酰胺</w:t>
                  </w:r>
                </w:p>
              </w:tc>
              <w:tc>
                <w:tcPr>
                  <w:tcW w:w="970" w:type="dxa"/>
                  <w:shd w:val="clear" w:color="auto" w:fill="auto"/>
                  <w:vAlign w:val="center"/>
                </w:tcPr>
                <w:p w14:paraId="17DD2ADF">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w:t>
                  </w:r>
                </w:p>
              </w:tc>
              <w:tc>
                <w:tcPr>
                  <w:tcW w:w="1420" w:type="dxa"/>
                  <w:vAlign w:val="center"/>
                </w:tcPr>
                <w:p w14:paraId="230EFF72">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350" w:type="dxa"/>
                  <w:vAlign w:val="center"/>
                </w:tcPr>
                <w:p w14:paraId="7DAED4EC">
                  <w:pPr>
                    <w:pStyle w:val="45"/>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污水处理站加药间</w:t>
                  </w:r>
                </w:p>
              </w:tc>
              <w:tc>
                <w:tcPr>
                  <w:tcW w:w="1140" w:type="dxa"/>
                  <w:vAlign w:val="center"/>
                </w:tcPr>
                <w:p w14:paraId="243A9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64AF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5232BCE9">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w:t>
                  </w:r>
                </w:p>
              </w:tc>
              <w:tc>
                <w:tcPr>
                  <w:tcW w:w="1614" w:type="dxa"/>
                  <w:shd w:val="clear" w:color="auto" w:fill="auto"/>
                  <w:vAlign w:val="center"/>
                </w:tcPr>
                <w:p w14:paraId="4260A397">
                  <w:pPr>
                    <w:pStyle w:val="45"/>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消毒剂</w:t>
                  </w:r>
                </w:p>
              </w:tc>
              <w:tc>
                <w:tcPr>
                  <w:tcW w:w="2034" w:type="dxa"/>
                  <w:shd w:val="clear" w:color="auto" w:fill="auto"/>
                  <w:vAlign w:val="center"/>
                </w:tcPr>
                <w:p w14:paraId="048EA74A">
                  <w:pPr>
                    <w:pStyle w:val="45"/>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次氯酸钠</w:t>
                  </w:r>
                </w:p>
              </w:tc>
              <w:tc>
                <w:tcPr>
                  <w:tcW w:w="970" w:type="dxa"/>
                  <w:shd w:val="clear" w:color="auto" w:fill="auto"/>
                  <w:vAlign w:val="center"/>
                </w:tcPr>
                <w:p w14:paraId="51F5EEE0">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1420" w:type="dxa"/>
                  <w:vAlign w:val="center"/>
                </w:tcPr>
                <w:p w14:paraId="08F6F5CB">
                  <w:pPr>
                    <w:pStyle w:val="45"/>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350" w:type="dxa"/>
                  <w:vAlign w:val="center"/>
                </w:tcPr>
                <w:p w14:paraId="1E11FA5B">
                  <w:pPr>
                    <w:pStyle w:val="45"/>
                    <w:ind w:firstLine="0" w:firstLine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污水处理站加药间</w:t>
                  </w:r>
                </w:p>
              </w:tc>
              <w:tc>
                <w:tcPr>
                  <w:tcW w:w="1140" w:type="dxa"/>
                  <w:vAlign w:val="center"/>
                </w:tcPr>
                <w:p w14:paraId="4EDD4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bl>
          <w:p w14:paraId="08F072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Times New Roman" w:hAnsi="Times New Roman" w:cs="Times New Roman"/>
                <w:b/>
                <w:bCs/>
                <w:snapToGrid w:val="0"/>
                <w:color w:val="000000" w:themeColor="text1"/>
                <w:kern w:val="0"/>
                <w:sz w:val="24"/>
                <w:szCs w:val="24"/>
                <w:highlight w:val="none"/>
                <w:lang w:eastAsia="zh-CN"/>
                <w14:textFill>
                  <w14:solidFill>
                    <w14:schemeClr w14:val="tx1"/>
                  </w14:solidFill>
                </w14:textFill>
              </w:rPr>
            </w:pPr>
            <w:r>
              <w:rPr>
                <w:rFonts w:ascii="Times New Roman" w:hAnsi="Times New Roman" w:cs="Times New Roman"/>
                <w:b/>
                <w:bCs/>
                <w:snapToGrid w:val="0"/>
                <w:color w:val="000000" w:themeColor="text1"/>
                <w:kern w:val="0"/>
                <w:sz w:val="24"/>
                <w:szCs w:val="24"/>
                <w:highlight w:val="none"/>
                <w14:textFill>
                  <w14:solidFill>
                    <w14:schemeClr w14:val="tx1"/>
                  </w14:solidFill>
                </w14:textFill>
              </w:rPr>
              <w:t>原辅料性质</w:t>
            </w:r>
            <w:r>
              <w:rPr>
                <w:rFonts w:hint="eastAsia" w:ascii="Times New Roman" w:hAnsi="Times New Roman" w:cs="Times New Roman"/>
                <w:b/>
                <w:bCs/>
                <w:snapToGrid w:val="0"/>
                <w:color w:val="000000" w:themeColor="text1"/>
                <w:kern w:val="0"/>
                <w:sz w:val="24"/>
                <w:szCs w:val="24"/>
                <w:highlight w:val="none"/>
                <w:lang w:eastAsia="zh-CN"/>
                <w14:textFill>
                  <w14:solidFill>
                    <w14:schemeClr w14:val="tx1"/>
                  </w14:solidFill>
                </w14:textFill>
              </w:rPr>
              <w:t>：</w:t>
            </w:r>
          </w:p>
          <w:p w14:paraId="253A10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碳酸钠：</w:t>
            </w:r>
            <w:r>
              <w:rPr>
                <w:rFonts w:ascii="Times New Roman" w:hAnsi="Times New Roman" w:eastAsia="宋体" w:cs="Times New Roman"/>
                <w:snapToGrid w:val="0"/>
                <w:color w:val="000000" w:themeColor="text1"/>
                <w:kern w:val="0"/>
                <w:sz w:val="24"/>
                <w:szCs w:val="24"/>
                <w:highlight w:val="none"/>
                <w14:textFill>
                  <w14:solidFill>
                    <w14:schemeClr w14:val="tx1"/>
                  </w14:solidFill>
                </w14:textFill>
              </w:rPr>
              <w:t>白</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色粉末</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ascii="Times New Roman" w:hAnsi="Times New Roman" w:eastAsia="宋体" w:cs="Times New Roman"/>
                <w:snapToGrid w:val="0"/>
                <w:color w:val="000000" w:themeColor="text1"/>
                <w:kern w:val="0"/>
                <w:sz w:val="24"/>
                <w:szCs w:val="24"/>
                <w:highlight w:val="none"/>
                <w14:textFill>
                  <w14:solidFill>
                    <w14:schemeClr w14:val="tx1"/>
                  </w14:solidFill>
                </w14:textFill>
              </w:rPr>
              <w:t>易溶于水和甘油，微溶于无水乙醇，难溶于丙醇</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，具有盐的通性，属于无机盐。</w:t>
            </w:r>
            <w:r>
              <w:rPr>
                <w:rFonts w:ascii="Times New Roman" w:hAnsi="Times New Roman" w:eastAsia="宋体" w:cs="Times New Roman"/>
                <w:snapToGrid w:val="0"/>
                <w:color w:val="000000" w:themeColor="text1"/>
                <w:kern w:val="0"/>
                <w:sz w:val="24"/>
                <w:szCs w:val="24"/>
                <w:highlight w:val="none"/>
                <w14:textFill>
                  <w14:solidFill>
                    <w14:schemeClr w14:val="tx1"/>
                  </w14:solidFill>
                </w14:textFill>
              </w:rPr>
              <w:t>在水溶液或熔融状态下能导电，并且水溶液有涩味和滑腻感</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ascii="Times New Roman" w:hAnsi="Times New Roman" w:eastAsia="宋体" w:cs="Times New Roman"/>
                <w:snapToGrid w:val="0"/>
                <w:color w:val="000000" w:themeColor="text1"/>
                <w:kern w:val="0"/>
                <w:sz w:val="24"/>
                <w:szCs w:val="24"/>
                <w:highlight w:val="none"/>
                <w14:textFill>
                  <w14:solidFill>
                    <w14:schemeClr w14:val="tx1"/>
                  </w14:solidFill>
                </w14:textFill>
              </w:rPr>
              <w:t>碳酸钠的水溶液</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呈碱性且有一定的腐蚀性</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70AC3D91">
            <w:pPr>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氢氧化钠：一种白色半透明晶体固体，其水溶液具有涩味和油腻感，在空气中易潮解，极易溶于水，溶解过程中释放出大量的热量，其水溶液呈强碱性，能使酚酞变红。溶于乙醇、甘油。能与许多有机、无机化合物起化学反应，腐蚀性很强，能灼伤人体皮肤等。</w:t>
            </w:r>
          </w:p>
          <w:p w14:paraId="731AA1AF">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R404A</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R404A由HFC125、HFC-134a和HFC-143混合而成，比例为R404A=44%R125+4% R134A+52%143A。在常温下为无色气体，在自身压力下为无色透明液体，R404A适用于中低温的新型商用制冷设备、交通运输制冷设备或更新设备。由于R404A属于HFC型非共沸环保制冷剂（完全不含破坏臭氧层的CFC、HCFC），得到目前世界绝大多数国家的认可并推荐的主流低温环保制冷剂，广泛用于新冷冻设备上的初装和维修过程中的再添加。分子式：CHF2CF3/CF3CH2F/CH3CF3；沸点（101.3KPa，℃）：-46.1；临界温度℃：72.4；临界压力（KPa）：3688.7；液体密度g/cm</w:t>
            </w:r>
            <w:r>
              <w:rPr>
                <w:rFonts w:hint="eastAsia"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highlight w:val="none"/>
                <w14:textFill>
                  <w14:solidFill>
                    <w14:schemeClr w14:val="tx1"/>
                  </w14:solidFill>
                </w14:textFill>
              </w:rPr>
              <w:t>：1.045；破坏臭氧潜能值（ODP）：0；全球变暖系数值（GWP）：3850。</w:t>
            </w:r>
          </w:p>
          <w:p w14:paraId="5642D13B">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根据环境保护部文件《关于生产和使用消耗臭氧层物质建设项目管理有关工作的通知》（环大气[2018]5号），禁止新建、扩建生产和使用作为制冷剂、发泡剂、灭火剂、溶剂、清洗剂、加工助剂、气雾剂、土壤熏蒸剂等受控用途的消耗臭氧层物质的建设项目。通知所指消耗臭氧层物质具体见《中国受控消耗臭氧层物质清单》（环境保护部、发展改革委、工业和信息化部公告2010年第72号）。本项目选用R404A作为制冷剂，不属于《中国受控消耗臭氧层物质清单》中的受控物质，项目选用R404A作为制冷剂可行。</w:t>
            </w:r>
          </w:p>
          <w:p w14:paraId="3E4DC0E6">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聚合氯化铝（PAC）</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聚合氯化铝（PAC）是一种无机物，一种新型净水材料、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HYPERLINK "https://baike.baidu.com/item/%E6%97%A0%E6%9C%BA%E9%AB%98%E5%88%86%E5%AD%90/10251184?fromModule=lemma_inlink" \t "https://baike.baidu.com/item/%E8%81%9A%E5%90%88%E6%B0%AF%E5%8C%96%E9%93%9D/_blank" </w:instrTex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无机高分子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混凝剂，简称聚铝。它是介于AlCl</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和Al(OH)</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之间的一种水溶性无机高分子聚合物，化学通式为[Al</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(OH)</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n</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Cl</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6-n</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m</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其中m代表聚合程度，n表示PAC产品的中性程度。颜色呈黄色或淡黄色、深褐色、深灰色树脂状固体，熔点190℃，易溶于水。该产品有较强吸附性能，在水解过程中，伴随发生凝聚，吸附和沉淀等物理化学过程。絮凝沉淀速度快，适用pH值范围宽，对管道设备无腐蚀性，净水效果明显，能有效</w:t>
            </w:r>
            <w:r>
              <w:rPr>
                <w:rFonts w:hint="eastAsia" w:cs="Times New Roman"/>
                <w:color w:val="000000" w:themeColor="text1"/>
                <w:sz w:val="24"/>
                <w:highlight w:val="none"/>
                <w:lang w:val="en-US" w:eastAsia="zh-CN"/>
                <w14:textFill>
                  <w14:solidFill>
                    <w14:schemeClr w14:val="tx1"/>
                  </w14:solidFill>
                </w14:textFill>
              </w:rPr>
              <w:t>清除</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水中色质SS、COD、BOD及砷、汞等重金属离子，该产品广泛用于饮用水、工业用水和污水处理领域。</w:t>
            </w:r>
          </w:p>
          <w:p w14:paraId="15E8C04C">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聚丙烯酰胺（PAM）：聚丙烯酰胺（PAM）是一种</w:t>
            </w:r>
            <w:r>
              <w:rPr>
                <w:rFonts w:hint="eastAsia" w:cs="Times New Roman"/>
                <w:color w:val="000000" w:themeColor="text1"/>
                <w:sz w:val="24"/>
                <w:highlight w:val="none"/>
                <w:lang w:eastAsia="zh-CN"/>
                <w14:textFill>
                  <w14:solidFill>
                    <w14:schemeClr w14:val="tx1"/>
                  </w14:solidFill>
                </w14:textFill>
              </w:rPr>
              <w:t>线性</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高分子</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fldChar w:fldCharType="begin"/>
            </w:r>
            <w:r>
              <w:rPr>
                <w:rFonts w:hint="eastAsia" w:ascii="Times New Roman" w:hAnsi="Times New Roman" w:eastAsia="宋体" w:cs="Times New Roman"/>
                <w:color w:val="000000" w:themeColor="text1"/>
                <w:sz w:val="24"/>
                <w:highlight w:val="none"/>
                <w:lang w:eastAsia="zh-CN"/>
                <w14:textFill>
                  <w14:solidFill>
                    <w14:schemeClr w14:val="tx1"/>
                  </w14:solidFill>
                </w14:textFill>
              </w:rPr>
              <w:instrText xml:space="preserve"> HYPERLINK "https://baike.baidu.com/item/%E8%81%9A%E5%90%88%E7%89%A9/6252844?fromModule=lemma_inlink" \t "https://baike.baidu.com/item/%E8%81%9A%E4%B8%99%E7%83%AF%E9%85%B0%E8%83%BA/_blank" </w:instrText>
            </w:r>
            <w:r>
              <w:rPr>
                <w:rFonts w:hint="eastAsia" w:ascii="Times New Roman" w:hAnsi="Times New Roman" w:eastAsia="宋体" w:cs="Times New Roman"/>
                <w:color w:val="000000" w:themeColor="text1"/>
                <w:sz w:val="24"/>
                <w:highlight w:val="none"/>
                <w:lang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聚合物</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fldChar w:fldCharType="end"/>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，化学式为</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C</w:t>
            </w:r>
            <w:r>
              <w:rPr>
                <w:rFonts w:hint="eastAsia" w:ascii="Times New Roman" w:hAnsi="Times New Roman" w:eastAsia="宋体" w:cs="Times New Roman"/>
                <w:color w:val="000000" w:themeColor="text1"/>
                <w:sz w:val="24"/>
                <w:highlight w:val="none"/>
                <w:vertAlign w:val="subscript"/>
                <w:lang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H</w:t>
            </w:r>
            <w:r>
              <w:rPr>
                <w:rFonts w:hint="eastAsia" w:ascii="Times New Roman" w:hAnsi="Times New Roman" w:eastAsia="宋体" w:cs="Times New Roman"/>
                <w:color w:val="000000" w:themeColor="text1"/>
                <w:sz w:val="24"/>
                <w:highlight w:val="none"/>
                <w:vertAlign w:val="subscript"/>
                <w:lang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NO)</w:t>
            </w:r>
            <w:r>
              <w:rPr>
                <w:rFonts w:hint="eastAsia" w:ascii="Times New Roman" w:hAnsi="Times New Roman" w:eastAsia="宋体" w:cs="Times New Roman"/>
                <w:color w:val="000000" w:themeColor="text1"/>
                <w:sz w:val="24"/>
                <w:highlight w:val="none"/>
                <w:vertAlign w:val="subscript"/>
                <w:lang w:eastAsia="zh-CN"/>
                <w14:textFill>
                  <w14:solidFill>
                    <w14:schemeClr w14:val="tx1"/>
                  </w14:solidFill>
                </w14:textFill>
              </w:rPr>
              <w:t>n</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。在常温下为坚硬的玻璃态固体，产品有胶液、胶乳和白色粉粒、半透明珠粒等，密度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为1.302g/cm³</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，热稳定性良好，能以任意比例溶于水，水溶液为均匀透明的液体。</w:t>
            </w:r>
          </w:p>
          <w:p w14:paraId="271C6F16">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次氯酸钠</w:t>
            </w:r>
          </w:p>
          <w:p w14:paraId="3CF54B49">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化学式为NaClO，别名漂白水，是一种</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HYPERLINK "https://baike.baidu.com/item/%E6%97%A0%E6%9C%BA%E5%8C%96%E5%90%88%E7%89%A9/10716655?fromModule=lemma_inlink" \t "https://baike.baidu.com/item/_blank" </w:instrTex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无机化合物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，相对分子量为74.441，密度为1.25g/cm³，熔点为-16℃，沸点为111℃，浅黄色液体，可溶于水。次氯酸钠主要用于漂白、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HYPERLINK "https://baike.baidu.com/item/%E5%B7%A5%E4%B8%9A%E5%BA%9F%E6%B0%B4%E5%A4%84%E7%90%86/4304806?fromModule=lemma_inlink" \t "https://baike.baidu.com/item/_blank" </w:instrTex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工业废水处理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、造纸、纺织、制药、</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HYPERLINK "https://baike.baidu.com/item/%E7%B2%BE%E7%BB%86%E5%8C%96%E5%B7%A5/1911653?fromModule=lemma_inlink" \t "https://baike.baidu.com/item/_blank" </w:instrTex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精细化工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、卫生消毒等众多领域。</w:t>
            </w:r>
          </w:p>
          <w:p w14:paraId="6E42DA86">
            <w:pPr>
              <w:keepNext w:val="0"/>
              <w:keepLines w:val="0"/>
              <w:pageBreakBefore w:val="0"/>
              <w:kinsoku/>
              <w:wordWrap/>
              <w:overflowPunct/>
              <w:topLinePunct w:val="0"/>
              <w:autoSpaceDE/>
              <w:autoSpaceDN/>
              <w:bidi w:val="0"/>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2.7</w:t>
            </w:r>
            <w:r>
              <w:rPr>
                <w:b/>
                <w:color w:val="000000" w:themeColor="text1"/>
                <w:highlight w:val="none"/>
                <w14:textFill>
                  <w14:solidFill>
                    <w14:schemeClr w14:val="tx1"/>
                  </w14:solidFill>
                </w14:textFill>
              </w:rPr>
              <w:t>总平面布置</w:t>
            </w:r>
          </w:p>
          <w:p w14:paraId="78AB26B0">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位于</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重庆市合川区巴州路</w:t>
            </w:r>
            <w:r>
              <w:rPr>
                <w:rFonts w:hint="eastAsia"/>
                <w:color w:val="000000" w:themeColor="text1"/>
                <w:highlight w:val="none"/>
                <w:lang w:eastAsia="zh-CN"/>
                <w14:textFill>
                  <w14:solidFill>
                    <w14:schemeClr w14:val="tx1"/>
                  </w14:solidFill>
                </w14:textFill>
              </w:rPr>
              <w:t>（合川区工业园区核心区</w:t>
            </w:r>
            <w:r>
              <w:rPr>
                <w:rFonts w:hint="eastAsia"/>
                <w:color w:val="000000" w:themeColor="text1"/>
                <w:highlight w:val="none"/>
                <w:lang w:val="en-US" w:eastAsia="zh-CN"/>
                <w14:textFill>
                  <w14:solidFill>
                    <w14:schemeClr w14:val="tx1"/>
                  </w14:solidFill>
                </w14:textFill>
              </w:rPr>
              <w:t>HC23-003-1</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。共新建6栋多层框架结构厂房、1</w:t>
            </w:r>
            <w:r>
              <w:rPr>
                <w:rFonts w:hint="eastAsia" w:cs="Times New Roman"/>
                <w:color w:val="000000" w:themeColor="text1"/>
                <w:highlight w:val="none"/>
                <w:lang w:val="en-US" w:eastAsia="zh-CN"/>
                <w14:textFill>
                  <w14:solidFill>
                    <w14:schemeClr w14:val="tx1"/>
                  </w14:solidFill>
                </w14:textFill>
              </w:rPr>
              <w:t>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污水处理设施、1栋门房、1栋多层框架结构配套楼</w:t>
            </w:r>
            <w:r>
              <w:rPr>
                <w:rFonts w:hint="eastAsia" w:cs="Times New Roman"/>
                <w:color w:val="000000" w:themeColor="text1"/>
                <w:highlight w:val="none"/>
                <w:lang w:val="en-US" w:eastAsia="zh-CN"/>
                <w14:textFill>
                  <w14:solidFill>
                    <w14:schemeClr w14:val="tx1"/>
                  </w14:solidFill>
                </w14:textFill>
              </w:rPr>
              <w:t>及相关配套设施</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。6栋多层框架结构厂房</w:t>
            </w:r>
            <w:r>
              <w:rPr>
                <w:rFonts w:hint="eastAsia" w:cs="Times New Roman"/>
                <w:color w:val="000000" w:themeColor="text1"/>
                <w:highlight w:val="none"/>
                <w:lang w:val="en-US" w:eastAsia="zh-CN"/>
                <w14:textFill>
                  <w14:solidFill>
                    <w14:schemeClr w14:val="tx1"/>
                  </w14:solidFill>
                </w14:textFill>
              </w:rPr>
              <w:t>并列布置，中间设置</w:t>
            </w:r>
            <w:r>
              <w:rPr>
                <w:rFonts w:hint="eastAsia"/>
                <w:color w:val="000000" w:themeColor="text1"/>
                <w:highlight w:val="none"/>
                <w14:textFill>
                  <w14:solidFill>
                    <w14:schemeClr w14:val="tx1"/>
                  </w14:solidFill>
                </w14:textFill>
              </w:rPr>
              <w:t>有车道</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1栋多层框架结构配套楼</w:t>
            </w:r>
            <w:r>
              <w:rPr>
                <w:rFonts w:hint="eastAsia" w:cs="Times New Roman"/>
                <w:color w:val="000000" w:themeColor="text1"/>
                <w:highlight w:val="none"/>
                <w:lang w:val="en-US" w:eastAsia="zh-CN"/>
                <w14:textFill>
                  <w14:solidFill>
                    <w14:schemeClr w14:val="tx1"/>
                  </w14:solidFill>
                </w14:textFill>
              </w:rPr>
              <w:t>位于厂区北侧，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污水处理设施</w:t>
            </w:r>
            <w:r>
              <w:rPr>
                <w:rFonts w:hint="eastAsia" w:cs="Times New Roman"/>
                <w:color w:val="000000" w:themeColor="text1"/>
                <w:highlight w:val="none"/>
                <w:lang w:val="en-US" w:eastAsia="zh-CN"/>
                <w14:textFill>
                  <w14:solidFill>
                    <w14:schemeClr w14:val="tx1"/>
                  </w14:solidFill>
                </w14:textFill>
              </w:rPr>
              <w:t>位于厂区东北侧，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门房</w:t>
            </w:r>
            <w:r>
              <w:rPr>
                <w:rFonts w:hint="eastAsia" w:cs="Times New Roman"/>
                <w:color w:val="000000" w:themeColor="text1"/>
                <w:highlight w:val="none"/>
                <w:lang w:val="en-US" w:eastAsia="zh-CN"/>
                <w14:textFill>
                  <w14:solidFill>
                    <w14:schemeClr w14:val="tx1"/>
                  </w14:solidFill>
                </w14:textFill>
              </w:rPr>
              <w:t>位于厂区西侧。</w:t>
            </w:r>
            <w:r>
              <w:rPr>
                <w:rFonts w:hint="default" w:ascii="Times New Roman" w:hAnsi="Times New Roman" w:cs="Times New Roman"/>
                <w:color w:val="000000" w:themeColor="text1"/>
                <w:kern w:val="0"/>
                <w:highlight w:val="none"/>
                <w14:textFill>
                  <w14:solidFill>
                    <w14:schemeClr w14:val="tx1"/>
                  </w14:solidFill>
                </w14:textFill>
              </w:rPr>
              <w:t>1#</w:t>
            </w:r>
            <w:r>
              <w:rPr>
                <w:rFonts w:hint="default" w:ascii="Times New Roman" w:hAnsi="Times New Roman" w:cs="Times New Roman"/>
                <w:color w:val="000000" w:themeColor="text1"/>
                <w:kern w:val="0"/>
                <w:highlight w:val="none"/>
                <w:lang w:eastAsia="zh-CN"/>
                <w14:textFill>
                  <w14:solidFill>
                    <w14:schemeClr w14:val="tx1"/>
                  </w14:solidFill>
                </w14:textFill>
              </w:rPr>
              <w:t>楼</w:t>
            </w:r>
            <w:r>
              <w:rPr>
                <w:rFonts w:hint="default" w:ascii="Times New Roman" w:hAnsi="Times New Roman" w:cs="Times New Roman"/>
                <w:color w:val="000000" w:themeColor="text1"/>
                <w:highlight w:val="none"/>
                <w:lang w:val="en-US" w:eastAsia="zh-CN"/>
                <w14:textFill>
                  <w14:solidFill>
                    <w14:schemeClr w14:val="tx1"/>
                  </w14:solidFill>
                </w14:textFill>
              </w:rPr>
              <w:t>1F布置了办公室、检验室和研发室，2~5F为住宿；2#楼-1F为车库，1F~4F为</w:t>
            </w:r>
            <w:r>
              <w:rPr>
                <w:rFonts w:hint="default" w:ascii="Times New Roman" w:hAnsi="Times New Roman" w:cs="Times New Roman"/>
                <w:color w:val="000000" w:themeColor="text1"/>
                <w:highlight w:val="none"/>
                <w:lang w:eastAsia="zh-CN"/>
                <w14:textFill>
                  <w14:solidFill>
                    <w14:schemeClr w14:val="tx1"/>
                  </w14:solidFill>
                </w14:textFill>
              </w:rPr>
              <w:t>空置厂房</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w:t>
            </w:r>
            <w:r>
              <w:rPr>
                <w:rFonts w:hint="default" w:ascii="Times New Roman" w:hAnsi="Times New Roman" w:cs="Times New Roman"/>
                <w:color w:val="000000" w:themeColor="text1"/>
                <w:kern w:val="0"/>
                <w:highlight w:val="none"/>
                <w:lang w:eastAsia="zh-CN"/>
                <w14:textFill>
                  <w14:solidFill>
                    <w14:schemeClr w14:val="tx1"/>
                  </w14:solidFill>
                </w14:textFill>
              </w:rPr>
              <w:t>楼</w:t>
            </w:r>
            <w:r>
              <w:rPr>
                <w:rFonts w:hint="default" w:ascii="Times New Roman" w:hAnsi="Times New Roman" w:cs="Times New Roman"/>
                <w:color w:val="000000" w:themeColor="text1"/>
                <w:highlight w:val="none"/>
                <w:lang w:val="en-US" w:eastAsia="zh-CN"/>
                <w14:textFill>
                  <w14:solidFill>
                    <w14:schemeClr w14:val="tx1"/>
                  </w14:solidFill>
                </w14:textFill>
              </w:rPr>
              <w:t>1F为</w:t>
            </w:r>
            <w:r>
              <w:rPr>
                <w:rFonts w:hint="default" w:ascii="Times New Roman" w:hAnsi="Times New Roman" w:cs="Times New Roman"/>
                <w:color w:val="000000" w:themeColor="text1"/>
                <w:highlight w:val="none"/>
                <w:lang w:eastAsia="zh-CN"/>
                <w14:textFill>
                  <w14:solidFill>
                    <w14:schemeClr w14:val="tx1"/>
                  </w14:solidFill>
                </w14:textFill>
              </w:rPr>
              <w:t>食堂，</w:t>
            </w:r>
            <w:r>
              <w:rPr>
                <w:rFonts w:hint="default" w:ascii="Times New Roman" w:hAnsi="Times New Roman" w:cs="Times New Roman"/>
                <w:color w:val="000000" w:themeColor="text1"/>
                <w:highlight w:val="none"/>
                <w:lang w:val="en-US" w:eastAsia="zh-CN"/>
                <w14:textFill>
                  <w14:solidFill>
                    <w14:schemeClr w14:val="tx1"/>
                  </w14:solidFill>
                </w14:textFill>
              </w:rPr>
              <w:t>2~4F</w:t>
            </w:r>
            <w:r>
              <w:rPr>
                <w:rFonts w:hint="default" w:ascii="Times New Roman" w:hAnsi="Times New Roman" w:cs="Times New Roman"/>
                <w:color w:val="000000" w:themeColor="text1"/>
                <w:highlight w:val="none"/>
                <w:lang w:eastAsia="zh-CN"/>
                <w14:textFill>
                  <w14:solidFill>
                    <w14:schemeClr w14:val="tx1"/>
                  </w14:solidFill>
                </w14:textFill>
              </w:rPr>
              <w:t>空置；</w:t>
            </w:r>
            <w:r>
              <w:rPr>
                <w:rFonts w:hint="default" w:ascii="Times New Roman" w:hAnsi="Times New Roman" w:cs="Times New Roman"/>
                <w:color w:val="000000" w:themeColor="text1"/>
                <w:kern w:val="0"/>
                <w:highlight w:val="none"/>
                <w:lang w:val="en-US" w:eastAsia="zh-CN"/>
                <w14:textFill>
                  <w14:solidFill>
                    <w14:schemeClr w14:val="tx1"/>
                  </w14:solidFill>
                </w14:textFill>
              </w:rPr>
              <w:t>4</w:t>
            </w:r>
            <w:r>
              <w:rPr>
                <w:rFonts w:hint="default" w:ascii="Times New Roman" w:hAnsi="Times New Roman" w:cs="Times New Roman"/>
                <w:color w:val="000000" w:themeColor="text1"/>
                <w:kern w:val="0"/>
                <w:highlight w:val="none"/>
                <w14:textFill>
                  <w14:solidFill>
                    <w14:schemeClr w14:val="tx1"/>
                  </w14:solidFill>
                </w14:textFill>
              </w:rPr>
              <w:t>#</w:t>
            </w:r>
            <w:r>
              <w:rPr>
                <w:rFonts w:hint="default" w:ascii="Times New Roman" w:hAnsi="Times New Roman" w:cs="Times New Roman"/>
                <w:color w:val="000000" w:themeColor="text1"/>
                <w:kern w:val="0"/>
                <w:highlight w:val="none"/>
                <w:lang w:eastAsia="zh-CN"/>
                <w14:textFill>
                  <w14:solidFill>
                    <w14:schemeClr w14:val="tx1"/>
                  </w14:solidFill>
                </w14:textFill>
              </w:rPr>
              <w:t>楼</w:t>
            </w:r>
            <w:r>
              <w:rPr>
                <w:rFonts w:hint="default" w:ascii="Times New Roman" w:hAnsi="Times New Roman" w:cs="Times New Roman"/>
                <w:color w:val="000000" w:themeColor="text1"/>
                <w:kern w:val="0"/>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lang w:eastAsia="zh-CN"/>
                <w14:textFill>
                  <w14:solidFill>
                    <w14:schemeClr w14:val="tx1"/>
                  </w14:solidFill>
                </w14:textFill>
              </w:rPr>
              <w:t>空置厂房；</w:t>
            </w:r>
            <w:r>
              <w:rPr>
                <w:rFonts w:hint="default" w:ascii="Times New Roman" w:hAnsi="Times New Roman" w:cs="Times New Roman"/>
                <w:color w:val="000000" w:themeColor="text1"/>
                <w:kern w:val="0"/>
                <w:highlight w:val="none"/>
                <w:lang w:val="en-US" w:eastAsia="zh-CN"/>
                <w14:textFill>
                  <w14:solidFill>
                    <w14:schemeClr w14:val="tx1"/>
                  </w14:solidFill>
                </w14:textFill>
              </w:rPr>
              <w:t>5</w:t>
            </w:r>
            <w:r>
              <w:rPr>
                <w:rFonts w:hint="default" w:ascii="Times New Roman" w:hAnsi="Times New Roman" w:cs="Times New Roman"/>
                <w:color w:val="000000" w:themeColor="text1"/>
                <w:kern w:val="0"/>
                <w:highlight w:val="none"/>
                <w14:textFill>
                  <w14:solidFill>
                    <w14:schemeClr w14:val="tx1"/>
                  </w14:solidFill>
                </w14:textFill>
              </w:rPr>
              <w:t>#</w:t>
            </w:r>
            <w:r>
              <w:rPr>
                <w:rFonts w:hint="default" w:ascii="Times New Roman" w:hAnsi="Times New Roman" w:cs="Times New Roman"/>
                <w:color w:val="000000" w:themeColor="text1"/>
                <w:kern w:val="0"/>
                <w:highlight w:val="none"/>
                <w:lang w:eastAsia="zh-CN"/>
                <w14:textFill>
                  <w14:solidFill>
                    <w14:schemeClr w14:val="tx1"/>
                  </w14:solidFill>
                </w14:textFill>
              </w:rPr>
              <w:t>楼</w:t>
            </w:r>
            <w:r>
              <w:rPr>
                <w:rFonts w:hint="default" w:ascii="Times New Roman" w:hAnsi="Times New Roman" w:cs="Times New Roman"/>
                <w:color w:val="000000" w:themeColor="text1"/>
                <w:kern w:val="0"/>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lang w:eastAsia="zh-CN"/>
                <w14:textFill>
                  <w14:solidFill>
                    <w14:schemeClr w14:val="tx1"/>
                  </w14:solidFill>
                </w14:textFill>
              </w:rPr>
              <w:t>冻库；</w:t>
            </w:r>
            <w:r>
              <w:rPr>
                <w:rFonts w:hint="default" w:ascii="Times New Roman" w:hAnsi="Times New Roman" w:cs="Times New Roman"/>
                <w:color w:val="000000" w:themeColor="text1"/>
                <w:kern w:val="0"/>
                <w:highlight w:val="none"/>
                <w:lang w:val="en-US" w:eastAsia="zh-CN"/>
                <w14:textFill>
                  <w14:solidFill>
                    <w14:schemeClr w14:val="tx1"/>
                  </w14:solidFill>
                </w14:textFill>
              </w:rPr>
              <w:t>6</w:t>
            </w:r>
            <w:r>
              <w:rPr>
                <w:rFonts w:hint="default" w:ascii="Times New Roman" w:hAnsi="Times New Roman" w:cs="Times New Roman"/>
                <w:color w:val="000000" w:themeColor="text1"/>
                <w:kern w:val="0"/>
                <w:highlight w:val="none"/>
                <w14:textFill>
                  <w14:solidFill>
                    <w14:schemeClr w14:val="tx1"/>
                  </w14:solidFill>
                </w14:textFill>
              </w:rPr>
              <w:t>#</w:t>
            </w:r>
            <w:r>
              <w:rPr>
                <w:rFonts w:hint="default" w:ascii="Times New Roman" w:hAnsi="Times New Roman" w:cs="Times New Roman"/>
                <w:color w:val="000000" w:themeColor="text1"/>
                <w:kern w:val="0"/>
                <w:highlight w:val="none"/>
                <w:lang w:eastAsia="zh-CN"/>
                <w14:textFill>
                  <w14:solidFill>
                    <w14:schemeClr w14:val="tx1"/>
                  </w14:solidFill>
                </w14:textFill>
              </w:rPr>
              <w:t>楼</w:t>
            </w:r>
            <w:r>
              <w:rPr>
                <w:rFonts w:hint="default" w:ascii="Times New Roman" w:hAnsi="Times New Roman" w:cs="Times New Roman"/>
                <w:color w:val="000000" w:themeColor="text1"/>
                <w:kern w:val="0"/>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lang w:eastAsia="zh-CN"/>
                <w14:textFill>
                  <w14:solidFill>
                    <w14:schemeClr w14:val="tx1"/>
                  </w14:solidFill>
                </w14:textFill>
              </w:rPr>
              <w:t>空置厂房；</w:t>
            </w:r>
            <w:r>
              <w:rPr>
                <w:rFonts w:hint="default" w:ascii="Times New Roman" w:hAnsi="Times New Roman" w:eastAsia="宋体" w:cs="Times New Roman"/>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0"/>
                <w:highlight w:val="none"/>
                <w14:textFill>
                  <w14:solidFill>
                    <w14:schemeClr w14:val="tx1"/>
                  </w14:solidFill>
                </w14:textFill>
              </w:rPr>
              <w:t>#</w:t>
            </w:r>
            <w:r>
              <w:rPr>
                <w:rFonts w:hint="default" w:ascii="Times New Roman" w:hAnsi="Times New Roman" w:eastAsia="宋体" w:cs="Times New Roman"/>
                <w:color w:val="000000" w:themeColor="text1"/>
                <w:kern w:val="0"/>
                <w:highlight w:val="none"/>
                <w:lang w:eastAsia="zh-CN"/>
                <w14:textFill>
                  <w14:solidFill>
                    <w14:schemeClr w14:val="tx1"/>
                  </w14:solidFill>
                </w14:textFill>
              </w:rPr>
              <w:t>楼</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为车间</w:t>
            </w:r>
            <w:r>
              <w:rPr>
                <w:rFonts w:hint="default" w:ascii="Times New Roman" w:hAnsi="Times New Roman" w:eastAsia="宋体" w:cs="Times New Roman"/>
                <w:color w:val="000000" w:themeColor="text1"/>
                <w:highlight w:val="none"/>
                <w:lang w:val="en-US" w:eastAsia="zh-CN"/>
                <w14:textFill>
                  <w14:solidFill>
                    <w14:schemeClr w14:val="tx1"/>
                  </w14:solidFill>
                </w14:textFill>
              </w:rPr>
              <w:t>，1F布置打件出货区、内包装间、涨发间、员工更衣室、冻库、配料间、添加剂库、直播间、办公室等，2F布置内外材库、内包装间、涨发间、员工更衣室、冻库、配料间、添加剂暂存间、工具间等</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3F布置内外材库、打码间、内包装间、涨发间、员工更衣室、配料间、添加剂暂存间、工具间等，4F布置预处理间、冻库、煮制间、员工更衣室、配料间、添加剂暂存间、工具间等，5F布置泡沫箱间、包装袋间等。</w:t>
            </w:r>
          </w:p>
          <w:p w14:paraId="1573E62D">
            <w:pPr>
              <w:keepNext w:val="0"/>
              <w:keepLines w:val="0"/>
              <w:pageBreakBefore w:val="0"/>
              <w:kinsoku/>
              <w:wordWrap/>
              <w:overflowPunct/>
              <w:topLinePunct w:val="0"/>
              <w:autoSpaceDE/>
              <w:autoSpaceDN/>
              <w:bidi w:val="0"/>
              <w:spacing w:line="360" w:lineRule="auto"/>
              <w:ind w:firstLine="480"/>
              <w:textAlignment w:val="auto"/>
              <w:rPr>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整个</w:t>
            </w:r>
            <w:r>
              <w:rPr>
                <w:rFonts w:hint="eastAsia"/>
                <w:color w:val="000000" w:themeColor="text1"/>
                <w:szCs w:val="21"/>
                <w:highlight w:val="none"/>
                <w:lang w:eastAsia="zh-CN"/>
                <w14:textFill>
                  <w14:solidFill>
                    <w14:schemeClr w14:val="tx1"/>
                  </w14:solidFill>
                </w14:textFill>
              </w:rPr>
              <w:t>厂区</w:t>
            </w:r>
            <w:r>
              <w:rPr>
                <w:color w:val="000000" w:themeColor="text1"/>
                <w:szCs w:val="21"/>
                <w:highlight w:val="none"/>
                <w14:textFill>
                  <w14:solidFill>
                    <w14:schemeClr w14:val="tx1"/>
                  </w14:solidFill>
                </w14:textFill>
              </w:rPr>
              <w:t>布置简单明了，方便生产和管理，各区间既相互独立，又紧密联系。</w:t>
            </w:r>
          </w:p>
          <w:p w14:paraId="1A2BFDE9">
            <w:pPr>
              <w:keepNext w:val="0"/>
              <w:keepLines w:val="0"/>
              <w:pageBreakBefore w:val="0"/>
              <w:kinsoku/>
              <w:wordWrap/>
              <w:overflowPunct/>
              <w:topLinePunct w:val="0"/>
              <w:autoSpaceDE/>
              <w:autoSpaceDN/>
              <w:bidi w:val="0"/>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2.8</w:t>
            </w:r>
            <w:r>
              <w:rPr>
                <w:b/>
                <w:color w:val="000000" w:themeColor="text1"/>
                <w:highlight w:val="none"/>
                <w14:textFill>
                  <w14:solidFill>
                    <w14:schemeClr w14:val="tx1"/>
                  </w14:solidFill>
                </w14:textFill>
              </w:rPr>
              <w:t>项目给排水情况分析</w:t>
            </w:r>
          </w:p>
          <w:p w14:paraId="42950896">
            <w:pPr>
              <w:keepNext w:val="0"/>
              <w:keepLines w:val="0"/>
              <w:pageBreakBefore w:val="0"/>
              <w:kinsoku/>
              <w:wordWrap/>
              <w:overflowPunct/>
              <w:topLinePunct w:val="0"/>
              <w:autoSpaceDE/>
              <w:autoSpaceDN/>
              <w:bidi w:val="0"/>
              <w:spacing w:line="360" w:lineRule="auto"/>
              <w:ind w:firstLine="480"/>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color w:val="000000" w:themeColor="text1"/>
                <w:highlight w:val="none"/>
                <w14:textFill>
                  <w14:solidFill>
                    <w14:schemeClr w14:val="tx1"/>
                  </w14:solidFill>
                </w14:textFill>
              </w:rPr>
              <w:t>项目供水</w:t>
            </w:r>
            <w:r>
              <w:rPr>
                <w:rFonts w:ascii="Times New Roman" w:hAnsi="Times New Roman" w:eastAsia="宋体" w:cs="Times New Roman"/>
                <w:color w:val="000000" w:themeColor="text1"/>
                <w:szCs w:val="21"/>
                <w:highlight w:val="none"/>
                <w14:textFill>
                  <w14:solidFill>
                    <w14:schemeClr w14:val="tx1"/>
                  </w14:solidFill>
                </w14:textFill>
              </w:rPr>
              <w:t>区域市政供水管网供水</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本项目主要用水为</w:t>
            </w:r>
            <w:r>
              <w:rPr>
                <w:rFonts w:hint="eastAsia"/>
                <w:color w:val="000000" w:themeColor="text1"/>
                <w:highlight w:val="none"/>
                <w:lang w:eastAsia="zh-CN"/>
                <w14:textFill>
                  <w14:solidFill>
                    <w14:schemeClr w14:val="tx1"/>
                  </w14:solidFill>
                </w14:textFill>
              </w:rPr>
              <w:t>员工</w:t>
            </w:r>
            <w:r>
              <w:rPr>
                <w:rFonts w:hint="eastAsia"/>
                <w:color w:val="000000" w:themeColor="text1"/>
                <w:highlight w:val="none"/>
                <w14:textFill>
                  <w14:solidFill>
                    <w14:schemeClr w14:val="tx1"/>
                  </w14:solidFill>
                </w14:textFill>
              </w:rPr>
              <w:t>生活</w:t>
            </w:r>
            <w:r>
              <w:rPr>
                <w:rFonts w:hint="eastAsia"/>
                <w:color w:val="000000" w:themeColor="text1"/>
                <w:highlight w:val="none"/>
                <w:lang w:eastAsia="zh-CN"/>
                <w14:textFill>
                  <w14:solidFill>
                    <w14:schemeClr w14:val="tx1"/>
                  </w14:solidFill>
                </w14:textFill>
              </w:rPr>
              <w:t>用水</w:t>
            </w:r>
            <w:r>
              <w:rPr>
                <w:rFonts w:hint="eastAsia"/>
                <w:color w:val="000000" w:themeColor="text1"/>
                <w:highlight w:val="none"/>
                <w14:textFill>
                  <w14:solidFill>
                    <w14:schemeClr w14:val="tx1"/>
                  </w14:solidFill>
                </w14:textFill>
              </w:rPr>
              <w:t>、食堂用水、</w:t>
            </w:r>
            <w:r>
              <w:rPr>
                <w:rFonts w:hint="eastAsia"/>
                <w:color w:val="000000" w:themeColor="text1"/>
                <w:highlight w:val="none"/>
                <w:lang w:eastAsia="zh-CN"/>
                <w14:textFill>
                  <w14:solidFill>
                    <w14:schemeClr w14:val="tx1"/>
                  </w14:solidFill>
                </w14:textFill>
              </w:rPr>
              <w:t>生产用水、</w:t>
            </w:r>
            <w:r>
              <w:rPr>
                <w:rFonts w:hint="eastAsia"/>
                <w:color w:val="000000" w:themeColor="text1"/>
                <w:highlight w:val="none"/>
                <w14:textFill>
                  <w14:solidFill>
                    <w14:schemeClr w14:val="tx1"/>
                  </w14:solidFill>
                </w14:textFill>
              </w:rPr>
              <w:t>锅炉用水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排水主要为员工生活污水、食堂废水以及生产废水。用排水详细情况如下：</w:t>
            </w:r>
          </w:p>
          <w:p w14:paraId="49D51E08">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生活用水：</w:t>
            </w:r>
            <w:r>
              <w:rPr>
                <w:rFonts w:hint="eastAsia"/>
                <w:color w:val="000000" w:themeColor="text1"/>
                <w:highlight w:val="none"/>
                <w:lang w:eastAsia="zh-CN"/>
                <w14:textFill>
                  <w14:solidFill>
                    <w14:schemeClr w14:val="tx1"/>
                  </w14:solidFill>
                </w14:textFill>
              </w:rPr>
              <w:t>工作</w:t>
            </w:r>
            <w:r>
              <w:rPr>
                <w:rFonts w:hint="eastAsia"/>
                <w:color w:val="000000" w:themeColor="text1"/>
                <w:highlight w:val="none"/>
                <w14:textFill>
                  <w14:solidFill>
                    <w14:schemeClr w14:val="tx1"/>
                  </w14:solidFill>
                </w14:textFill>
              </w:rPr>
              <w:t>人员</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20人，用水标准取</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50L/人•d</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则生活用水量为</w:t>
            </w:r>
            <w:r>
              <w:rPr>
                <w:rFonts w:hint="eastAsia" w:cs="Times New Roman"/>
                <w:color w:val="000000" w:themeColor="text1"/>
                <w:szCs w:val="21"/>
                <w:highlight w:val="none"/>
                <w:lang w:val="en-US" w:eastAsia="zh-CN"/>
                <w14:textFill>
                  <w14:solidFill>
                    <w14:schemeClr w14:val="tx1"/>
                  </w14:solidFill>
                </w14:textFill>
              </w:rPr>
              <w:t>18</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54</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/a），污水量按0.9核算，则生活排水量为</w:t>
            </w:r>
            <w:r>
              <w:rPr>
                <w:rFonts w:hint="eastAsia" w:cs="Times New Roman"/>
                <w:color w:val="000000" w:themeColor="text1"/>
                <w:szCs w:val="21"/>
                <w:highlight w:val="none"/>
                <w:lang w:val="en-US" w:eastAsia="zh-CN"/>
                <w14:textFill>
                  <w14:solidFill>
                    <w14:schemeClr w14:val="tx1"/>
                  </w14:solidFill>
                </w14:textFill>
              </w:rPr>
              <w:t>16.2</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486</w:t>
            </w:r>
            <w:r>
              <w:rPr>
                <w:rFonts w:hint="eastAsia" w:eastAsia="宋体"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w:t>
            </w:r>
          </w:p>
          <w:p w14:paraId="19DC9BC6">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食堂用水：</w:t>
            </w:r>
            <w:r>
              <w:rPr>
                <w:rFonts w:hint="eastAsia"/>
                <w:color w:val="000000" w:themeColor="text1"/>
                <w:highlight w:val="none"/>
                <w:lang w:eastAsia="zh-CN"/>
                <w14:textFill>
                  <w14:solidFill>
                    <w14:schemeClr w14:val="tx1"/>
                  </w14:solidFill>
                </w14:textFill>
              </w:rPr>
              <w:t>工作</w:t>
            </w:r>
            <w:r>
              <w:rPr>
                <w:rFonts w:hint="eastAsia"/>
                <w:color w:val="000000" w:themeColor="text1"/>
                <w:highlight w:val="none"/>
                <w14:textFill>
                  <w14:solidFill>
                    <w14:schemeClr w14:val="tx1"/>
                  </w14:solidFill>
                </w14:textFill>
              </w:rPr>
              <w:t>人员</w:t>
            </w:r>
            <w:r>
              <w:rPr>
                <w:rFonts w:hint="eastAsia"/>
                <w:color w:val="000000" w:themeColor="text1"/>
                <w:highlight w:val="none"/>
                <w:lang w:val="en-US" w:eastAsia="zh-CN"/>
                <w14:textFill>
                  <w14:solidFill>
                    <w14:schemeClr w14:val="tx1"/>
                  </w14:solidFill>
                </w14:textFill>
              </w:rPr>
              <w:t>120</w:t>
            </w:r>
            <w:r>
              <w:rPr>
                <w:rFonts w:hint="eastAsia"/>
                <w:color w:val="000000" w:themeColor="text1"/>
                <w:highlight w:val="none"/>
                <w14:textFill>
                  <w14:solidFill>
                    <w14:schemeClr w14:val="tx1"/>
                  </w14:solidFill>
                </w14:textFill>
              </w:rPr>
              <w:t>人，食堂用水标准取</w:t>
            </w:r>
            <w:r>
              <w:rPr>
                <w:color w:val="000000" w:themeColor="text1"/>
                <w:highlight w:val="none"/>
                <w14:textFill>
                  <w14:solidFill>
                    <w14:schemeClr w14:val="tx1"/>
                  </w14:solidFill>
                </w14:textFill>
              </w:rPr>
              <w:t>30L/人•</w:t>
            </w:r>
            <w:r>
              <w:rPr>
                <w:rFonts w:hint="eastAsia"/>
                <w:color w:val="000000" w:themeColor="text1"/>
                <w:highlight w:val="none"/>
                <w14:textFill>
                  <w14:solidFill>
                    <w14:schemeClr w14:val="tx1"/>
                  </w14:solidFill>
                </w14:textFill>
              </w:rPr>
              <w:t>餐，每日提供</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餐，</w:t>
            </w:r>
            <w:r>
              <w:rPr>
                <w:rFonts w:hint="eastAsia" w:ascii="Times New Roman" w:hAnsi="Times New Roman" w:eastAsia="宋体" w:cs="Times New Roman"/>
                <w:color w:val="000000" w:themeColor="text1"/>
                <w:szCs w:val="21"/>
                <w:highlight w:val="none"/>
                <w14:textFill>
                  <w14:solidFill>
                    <w14:schemeClr w14:val="tx1"/>
                  </w14:solidFill>
                </w14:textFill>
              </w:rPr>
              <w:t>则</w:t>
            </w:r>
            <w:r>
              <w:rPr>
                <w:rFonts w:hint="eastAsia"/>
                <w:color w:val="000000" w:themeColor="text1"/>
                <w:highlight w:val="none"/>
                <w14:textFill>
                  <w14:solidFill>
                    <w14:schemeClr w14:val="tx1"/>
                  </w14:solidFill>
                </w14:textFill>
              </w:rPr>
              <w:t>食堂</w:t>
            </w:r>
            <w:r>
              <w:rPr>
                <w:rFonts w:hint="eastAsia" w:ascii="Times New Roman" w:hAnsi="Times New Roman" w:eastAsia="宋体" w:cs="Times New Roman"/>
                <w:color w:val="000000" w:themeColor="text1"/>
                <w:szCs w:val="21"/>
                <w:highlight w:val="none"/>
                <w14:textFill>
                  <w14:solidFill>
                    <w14:schemeClr w14:val="tx1"/>
                  </w14:solidFill>
                </w14:textFill>
              </w:rPr>
              <w:t>用水量为</w:t>
            </w:r>
            <w:r>
              <w:rPr>
                <w:rFonts w:hint="eastAsia" w:cs="Times New Roman"/>
                <w:color w:val="000000" w:themeColor="text1"/>
                <w:szCs w:val="21"/>
                <w:highlight w:val="none"/>
                <w:lang w:val="en-US" w:eastAsia="zh-CN"/>
                <w14:textFill>
                  <w14:solidFill>
                    <w14:schemeClr w14:val="tx1"/>
                  </w14:solidFill>
                </w14:textFill>
              </w:rPr>
              <w:t>10.8</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3240</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/a），污水量按0.9核算，则</w:t>
            </w:r>
            <w:r>
              <w:rPr>
                <w:rFonts w:hint="eastAsia"/>
                <w:color w:val="000000" w:themeColor="text1"/>
                <w:highlight w:val="none"/>
                <w14:textFill>
                  <w14:solidFill>
                    <w14:schemeClr w14:val="tx1"/>
                  </w14:solidFill>
                </w14:textFill>
              </w:rPr>
              <w:t>食堂</w:t>
            </w:r>
            <w:r>
              <w:rPr>
                <w:rFonts w:hint="eastAsia" w:ascii="Times New Roman" w:hAnsi="Times New Roman" w:eastAsia="宋体" w:cs="Times New Roman"/>
                <w:color w:val="000000" w:themeColor="text1"/>
                <w:szCs w:val="21"/>
                <w:highlight w:val="none"/>
                <w14:textFill>
                  <w14:solidFill>
                    <w14:schemeClr w14:val="tx1"/>
                  </w14:solidFill>
                </w14:textFill>
              </w:rPr>
              <w:t>排水量为</w:t>
            </w:r>
            <w:r>
              <w:rPr>
                <w:rFonts w:hint="eastAsia" w:cs="Times New Roman"/>
                <w:color w:val="000000" w:themeColor="text1"/>
                <w:szCs w:val="21"/>
                <w:highlight w:val="none"/>
                <w:lang w:val="en-US" w:eastAsia="zh-CN"/>
                <w14:textFill>
                  <w14:solidFill>
                    <w14:schemeClr w14:val="tx1"/>
                  </w14:solidFill>
                </w14:textFill>
              </w:rPr>
              <w:t>9.72</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2916</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p>
          <w:p w14:paraId="62BCEA12">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3</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解冻</w:t>
            </w:r>
            <w:r>
              <w:rPr>
                <w:rFonts w:hint="eastAsia"/>
                <w:color w:val="000000" w:themeColor="text1"/>
                <w:highlight w:val="none"/>
                <w:lang w:eastAsia="zh-CN"/>
                <w14:textFill>
                  <w14:solidFill>
                    <w14:schemeClr w14:val="tx1"/>
                  </w14:solidFill>
                </w14:textFill>
              </w:rPr>
              <w:t>清洗</w:t>
            </w:r>
            <w:r>
              <w:rPr>
                <w:rFonts w:hint="eastAsia" w:eastAsia="宋体"/>
                <w:color w:val="000000" w:themeColor="text1"/>
                <w:highlight w:val="none"/>
                <w14:textFill>
                  <w14:solidFill>
                    <w14:schemeClr w14:val="tx1"/>
                  </w14:solidFill>
                </w14:textFill>
              </w:rPr>
              <w:t>工序</w:t>
            </w:r>
            <w:r>
              <w:rPr>
                <w:rFonts w:hint="eastAsia"/>
                <w:color w:val="000000" w:themeColor="text1"/>
                <w:highlight w:val="none"/>
                <w:lang w:eastAsia="zh-CN"/>
                <w14:textFill>
                  <w14:solidFill>
                    <w14:schemeClr w14:val="tx1"/>
                  </w14:solidFill>
                </w14:textFill>
              </w:rPr>
              <w:t>用</w:t>
            </w:r>
            <w:r>
              <w:rPr>
                <w:rFonts w:hint="eastAsia" w:eastAsia="宋体"/>
                <w:color w:val="000000" w:themeColor="text1"/>
                <w:highlight w:val="none"/>
                <w14:textFill>
                  <w14:solidFill>
                    <w14:schemeClr w14:val="tx1"/>
                  </w14:solidFill>
                </w14:textFill>
              </w:rPr>
              <w:t>水</w:t>
            </w:r>
          </w:p>
          <w:p w14:paraId="6F66B11D">
            <w:pPr>
              <w:pStyle w:val="15"/>
              <w:rPr>
                <w:rFonts w:hint="eastAsia" w:eastAsia="宋体"/>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根据建设单位提供资料，每天加工原料用量约为</w:t>
            </w:r>
            <w:r>
              <w:rPr>
                <w:rFonts w:hint="eastAsia"/>
                <w:color w:val="000000" w:themeColor="text1"/>
                <w:highlight w:val="none"/>
                <w:lang w:val="en-US" w:eastAsia="zh-CN"/>
                <w14:textFill>
                  <w14:solidFill>
                    <w14:schemeClr w14:val="tx1"/>
                  </w14:solidFill>
                </w14:textFill>
              </w:rPr>
              <w:t>5吨。</w:t>
            </w:r>
            <w:r>
              <w:rPr>
                <w:rFonts w:hint="eastAsia"/>
                <w:color w:val="000000" w:themeColor="text1"/>
                <w:highlight w:val="none"/>
                <w:lang w:eastAsia="zh-CN"/>
                <w14:textFill>
                  <w14:solidFill>
                    <w14:schemeClr w14:val="tx1"/>
                  </w14:solidFill>
                </w14:textFill>
              </w:rPr>
              <w:t>将原料放</w:t>
            </w:r>
            <w:r>
              <w:rPr>
                <w:rFonts w:hint="eastAsia"/>
                <w:color w:val="000000" w:themeColor="text1"/>
                <w:sz w:val="24"/>
                <w:highlight w:val="none"/>
                <w:lang w:eastAsia="zh-CN"/>
                <w14:textFill>
                  <w14:solidFill>
                    <w14:schemeClr w14:val="tx1"/>
                  </w14:solidFill>
                </w14:textFill>
              </w:rPr>
              <w:t>至解冻</w:t>
            </w:r>
            <w:r>
              <w:rPr>
                <w:rFonts w:hint="eastAsia"/>
                <w:color w:val="000000" w:themeColor="text1"/>
                <w:sz w:val="24"/>
                <w:highlight w:val="none"/>
                <w:lang w:val="en-US" w:eastAsia="zh-CN"/>
                <w14:textFill>
                  <w14:solidFill>
                    <w14:schemeClr w14:val="tx1"/>
                  </w14:solidFill>
                </w14:textFill>
              </w:rPr>
              <w:t>桶</w:t>
            </w:r>
            <w:r>
              <w:rPr>
                <w:rFonts w:hint="eastAsia"/>
                <w:color w:val="000000" w:themeColor="text1"/>
                <w:sz w:val="24"/>
                <w:highlight w:val="none"/>
                <w:lang w:eastAsia="zh-CN"/>
                <w14:textFill>
                  <w14:solidFill>
                    <w14:schemeClr w14:val="tx1"/>
                  </w14:solidFill>
                </w14:textFill>
              </w:rPr>
              <w:t>自然解冻，</w:t>
            </w:r>
            <w:r>
              <w:rPr>
                <w:rFonts w:hint="eastAsia" w:eastAsia="宋体"/>
                <w:color w:val="000000" w:themeColor="text1"/>
                <w:highlight w:val="none"/>
                <w14:textFill>
                  <w14:solidFill>
                    <w14:schemeClr w14:val="tx1"/>
                  </w14:solidFill>
                </w14:textFill>
              </w:rPr>
              <w:t>解冻下来的水</w:t>
            </w:r>
            <w:r>
              <w:rPr>
                <w:rFonts w:hint="eastAsia"/>
                <w:color w:val="000000" w:themeColor="text1"/>
                <w:highlight w:val="none"/>
                <w:lang w:eastAsia="zh-CN"/>
                <w14:textFill>
                  <w14:solidFill>
                    <w14:schemeClr w14:val="tx1"/>
                  </w14:solidFill>
                </w14:textFill>
              </w:rPr>
              <w:t>为原料用量的</w:t>
            </w:r>
            <w:r>
              <w:rPr>
                <w:rFonts w:hint="eastAsia"/>
                <w:color w:val="000000" w:themeColor="text1"/>
                <w:highlight w:val="none"/>
                <w:lang w:val="en-US" w:eastAsia="zh-CN"/>
                <w14:textFill>
                  <w14:solidFill>
                    <w14:schemeClr w14:val="tx1"/>
                  </w14:solidFill>
                </w14:textFill>
              </w:rPr>
              <w:t>1%，</w:t>
            </w:r>
            <w:r>
              <w:rPr>
                <w:rFonts w:hint="eastAsia" w:eastAsia="宋体"/>
                <w:color w:val="000000" w:themeColor="text1"/>
                <w:highlight w:val="none"/>
                <w:lang w:eastAsia="zh-CN"/>
                <w14:textFill>
                  <w14:solidFill>
                    <w14:schemeClr w14:val="tx1"/>
                  </w14:solidFill>
                </w14:textFill>
              </w:rPr>
              <w:t>解冻</w:t>
            </w:r>
            <w:r>
              <w:rPr>
                <w:rFonts w:hint="eastAsia" w:eastAsia="宋体"/>
                <w:color w:val="000000" w:themeColor="text1"/>
                <w:highlight w:val="none"/>
                <w14:textFill>
                  <w14:solidFill>
                    <w14:schemeClr w14:val="tx1"/>
                  </w14:solidFill>
                </w14:textFill>
              </w:rPr>
              <w:t>工序废水产生量为</w:t>
            </w:r>
            <w:r>
              <w:rPr>
                <w:rFonts w:hint="eastAsia"/>
                <w:color w:val="000000" w:themeColor="text1"/>
                <w:highlight w:val="none"/>
                <w:lang w:val="en-US" w:eastAsia="zh-CN"/>
                <w14:textFill>
                  <w14:solidFill>
                    <w14:schemeClr w14:val="tx1"/>
                  </w14:solidFill>
                </w14:textFill>
              </w:rPr>
              <w:t>0.05</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eastAsia="宋体"/>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d（15</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s="Times New Roman"/>
                <w:color w:val="000000" w:themeColor="text1"/>
                <w:szCs w:val="21"/>
                <w:highlight w:val="none"/>
                <w:vertAlign w:val="baseli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解冻桶</w:t>
            </w:r>
            <w:r>
              <w:rPr>
                <w:rFonts w:hint="eastAsia" w:cs="Times New Roman"/>
                <w:b w:val="0"/>
                <w:bCs/>
                <w:color w:val="000000" w:themeColor="text1"/>
                <w:sz w:val="24"/>
                <w:szCs w:val="24"/>
                <w:highlight w:val="none"/>
                <w:u w:val="none"/>
                <w:lang w:val="en-US" w:eastAsia="zh-CN"/>
                <w14:textFill>
                  <w14:solidFill>
                    <w14:schemeClr w14:val="tx1"/>
                  </w14:solidFill>
                </w14:textFill>
              </w:rPr>
              <w:t>体积</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0.6</w:t>
            </w:r>
            <w:r>
              <w:rPr>
                <w:rFonts w:hint="eastAsia" w:ascii="Times New Roman" w:cs="Times New Roman"/>
                <w:b w:val="0"/>
                <w:bCs/>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m³</w:t>
            </w:r>
            <w:r>
              <w:rPr>
                <w:rFonts w:hint="eastAsia" w:cs="Times New Roman"/>
                <w:b w:val="0"/>
                <w:bCs/>
                <w:color w:val="000000" w:themeColor="text1"/>
                <w:sz w:val="24"/>
                <w:szCs w:val="24"/>
                <w:highlight w:val="none"/>
                <w:u w:val="none"/>
                <w:lang w:val="en-US" w:eastAsia="zh-CN"/>
                <w14:textFill>
                  <w14:solidFill>
                    <w14:schemeClr w14:val="tx1"/>
                  </w14:solidFill>
                </w14:textFill>
              </w:rPr>
              <w:t>，100</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个</w:t>
            </w:r>
            <w:r>
              <w:rPr>
                <w:rFonts w:hint="eastAsia" w:cs="Times New Roman"/>
                <w:b w:val="0"/>
                <w:bCs/>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盛水</w:t>
            </w:r>
            <w:r>
              <w:rPr>
                <w:rFonts w:hint="eastAsia" w:cs="Times New Roman"/>
                <w:bCs/>
                <w:color w:val="000000" w:themeColor="text1"/>
                <w:sz w:val="24"/>
                <w:szCs w:val="24"/>
                <w:highlight w:val="none"/>
                <w:lang w:val="en-US" w:eastAsia="zh-CN"/>
                <w14:textFill>
                  <w14:solidFill>
                    <w14:schemeClr w14:val="tx1"/>
                  </w14:solidFill>
                </w14:textFill>
              </w:rPr>
              <w:t>73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%，按照产品原料：水=</w:t>
            </w:r>
            <w:r>
              <w:rPr>
                <w:rFonts w:hint="eastAsia"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的比例</w:t>
            </w:r>
            <w:r>
              <w:rPr>
                <w:rFonts w:hint="eastAsia" w:eastAsia="宋体"/>
                <w:color w:val="000000" w:themeColor="text1"/>
                <w:highlight w:val="none"/>
                <w14:textFill>
                  <w14:solidFill>
                    <w14:schemeClr w14:val="tx1"/>
                  </w14:solidFill>
                </w14:textFill>
              </w:rPr>
              <w:t>加入</w:t>
            </w:r>
            <w:r>
              <w:rPr>
                <w:rFonts w:hint="eastAsia"/>
                <w:color w:val="000000" w:themeColor="text1"/>
                <w:highlight w:val="none"/>
                <w:lang w:eastAsia="zh-CN"/>
                <w14:textFill>
                  <w14:solidFill>
                    <w14:schemeClr w14:val="tx1"/>
                  </w14:solidFill>
                </w14:textFill>
              </w:rPr>
              <w:t>自来</w:t>
            </w:r>
            <w:r>
              <w:rPr>
                <w:rFonts w:hint="eastAsia" w:eastAsia="宋体"/>
                <w:color w:val="000000" w:themeColor="text1"/>
                <w:highlight w:val="none"/>
                <w14:textFill>
                  <w14:solidFill>
                    <w14:schemeClr w14:val="tx1"/>
                  </w14:solidFill>
                </w14:textFill>
              </w:rPr>
              <w:t>水进行</w:t>
            </w:r>
            <w:r>
              <w:rPr>
                <w:rFonts w:hint="eastAsia"/>
                <w:color w:val="000000" w:themeColor="text1"/>
                <w:highlight w:val="none"/>
                <w:lang w:eastAsia="zh-CN"/>
                <w14:textFill>
                  <w14:solidFill>
                    <w14:schemeClr w14:val="tx1"/>
                  </w14:solidFill>
                </w14:textFill>
              </w:rPr>
              <w:t>清洗，毛肚清洗两次，其他产品清洗一次，毛肚清洗</w:t>
            </w:r>
            <w:r>
              <w:rPr>
                <w:rFonts w:hint="eastAsia" w:eastAsia="宋体"/>
                <w:color w:val="000000" w:themeColor="text1"/>
                <w:highlight w:val="none"/>
                <w14:textFill>
                  <w14:solidFill>
                    <w14:schemeClr w14:val="tx1"/>
                  </w14:solidFill>
                </w14:textFill>
              </w:rPr>
              <w:t>用水量为</w:t>
            </w:r>
            <w:r>
              <w:rPr>
                <w:rFonts w:hint="eastAsia"/>
                <w:color w:val="000000" w:themeColor="text1"/>
                <w:highlight w:val="none"/>
                <w:lang w:val="en-US" w:eastAsia="zh-CN"/>
                <w14:textFill>
                  <w14:solidFill>
                    <w14:schemeClr w14:val="tx1"/>
                  </w14:solidFill>
                </w14:textFill>
              </w:rPr>
              <w:t>42.71</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12811.5</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w:t>
            </w:r>
            <w:r>
              <w:rPr>
                <w:rFonts w:hint="eastAsia" w:eastAsia="宋体"/>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其他产品清洗</w:t>
            </w:r>
            <w:r>
              <w:rPr>
                <w:rFonts w:hint="eastAsia" w:eastAsia="宋体"/>
                <w:color w:val="000000" w:themeColor="text1"/>
                <w:highlight w:val="none"/>
                <w14:textFill>
                  <w14:solidFill>
                    <w14:schemeClr w14:val="tx1"/>
                  </w14:solidFill>
                </w14:textFill>
              </w:rPr>
              <w:t>用水量为</w:t>
            </w:r>
            <w:r>
              <w:rPr>
                <w:rFonts w:hint="eastAsia"/>
                <w:color w:val="000000" w:themeColor="text1"/>
                <w:highlight w:val="none"/>
                <w:lang w:val="en-US" w:eastAsia="zh-CN"/>
                <w14:textFill>
                  <w14:solidFill>
                    <w14:schemeClr w14:val="tx1"/>
                  </w14:solidFill>
                </w14:textFill>
              </w:rPr>
              <w:t>21.35</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6405.75</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排污系数取0.9，则解冻</w:t>
            </w:r>
            <w:r>
              <w:rPr>
                <w:rFonts w:hint="eastAsia"/>
                <w:color w:val="000000" w:themeColor="text1"/>
                <w:highlight w:val="none"/>
                <w:lang w:eastAsia="zh-CN"/>
                <w14:textFill>
                  <w14:solidFill>
                    <w14:schemeClr w14:val="tx1"/>
                  </w14:solidFill>
                </w14:textFill>
              </w:rPr>
              <w:t>清洗</w:t>
            </w:r>
            <w:r>
              <w:rPr>
                <w:rFonts w:hint="eastAsia" w:eastAsia="宋体"/>
                <w:color w:val="000000" w:themeColor="text1"/>
                <w:highlight w:val="none"/>
                <w14:textFill>
                  <w14:solidFill>
                    <w14:schemeClr w14:val="tx1"/>
                  </w14:solidFill>
                </w14:textFill>
              </w:rPr>
              <w:t>工序废水产生量为</w:t>
            </w:r>
            <w:r>
              <w:rPr>
                <w:rFonts w:hint="eastAsia"/>
                <w:color w:val="000000" w:themeColor="text1"/>
                <w:highlight w:val="none"/>
                <w:lang w:val="en-US" w:eastAsia="zh-CN"/>
                <w14:textFill>
                  <w14:solidFill>
                    <w14:schemeClr w14:val="tx1"/>
                  </w14:solidFill>
                </w14:textFill>
              </w:rPr>
              <w:t>57.65</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eastAsia="宋体"/>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d（17295.53</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s="Times New Roman"/>
                <w:color w:val="000000" w:themeColor="text1"/>
                <w:szCs w:val="21"/>
                <w:highlight w:val="none"/>
                <w:vertAlign w:val="baseli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w:t>
            </w:r>
          </w:p>
          <w:p w14:paraId="6E522685">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4</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煮制工序</w:t>
            </w:r>
            <w:r>
              <w:rPr>
                <w:rFonts w:hint="eastAsia"/>
                <w:color w:val="000000" w:themeColor="text1"/>
                <w:highlight w:val="none"/>
                <w:lang w:eastAsia="zh-CN"/>
                <w14:textFill>
                  <w14:solidFill>
                    <w14:schemeClr w14:val="tx1"/>
                  </w14:solidFill>
                </w14:textFill>
              </w:rPr>
              <w:t>用</w:t>
            </w:r>
            <w:r>
              <w:rPr>
                <w:rFonts w:hint="eastAsia" w:eastAsia="宋体"/>
                <w:color w:val="000000" w:themeColor="text1"/>
                <w:highlight w:val="none"/>
                <w14:textFill>
                  <w14:solidFill>
                    <w14:schemeClr w14:val="tx1"/>
                  </w14:solidFill>
                </w14:textFill>
              </w:rPr>
              <w:t>水</w:t>
            </w:r>
          </w:p>
          <w:p w14:paraId="39764548">
            <w:pPr>
              <w:pStyle w:val="15"/>
              <w:rPr>
                <w:rFonts w:hint="default"/>
                <w:color w:val="000000" w:themeColor="text1"/>
                <w:highlight w:val="none"/>
                <w:lang w:val="en-US" w:eastAsia="zh-CN"/>
                <w14:textFill>
                  <w14:solidFill>
                    <w14:schemeClr w14:val="tx1"/>
                  </w14:solidFill>
                </w14:textFill>
              </w:rPr>
            </w:pPr>
            <w:r>
              <w:rPr>
                <w:rFonts w:hint="eastAsia" w:eastAsia="宋体"/>
                <w:color w:val="000000" w:themeColor="text1"/>
                <w:highlight w:val="none"/>
                <w14:textFill>
                  <w14:solidFill>
                    <w14:schemeClr w14:val="tx1"/>
                  </w14:solidFill>
                </w14:textFill>
              </w:rPr>
              <w:t>根据建设单位提供的资料，</w:t>
            </w:r>
            <w:r>
              <w:rPr>
                <w:rFonts w:hint="eastAsia"/>
                <w:color w:val="000000" w:themeColor="text1"/>
                <w:highlight w:val="none"/>
                <w:lang w:eastAsia="zh-CN"/>
                <w14:textFill>
                  <w14:solidFill>
                    <w14:schemeClr w14:val="tx1"/>
                  </w14:solidFill>
                </w14:textFill>
              </w:rPr>
              <w:t>蒸汽</w:t>
            </w:r>
            <w:r>
              <w:rPr>
                <w:rFonts w:hint="eastAsia" w:eastAsia="宋体"/>
                <w:color w:val="000000" w:themeColor="text1"/>
                <w:highlight w:val="none"/>
                <w:lang w:eastAsia="zh-CN"/>
                <w14:textFill>
                  <w14:solidFill>
                    <w14:schemeClr w14:val="tx1"/>
                  </w14:solidFill>
                </w14:textFill>
              </w:rPr>
              <w:t>煮</w:t>
            </w:r>
            <w:r>
              <w:rPr>
                <w:rFonts w:hint="eastAsia"/>
                <w:color w:val="000000" w:themeColor="text1"/>
                <w:highlight w:val="none"/>
                <w:lang w:val="en-US" w:eastAsia="zh-CN"/>
                <w14:textFill>
                  <w14:solidFill>
                    <w14:schemeClr w14:val="tx1"/>
                  </w14:solidFill>
                </w14:textFill>
              </w:rPr>
              <w:t>锅内的水可循环利用，</w:t>
            </w:r>
            <w:r>
              <w:rPr>
                <w:rFonts w:hint="eastAsia"/>
                <w:color w:val="000000" w:themeColor="text1"/>
                <w:highlight w:val="none"/>
                <w:lang w:eastAsia="zh-CN"/>
                <w14:textFill>
                  <w14:solidFill>
                    <w14:schemeClr w14:val="tx1"/>
                  </w14:solidFill>
                </w14:textFill>
              </w:rPr>
              <w:t>蒸汽煮锅体积</w:t>
            </w:r>
            <w:r>
              <w:rPr>
                <w:rFonts w:hint="eastAsia"/>
                <w:color w:val="000000" w:themeColor="text1"/>
                <w:highlight w:val="none"/>
                <w:lang w:val="en-US" w:eastAsia="zh-CN"/>
                <w14:textFill>
                  <w14:solidFill>
                    <w14:schemeClr w14:val="tx1"/>
                  </w14:solidFill>
                </w14:textFill>
              </w:rPr>
              <w:t>0.68</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煮制时，按照原料：水=</w:t>
            </w:r>
            <w:r>
              <w:rPr>
                <w:rFonts w:hint="eastAsia"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的比例放入煮锅，煮锅盛水70%，则需用水约</w:t>
            </w:r>
            <w:r>
              <w:rPr>
                <w:rFonts w:hint="eastAsia" w:cs="Times New Roman"/>
                <w:bCs/>
                <w:color w:val="000000" w:themeColor="text1"/>
                <w:sz w:val="24"/>
                <w:szCs w:val="24"/>
                <w:highlight w:val="none"/>
                <w:lang w:val="en-US" w:eastAsia="zh-CN"/>
                <w14:textFill>
                  <w14:solidFill>
                    <w14:schemeClr w14:val="tx1"/>
                  </w14:solidFill>
                </w14:textFill>
              </w:rPr>
              <w:t>4.28</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1285.2</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），由于煮锅蒸发量大，</w:t>
            </w:r>
            <w:r>
              <w:rPr>
                <w:rFonts w:hint="eastAsia" w:eastAsia="宋体"/>
                <w:color w:val="000000" w:themeColor="text1"/>
                <w:highlight w:val="none"/>
                <w14:textFill>
                  <w14:solidFill>
                    <w14:schemeClr w14:val="tx1"/>
                  </w14:solidFill>
                </w14:textFill>
              </w:rPr>
              <w:t>排污系数取0.</w:t>
            </w:r>
            <w:r>
              <w:rPr>
                <w:rFonts w:hint="eastAsia"/>
                <w:color w:val="000000" w:themeColor="text1"/>
                <w:highlight w:val="none"/>
                <w:lang w:val="en-US" w:eastAsia="zh-CN"/>
                <w14:textFill>
                  <w14:solidFill>
                    <w14:schemeClr w14:val="tx1"/>
                  </w14:solidFill>
                </w14:textFill>
              </w:rPr>
              <w:t>8</w:t>
            </w:r>
            <w:r>
              <w:rPr>
                <w:rFonts w:hint="eastAsia" w:eastAsia="宋体"/>
                <w:color w:val="000000" w:themeColor="text1"/>
                <w:highlight w:val="none"/>
                <w14:textFill>
                  <w14:solidFill>
                    <w14:schemeClr w14:val="tx1"/>
                  </w14:solidFill>
                </w14:textFill>
              </w:rPr>
              <w:t>，则煮制工序废水产生量为</w:t>
            </w:r>
            <w:r>
              <w:rPr>
                <w:rFonts w:hint="eastAsia" w:cs="Times New Roman"/>
                <w:bCs/>
                <w:color w:val="000000" w:themeColor="text1"/>
                <w:sz w:val="24"/>
                <w:szCs w:val="24"/>
                <w:highlight w:val="none"/>
                <w:lang w:val="en-US" w:eastAsia="zh-CN"/>
                <w14:textFill>
                  <w14:solidFill>
                    <w14:schemeClr w14:val="tx1"/>
                  </w14:solidFill>
                </w14:textFill>
              </w:rPr>
              <w:t>3.43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1028.16</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402D73AF">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）冷却用水</w:t>
            </w:r>
          </w:p>
          <w:p w14:paraId="0F206E97">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毛肚煮制后</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立即放入旁边的冷却池冷却，冷却池体积2.41</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，冷却时，冷却池盛水80%，则需用水约11.57m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/d（3471</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排污系数取0.</w:t>
            </w:r>
            <w:r>
              <w:rPr>
                <w:rFonts w:hint="eastAsia"/>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则</w:t>
            </w:r>
            <w:r>
              <w:rPr>
                <w:rFonts w:hint="eastAsia" w:eastAsia="宋体"/>
                <w:color w:val="000000" w:themeColor="text1"/>
                <w:highlight w:val="none"/>
                <w:lang w:eastAsia="zh-CN"/>
                <w14:textFill>
                  <w14:solidFill>
                    <w14:schemeClr w14:val="tx1"/>
                  </w14:solidFill>
                </w14:textFill>
              </w:rPr>
              <w:t>冷却</w:t>
            </w:r>
            <w:r>
              <w:rPr>
                <w:rFonts w:hint="eastAsia" w:eastAsia="宋体"/>
                <w:color w:val="000000" w:themeColor="text1"/>
                <w:highlight w:val="none"/>
                <w14:textFill>
                  <w14:solidFill>
                    <w14:schemeClr w14:val="tx1"/>
                  </w14:solidFill>
                </w14:textFill>
              </w:rPr>
              <w:t>工序废水产生量为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9.26m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2778</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50DB32E1">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eastAsia="宋体"/>
                <w:color w:val="000000" w:themeColor="text1"/>
                <w:highlight w:val="none"/>
                <w:lang w:eastAsia="zh-CN"/>
                <w14:textFill>
                  <w14:solidFill>
                    <w14:schemeClr w14:val="tx1"/>
                  </w14:solidFill>
                </w14:textFill>
              </w:rPr>
              <w:t>）涨</w:t>
            </w:r>
            <w:r>
              <w:rPr>
                <w:rFonts w:hint="eastAsia" w:eastAsia="宋体"/>
                <w:color w:val="000000" w:themeColor="text1"/>
                <w:highlight w:val="none"/>
                <w14:textFill>
                  <w14:solidFill>
                    <w14:schemeClr w14:val="tx1"/>
                  </w14:solidFill>
                </w14:textFill>
              </w:rPr>
              <w:t>发</w:t>
            </w:r>
            <w:r>
              <w:rPr>
                <w:rFonts w:hint="eastAsia" w:eastAsia="宋体"/>
                <w:color w:val="000000" w:themeColor="text1"/>
                <w:highlight w:val="none"/>
                <w:lang w:eastAsia="zh-CN"/>
                <w14:textFill>
                  <w14:solidFill>
                    <w14:schemeClr w14:val="tx1"/>
                  </w14:solidFill>
                </w14:textFill>
              </w:rPr>
              <w:t>、漂洗</w:t>
            </w:r>
            <w:r>
              <w:rPr>
                <w:rFonts w:hint="eastAsia" w:eastAsia="宋体"/>
                <w:color w:val="000000" w:themeColor="text1"/>
                <w:highlight w:val="none"/>
                <w14:textFill>
                  <w14:solidFill>
                    <w14:schemeClr w14:val="tx1"/>
                  </w14:solidFill>
                </w14:textFill>
              </w:rPr>
              <w:t>工序</w:t>
            </w:r>
            <w:r>
              <w:rPr>
                <w:rFonts w:hint="eastAsia"/>
                <w:color w:val="000000" w:themeColor="text1"/>
                <w:highlight w:val="none"/>
                <w:lang w:eastAsia="zh-CN"/>
                <w14:textFill>
                  <w14:solidFill>
                    <w14:schemeClr w14:val="tx1"/>
                  </w14:solidFill>
                </w14:textFill>
              </w:rPr>
              <w:t>用</w:t>
            </w:r>
            <w:r>
              <w:rPr>
                <w:rFonts w:hint="eastAsia" w:eastAsia="宋体"/>
                <w:color w:val="000000" w:themeColor="text1"/>
                <w:highlight w:val="none"/>
                <w:lang w:eastAsia="zh-CN"/>
                <w14:textFill>
                  <w14:solidFill>
                    <w14:schemeClr w14:val="tx1"/>
                  </w14:solidFill>
                </w14:textFill>
              </w:rPr>
              <w:t>水</w:t>
            </w:r>
          </w:p>
          <w:p w14:paraId="01C011F9">
            <w:pPr>
              <w:pStyle w:val="15"/>
              <w:jc w:val="both"/>
              <w:rPr>
                <w:rFonts w:hint="default" w:ascii="Times New Roman" w:hAnsi="Times New Roman" w:cs="Times New Roman"/>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根据建设单位提供资料，每天加工原料用量约为</w:t>
            </w:r>
            <w:r>
              <w:rPr>
                <w:rFonts w:hint="eastAsia"/>
                <w:color w:val="000000" w:themeColor="text1"/>
                <w:highlight w:val="none"/>
                <w:lang w:val="en-US" w:eastAsia="zh-CN"/>
                <w14:textFill>
                  <w14:solidFill>
                    <w14:schemeClr w14:val="tx1"/>
                  </w14:solidFill>
                </w14:textFill>
              </w:rPr>
              <w:t>5吨。</w:t>
            </w:r>
            <w:r>
              <w:rPr>
                <w:rFonts w:hint="eastAsia"/>
                <w:color w:val="000000" w:themeColor="text1"/>
                <w:highlight w:val="none"/>
                <w:lang w:eastAsia="zh-CN"/>
                <w14:textFill>
                  <w14:solidFill>
                    <w14:schemeClr w14:val="tx1"/>
                  </w14:solidFill>
                </w14:textFill>
              </w:rPr>
              <w:t>所有原料需经过</w:t>
            </w:r>
            <w:r>
              <w:rPr>
                <w:rFonts w:hint="eastAsia" w:eastAsia="宋体"/>
                <w:color w:val="000000" w:themeColor="text1"/>
                <w:highlight w:val="none"/>
                <w:lang w:eastAsia="zh-CN"/>
                <w14:textFill>
                  <w14:solidFill>
                    <w14:schemeClr w14:val="tx1"/>
                  </w14:solidFill>
                </w14:textFill>
              </w:rPr>
              <w:t>涨</w:t>
            </w:r>
            <w:r>
              <w:rPr>
                <w:rFonts w:hint="eastAsia" w:eastAsia="宋体"/>
                <w:color w:val="000000" w:themeColor="text1"/>
                <w:highlight w:val="none"/>
                <w14:textFill>
                  <w14:solidFill>
                    <w14:schemeClr w14:val="tx1"/>
                  </w14:solidFill>
                </w14:textFill>
              </w:rPr>
              <w:t>发</w:t>
            </w:r>
            <w:r>
              <w:rPr>
                <w:rFonts w:hint="default" w:ascii="Times New Roman" w:hAnsi="Times New Roman" w:cs="Times New Roman"/>
                <w:color w:val="000000" w:themeColor="text1"/>
                <w:highlight w:val="none"/>
                <w:lang w:eastAsia="zh-CN"/>
                <w14:textFill>
                  <w14:solidFill>
                    <w14:schemeClr w14:val="tx1"/>
                  </w14:solidFill>
                </w14:textFill>
              </w:rPr>
              <w:t>和</w:t>
            </w:r>
            <w:r>
              <w:rPr>
                <w:rFonts w:hint="default" w:ascii="Times New Roman" w:hAnsi="Times New Roman" w:eastAsia="宋体" w:cs="Times New Roman"/>
                <w:color w:val="000000" w:themeColor="text1"/>
                <w:highlight w:val="none"/>
                <w:lang w:eastAsia="zh-CN"/>
                <w14:textFill>
                  <w14:solidFill>
                    <w14:schemeClr w14:val="tx1"/>
                  </w14:solidFill>
                </w14:textFill>
              </w:rPr>
              <w:t>漂洗</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涨发和漂洗工序生产一批次需</w:t>
            </w:r>
            <w:r>
              <w:rPr>
                <w:rFonts w:hint="eastAsia"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天，项目配置足够的涨发桶，可满足每天</w:t>
            </w:r>
            <w:r>
              <w:rPr>
                <w:rFonts w:hint="eastAsia" w:eastAsia="宋体"/>
                <w:color w:val="000000" w:themeColor="text1"/>
                <w:highlight w:val="none"/>
                <w:lang w:eastAsia="zh-CN"/>
                <w14:textFill>
                  <w14:solidFill>
                    <w14:schemeClr w14:val="tx1"/>
                  </w14:solidFill>
                </w14:textFill>
              </w:rPr>
              <w:t>涨</w:t>
            </w:r>
            <w:r>
              <w:rPr>
                <w:rFonts w:hint="eastAsia" w:eastAsia="宋体"/>
                <w:color w:val="000000" w:themeColor="text1"/>
                <w:highlight w:val="none"/>
                <w14:textFill>
                  <w14:solidFill>
                    <w14:schemeClr w14:val="tx1"/>
                  </w14:solidFill>
                </w14:textFill>
              </w:rPr>
              <w:t>发</w:t>
            </w:r>
            <w:r>
              <w:rPr>
                <w:rFonts w:hint="default" w:ascii="Times New Roman" w:hAnsi="Times New Roman" w:eastAsia="宋体" w:cs="Times New Roman"/>
                <w:color w:val="000000" w:themeColor="text1"/>
                <w:highlight w:val="none"/>
                <w:lang w:eastAsia="zh-CN"/>
                <w14:textFill>
                  <w14:solidFill>
                    <w14:schemeClr w14:val="tx1"/>
                  </w14:solidFill>
                </w14:textFill>
              </w:rPr>
              <w:t>漂洗</w:t>
            </w:r>
            <w:r>
              <w:rPr>
                <w:rFonts w:hint="eastAsia" w:cs="Times New Roman"/>
                <w:color w:val="000000" w:themeColor="text1"/>
                <w:highlight w:val="none"/>
                <w:lang w:eastAsia="zh-CN"/>
                <w14:textFill>
                  <w14:solidFill>
                    <w14:schemeClr w14:val="tx1"/>
                  </w14:solidFill>
                </w14:textFill>
              </w:rPr>
              <w:t>一批次。所有原料仅涨发</w:t>
            </w:r>
            <w:r>
              <w:rPr>
                <w:rFonts w:hint="eastAsia" w:cs="Times New Roman"/>
                <w:color w:val="000000" w:themeColor="text1"/>
                <w:highlight w:val="none"/>
                <w:lang w:val="en-US" w:eastAsia="zh-CN"/>
                <w14:textFill>
                  <w14:solidFill>
                    <w14:schemeClr w14:val="tx1"/>
                  </w14:solidFill>
                </w14:textFill>
              </w:rPr>
              <w:t>1次，再倒掉涨发废水加水漂洗，</w:t>
            </w:r>
            <w:r>
              <w:rPr>
                <w:rFonts w:hint="default" w:ascii="Times New Roman" w:hAnsi="Times New Roman" w:cs="Times New Roman"/>
                <w:color w:val="000000" w:themeColor="text1"/>
                <w:highlight w:val="none"/>
                <w:lang w:eastAsia="zh-CN"/>
                <w14:textFill>
                  <w14:solidFill>
                    <w14:schemeClr w14:val="tx1"/>
                  </w14:solidFill>
                </w14:textFill>
              </w:rPr>
              <w:t>毛肚漂洗约</w:t>
            </w:r>
            <w:r>
              <w:rPr>
                <w:rFonts w:hint="default" w:ascii="Times New Roman" w:hAnsi="Times New Roman" w:cs="Times New Roman"/>
                <w:color w:val="000000" w:themeColor="text1"/>
                <w:highlight w:val="none"/>
                <w:lang w:val="en-US" w:eastAsia="zh-CN"/>
                <w14:textFill>
                  <w14:solidFill>
                    <w14:schemeClr w14:val="tx1"/>
                  </w14:solidFill>
                </w14:textFill>
              </w:rPr>
              <w:t>3次，其他产品</w:t>
            </w:r>
            <w:r>
              <w:rPr>
                <w:rFonts w:hint="default" w:ascii="Times New Roman" w:hAnsi="Times New Roman" w:cs="Times New Roman"/>
                <w:color w:val="000000" w:themeColor="text1"/>
                <w:highlight w:val="none"/>
                <w:lang w:eastAsia="zh-CN"/>
                <w14:textFill>
                  <w14:solidFill>
                    <w14:schemeClr w14:val="tx1"/>
                  </w14:solidFill>
                </w14:textFill>
              </w:rPr>
              <w:t>漂洗</w:t>
            </w:r>
            <w:r>
              <w:rPr>
                <w:rFonts w:hint="default" w:ascii="Times New Roman" w:hAnsi="Times New Roman" w:cs="Times New Roman"/>
                <w:color w:val="000000" w:themeColor="text1"/>
                <w:highlight w:val="none"/>
                <w:lang w:val="en-US" w:eastAsia="zh-CN"/>
                <w14:textFill>
                  <w14:solidFill>
                    <w14:schemeClr w14:val="tx1"/>
                  </w14:solidFill>
                </w14:textFill>
              </w:rPr>
              <w:t>1次</w:t>
            </w:r>
            <w:r>
              <w:rPr>
                <w:rFonts w:hint="eastAsia" w:cs="Times New Roman"/>
                <w:color w:val="000000" w:themeColor="text1"/>
                <w:highlight w:val="none"/>
                <w:lang w:val="en-US" w:eastAsia="zh-CN"/>
                <w14:textFill>
                  <w14:solidFill>
                    <w14:schemeClr w14:val="tx1"/>
                  </w14:solidFill>
                </w14:textFill>
              </w:rPr>
              <w:t>，涨发桶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体积</w:t>
            </w:r>
            <w:r>
              <w:rPr>
                <w:rFonts w:hint="eastAsia" w:cs="Times New Roman"/>
                <w:color w:val="000000" w:themeColor="text1"/>
                <w:highlight w:val="none"/>
                <w:lang w:val="en-US" w:eastAsia="zh-CN"/>
                <w14:textFill>
                  <w14:solidFill>
                    <w14:schemeClr w14:val="tx1"/>
                  </w14:solidFill>
                </w14:textFill>
              </w:rPr>
              <w:t>0.7</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s="Times New Roman"/>
                <w:color w:val="000000" w:themeColor="text1"/>
                <w:szCs w:val="21"/>
                <w:highlight w:val="none"/>
                <w:vertAlign w:val="baseline"/>
                <w:lang w:eastAsia="zh-CN"/>
                <w14:textFill>
                  <w14:solidFill>
                    <w14:schemeClr w14:val="tx1"/>
                  </w14:solidFill>
                </w14:textFill>
              </w:rPr>
              <w:t>，涨发时，</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涨发</w:t>
            </w:r>
            <w:r>
              <w:rPr>
                <w:rFonts w:hint="eastAsia" w:cs="Times New Roman"/>
                <w:bCs/>
                <w:color w:val="000000" w:themeColor="text1"/>
                <w:sz w:val="24"/>
                <w:szCs w:val="24"/>
                <w:lang w:val="en-US" w:eastAsia="zh-CN"/>
                <w14:textFill>
                  <w14:solidFill>
                    <w14:schemeClr w14:val="tx1"/>
                  </w14:solidFill>
                </w14:textFill>
              </w:rPr>
              <w:t>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盛水</w:t>
            </w:r>
            <w:r>
              <w:rPr>
                <w:rFonts w:hint="eastAsia" w:cs="Times New Roman"/>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0%</w:t>
            </w:r>
            <w:r>
              <w:rPr>
                <w:rFonts w:hint="eastAsia" w:cs="Times New Roman"/>
                <w:bCs/>
                <w:color w:val="000000" w:themeColor="text1"/>
                <w:sz w:val="24"/>
                <w:szCs w:val="24"/>
                <w:highlight w:val="none"/>
                <w:lang w:val="en-US" w:eastAsia="zh-CN"/>
                <w14:textFill>
                  <w14:solidFill>
                    <w14:schemeClr w14:val="tx1"/>
                  </w14:solidFill>
                </w14:textFill>
              </w:rPr>
              <w:t>，每批次使用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cs="Times New Roman"/>
                <w:bCs/>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0个涨发</w:t>
            </w:r>
            <w:r>
              <w:rPr>
                <w:rFonts w:hint="eastAsia" w:cs="Times New Roman"/>
                <w:color w:val="000000" w:themeColor="text1"/>
                <w:highlight w:val="none"/>
                <w:lang w:val="en-US" w:eastAsia="zh-CN"/>
                <w14:textFill>
                  <w14:solidFill>
                    <w14:schemeClr w14:val="tx1"/>
                  </w14:solidFill>
                </w14:textFill>
              </w:rPr>
              <w:t>桶</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按照原料：水=</w:t>
            </w:r>
            <w:r>
              <w:rPr>
                <w:rFonts w:hint="eastAsia"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7的比例进行涨发（涨发后产品为10吨，吸收5吨水）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原料</w:t>
            </w:r>
            <w:r>
              <w:rPr>
                <w:rFonts w:hint="default" w:ascii="Times New Roman" w:hAnsi="Times New Roman" w:cs="Times New Roman"/>
                <w:color w:val="000000" w:themeColor="text1"/>
                <w:highlight w:val="none"/>
                <w:lang w:eastAsia="zh-CN"/>
                <w14:textFill>
                  <w14:solidFill>
                    <w14:schemeClr w14:val="tx1"/>
                  </w14:solidFill>
                </w14:textFill>
              </w:rPr>
              <w:t>涨发</w:t>
            </w:r>
            <w:r>
              <w:rPr>
                <w:rFonts w:hint="default" w:ascii="Times New Roman" w:hAnsi="Times New Roman" w:eastAsia="宋体" w:cs="Times New Roman"/>
                <w:color w:val="000000" w:themeColor="text1"/>
                <w:highlight w:val="none"/>
                <w14:textFill>
                  <w14:solidFill>
                    <w14:schemeClr w14:val="tx1"/>
                  </w14:solidFill>
                </w14:textFill>
              </w:rPr>
              <w:t>用水约</w:t>
            </w:r>
            <w:r>
              <w:rPr>
                <w:rFonts w:hint="eastAsia" w:cs="Times New Roman"/>
                <w:color w:val="000000" w:themeColor="text1"/>
                <w:highlight w:val="none"/>
                <w:lang w:val="en-US" w:eastAsia="zh-CN"/>
                <w14:textFill>
                  <w14:solidFill>
                    <w14:schemeClr w14:val="tx1"/>
                  </w14:solidFill>
                </w14:textFill>
              </w:rPr>
              <w:t>31.75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d（</w:t>
            </w:r>
            <w:r>
              <w:rPr>
                <w:rFonts w:hint="eastAsia" w:cs="Times New Roman"/>
                <w:color w:val="000000" w:themeColor="text1"/>
                <w:highlight w:val="none"/>
                <w:lang w:val="en-US" w:eastAsia="zh-CN"/>
                <w14:textFill>
                  <w14:solidFill>
                    <w14:schemeClr w14:val="tx1"/>
                  </w14:solidFill>
                </w14:textFill>
              </w:rPr>
              <w:t>9525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/a</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按照原料：水=</w:t>
            </w:r>
            <w:r>
              <w:rPr>
                <w:rFonts w:hint="eastAsia"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3的比例进行漂洗</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毛肚</w:t>
            </w:r>
            <w:r>
              <w:rPr>
                <w:rFonts w:hint="default" w:ascii="Times New Roman" w:hAnsi="Times New Roman" w:cs="Times New Roman"/>
                <w:color w:val="000000" w:themeColor="text1"/>
                <w:highlight w:val="none"/>
                <w:lang w:eastAsia="zh-CN"/>
                <w14:textFill>
                  <w14:solidFill>
                    <w14:schemeClr w14:val="tx1"/>
                  </w14:solidFill>
                </w14:textFill>
              </w:rPr>
              <w:t>漂洗</w:t>
            </w:r>
            <w:r>
              <w:rPr>
                <w:rFonts w:hint="default" w:ascii="Times New Roman" w:hAnsi="Times New Roman" w:eastAsia="宋体" w:cs="Times New Roman"/>
                <w:color w:val="000000" w:themeColor="text1"/>
                <w:highlight w:val="none"/>
                <w14:textFill>
                  <w14:solidFill>
                    <w14:schemeClr w14:val="tx1"/>
                  </w14:solidFill>
                </w14:textFill>
              </w:rPr>
              <w:t>用水约</w:t>
            </w:r>
            <w:r>
              <w:rPr>
                <w:rFonts w:hint="eastAsia" w:cs="Times New Roman"/>
                <w:color w:val="000000" w:themeColor="text1"/>
                <w:highlight w:val="none"/>
                <w:lang w:val="en-US" w:eastAsia="zh-CN"/>
                <w14:textFill>
                  <w14:solidFill>
                    <w14:schemeClr w14:val="tx1"/>
                  </w14:solidFill>
                </w14:textFill>
              </w:rPr>
              <w:t>47.25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d（</w:t>
            </w:r>
            <w:r>
              <w:rPr>
                <w:rFonts w:hint="eastAsia" w:cs="Times New Roman"/>
                <w:color w:val="000000" w:themeColor="text1"/>
                <w:highlight w:val="none"/>
                <w:lang w:val="en-US" w:eastAsia="zh-CN"/>
                <w14:textFill>
                  <w14:solidFill>
                    <w14:schemeClr w14:val="tx1"/>
                  </w14:solidFill>
                </w14:textFill>
              </w:rPr>
              <w:t>14175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/a</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其他产品</w:t>
            </w:r>
            <w:r>
              <w:rPr>
                <w:rFonts w:hint="default" w:ascii="Times New Roman" w:hAnsi="Times New Roman" w:cs="Times New Roman"/>
                <w:color w:val="000000" w:themeColor="text1"/>
                <w:highlight w:val="none"/>
                <w:lang w:eastAsia="zh-CN"/>
                <w14:textFill>
                  <w14:solidFill>
                    <w14:schemeClr w14:val="tx1"/>
                  </w14:solidFill>
                </w14:textFill>
              </w:rPr>
              <w:t>漂洗</w:t>
            </w:r>
            <w:r>
              <w:rPr>
                <w:rFonts w:hint="default" w:ascii="Times New Roman" w:hAnsi="Times New Roman" w:eastAsia="宋体" w:cs="Times New Roman"/>
                <w:color w:val="000000" w:themeColor="text1"/>
                <w:highlight w:val="none"/>
                <w14:textFill>
                  <w14:solidFill>
                    <w14:schemeClr w14:val="tx1"/>
                  </w14:solidFill>
                </w14:textFill>
              </w:rPr>
              <w:t>用水约</w:t>
            </w:r>
            <w:r>
              <w:rPr>
                <w:rFonts w:hint="eastAsia" w:cs="Times New Roman"/>
                <w:color w:val="000000" w:themeColor="text1"/>
                <w:highlight w:val="none"/>
                <w:lang w:val="en-US" w:eastAsia="zh-CN"/>
                <w14:textFill>
                  <w14:solidFill>
                    <w14:schemeClr w14:val="tx1"/>
                  </w14:solidFill>
                </w14:textFill>
              </w:rPr>
              <w:t>37.8</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d（</w:t>
            </w:r>
            <w:r>
              <w:rPr>
                <w:rFonts w:hint="eastAsia" w:cs="Times New Roman"/>
                <w:color w:val="000000" w:themeColor="text1"/>
                <w:highlight w:val="none"/>
                <w:lang w:val="en-US" w:eastAsia="zh-CN"/>
                <w14:textFill>
                  <w14:solidFill>
                    <w14:schemeClr w14:val="tx1"/>
                  </w14:solidFill>
                </w14:textFill>
              </w:rPr>
              <w:t>11340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/a</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涨</w:t>
            </w:r>
            <w:r>
              <w:rPr>
                <w:rFonts w:hint="default" w:ascii="Times New Roman" w:hAnsi="Times New Roman" w:eastAsia="宋体" w:cs="Times New Roman"/>
                <w:color w:val="000000" w:themeColor="text1"/>
                <w:highlight w:val="none"/>
                <w14:textFill>
                  <w14:solidFill>
                    <w14:schemeClr w14:val="tx1"/>
                  </w14:solidFill>
                </w14:textFill>
              </w:rPr>
              <w:t>发</w:t>
            </w:r>
            <w:r>
              <w:rPr>
                <w:rFonts w:hint="default" w:ascii="Times New Roman" w:hAnsi="Times New Roman" w:eastAsia="宋体" w:cs="Times New Roman"/>
                <w:color w:val="000000" w:themeColor="text1"/>
                <w:highlight w:val="none"/>
                <w:lang w:eastAsia="zh-CN"/>
                <w14:textFill>
                  <w14:solidFill>
                    <w14:schemeClr w14:val="tx1"/>
                  </w14:solidFill>
                </w14:textFill>
              </w:rPr>
              <w:t>、漂洗</w:t>
            </w:r>
            <w:r>
              <w:rPr>
                <w:rFonts w:hint="default" w:ascii="Times New Roman" w:hAnsi="Times New Roman" w:cs="Times New Roman"/>
                <w:color w:val="000000" w:themeColor="text1"/>
                <w:highlight w:val="none"/>
                <w:lang w:eastAsia="zh-CN"/>
                <w14:textFill>
                  <w14:solidFill>
                    <w14:schemeClr w14:val="tx1"/>
                  </w14:solidFill>
                </w14:textFill>
              </w:rPr>
              <w:t>工序</w:t>
            </w:r>
            <w:r>
              <w:rPr>
                <w:rFonts w:hint="eastAsia" w:cs="Times New Roman"/>
                <w:color w:val="000000" w:themeColor="text1"/>
                <w:highlight w:val="none"/>
                <w:lang w:eastAsia="zh-CN"/>
                <w14:textFill>
                  <w14:solidFill>
                    <w14:schemeClr w14:val="tx1"/>
                  </w14:solidFill>
                </w14:textFill>
              </w:rPr>
              <w:t>用</w:t>
            </w:r>
            <w:r>
              <w:rPr>
                <w:rFonts w:hint="default" w:ascii="Times New Roman" w:hAnsi="Times New Roman" w:cs="Times New Roman"/>
                <w:color w:val="000000" w:themeColor="text1"/>
                <w:highlight w:val="none"/>
                <w:lang w:eastAsia="zh-CN"/>
                <w14:textFill>
                  <w14:solidFill>
                    <w14:schemeClr w14:val="tx1"/>
                  </w14:solidFill>
                </w14:textFill>
              </w:rPr>
              <w:t>水量为</w:t>
            </w:r>
            <w:r>
              <w:rPr>
                <w:rFonts w:hint="eastAsia" w:cs="Times New Roman"/>
                <w:color w:val="000000" w:themeColor="text1"/>
                <w:highlight w:val="none"/>
                <w:lang w:val="en-US" w:eastAsia="zh-CN"/>
                <w14:textFill>
                  <w14:solidFill>
                    <w14:schemeClr w14:val="tx1"/>
                  </w14:solidFill>
                </w14:textFill>
              </w:rPr>
              <w:t>94.75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d（</w:t>
            </w:r>
            <w:r>
              <w:rPr>
                <w:rFonts w:hint="eastAsia" w:cs="Times New Roman"/>
                <w:color w:val="000000" w:themeColor="text1"/>
                <w:highlight w:val="none"/>
                <w:lang w:val="en-US" w:eastAsia="zh-CN"/>
                <w14:textFill>
                  <w14:solidFill>
                    <w14:schemeClr w14:val="tx1"/>
                  </w14:solidFill>
                </w14:textFill>
              </w:rPr>
              <w:t>28425</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/a</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排污系数取0.8，则</w:t>
            </w:r>
            <w:r>
              <w:rPr>
                <w:rFonts w:hint="default" w:ascii="Times New Roman" w:hAnsi="Times New Roman" w:eastAsia="宋体" w:cs="Times New Roman"/>
                <w:color w:val="000000" w:themeColor="text1"/>
                <w:highlight w:val="none"/>
                <w:lang w:eastAsia="zh-CN"/>
                <w14:textFill>
                  <w14:solidFill>
                    <w14:schemeClr w14:val="tx1"/>
                  </w14:solidFill>
                </w14:textFill>
              </w:rPr>
              <w:t>涨</w:t>
            </w:r>
            <w:r>
              <w:rPr>
                <w:rFonts w:hint="default" w:ascii="Times New Roman" w:hAnsi="Times New Roman" w:eastAsia="宋体" w:cs="Times New Roman"/>
                <w:color w:val="000000" w:themeColor="text1"/>
                <w:highlight w:val="none"/>
                <w14:textFill>
                  <w14:solidFill>
                    <w14:schemeClr w14:val="tx1"/>
                  </w14:solidFill>
                </w14:textFill>
              </w:rPr>
              <w:t>发</w:t>
            </w:r>
            <w:r>
              <w:rPr>
                <w:rFonts w:hint="default" w:ascii="Times New Roman" w:hAnsi="Times New Roman" w:eastAsia="宋体" w:cs="Times New Roman"/>
                <w:color w:val="000000" w:themeColor="text1"/>
                <w:highlight w:val="none"/>
                <w:lang w:eastAsia="zh-CN"/>
                <w14:textFill>
                  <w14:solidFill>
                    <w14:schemeClr w14:val="tx1"/>
                  </w14:solidFill>
                </w14:textFill>
              </w:rPr>
              <w:t>、漂洗</w:t>
            </w:r>
            <w:r>
              <w:rPr>
                <w:rFonts w:hint="default" w:ascii="Times New Roman" w:hAnsi="Times New Roman" w:cs="Times New Roman"/>
                <w:color w:val="000000" w:themeColor="text1"/>
                <w:highlight w:val="none"/>
                <w:lang w:eastAsia="zh-CN"/>
                <w14:textFill>
                  <w14:solidFill>
                    <w14:schemeClr w14:val="tx1"/>
                  </w14:solidFill>
                </w14:textFill>
              </w:rPr>
              <w:t>工序废水产生量为</w:t>
            </w:r>
            <w:r>
              <w:rPr>
                <w:rFonts w:hint="eastAsia" w:cs="Times New Roman"/>
                <w:color w:val="000000" w:themeColor="text1"/>
                <w:highlight w:val="none"/>
                <w:lang w:val="en-US" w:eastAsia="zh-CN"/>
                <w14:textFill>
                  <w14:solidFill>
                    <w14:schemeClr w14:val="tx1"/>
                  </w14:solidFill>
                </w14:textFill>
              </w:rPr>
              <w:t>75.8</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d（</w:t>
            </w:r>
            <w:r>
              <w:rPr>
                <w:rFonts w:hint="eastAsia" w:cs="Times New Roman"/>
                <w:color w:val="000000" w:themeColor="text1"/>
                <w:highlight w:val="none"/>
                <w:lang w:val="en-US" w:eastAsia="zh-CN"/>
                <w14:textFill>
                  <w14:solidFill>
                    <w14:schemeClr w14:val="tx1"/>
                  </w14:solidFill>
                </w14:textFill>
              </w:rPr>
              <w:t>22740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/a</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w:t>
            </w:r>
          </w:p>
          <w:p w14:paraId="44DC3CD1">
            <w:pPr>
              <w:keepNext w:val="0"/>
              <w:keepLines w:val="0"/>
              <w:pageBreakBefore w:val="0"/>
              <w:widowControl w:val="0"/>
              <w:numPr>
                <w:ilvl w:val="0"/>
                <w:numId w:val="0"/>
              </w:numPr>
              <w:kinsoku/>
              <w:wordWrap/>
              <w:overflowPunct/>
              <w:topLinePunct w:val="0"/>
              <w:autoSpaceDE/>
              <w:autoSpaceDN/>
              <w:bidi w:val="0"/>
              <w:spacing w:line="360" w:lineRule="auto"/>
              <w:ind w:left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）锅炉用水</w:t>
            </w:r>
          </w:p>
          <w:p w14:paraId="04FD665B">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color w:val="000000" w:themeColor="text1"/>
                <w:highlight w:val="none"/>
                <w14:textFill>
                  <w14:solidFill>
                    <w14:schemeClr w14:val="tx1"/>
                  </w14:solidFill>
                </w14:textFill>
              </w:rPr>
            </w:pPr>
            <w:r>
              <w:rPr>
                <w:snapToGrid w:val="0"/>
                <w:color w:val="000000" w:themeColor="text1"/>
                <w:kern w:val="0"/>
                <w:sz w:val="24"/>
                <w:highlight w:val="none"/>
                <w14:textFill>
                  <w14:solidFill>
                    <w14:schemeClr w14:val="tx1"/>
                  </w14:solidFill>
                </w14:textFill>
              </w:rPr>
              <w:t>本项目配套</w:t>
            </w:r>
            <w:r>
              <w:rPr>
                <w:rFonts w:hint="eastAsia"/>
                <w:snapToGrid w:val="0"/>
                <w:color w:val="000000" w:themeColor="text1"/>
                <w:kern w:val="0"/>
                <w:sz w:val="24"/>
                <w:highlight w:val="none"/>
                <w:lang w:eastAsia="zh-CN"/>
                <w14:textFill>
                  <w14:solidFill>
                    <w14:schemeClr w14:val="tx1"/>
                  </w14:solidFill>
                </w14:textFill>
              </w:rPr>
              <w:t>设置</w:t>
            </w:r>
            <w:r>
              <w:rPr>
                <w:rFonts w:hint="eastAsia"/>
                <w:snapToGrid w:val="0"/>
                <w:color w:val="000000" w:themeColor="text1"/>
                <w:kern w:val="0"/>
                <w:sz w:val="24"/>
                <w:highlight w:val="none"/>
                <w:lang w:val="en-US" w:eastAsia="zh-CN"/>
                <w14:textFill>
                  <w14:solidFill>
                    <w14:schemeClr w14:val="tx1"/>
                  </w14:solidFill>
                </w14:textFill>
              </w:rPr>
              <w:t>1</w:t>
            </w:r>
            <w:r>
              <w:rPr>
                <w:snapToGrid w:val="0"/>
                <w:color w:val="000000" w:themeColor="text1"/>
                <w:kern w:val="0"/>
                <w:sz w:val="24"/>
                <w:highlight w:val="none"/>
                <w14:textFill>
                  <w14:solidFill>
                    <w14:schemeClr w14:val="tx1"/>
                  </w14:solidFill>
                </w14:textFill>
              </w:rPr>
              <w:t>台</w:t>
            </w:r>
            <w:r>
              <w:rPr>
                <w:rFonts w:hint="eastAsia"/>
                <w:snapToGrid w:val="0"/>
                <w:color w:val="000000" w:themeColor="text1"/>
                <w:kern w:val="0"/>
                <w:sz w:val="24"/>
                <w:highlight w:val="none"/>
                <w:lang w:val="en-US" w:eastAsia="zh-CN"/>
                <w14:textFill>
                  <w14:solidFill>
                    <w14:schemeClr w14:val="tx1"/>
                  </w14:solidFill>
                </w14:textFill>
              </w:rPr>
              <w:t>2</w:t>
            </w:r>
            <w:r>
              <w:rPr>
                <w:snapToGrid w:val="0"/>
                <w:color w:val="000000" w:themeColor="text1"/>
                <w:kern w:val="0"/>
                <w:sz w:val="24"/>
                <w:highlight w:val="none"/>
                <w14:textFill>
                  <w14:solidFill>
                    <w14:schemeClr w14:val="tx1"/>
                  </w14:solidFill>
                </w14:textFill>
              </w:rPr>
              <w:t>t/h</w:t>
            </w:r>
            <w:r>
              <w:rPr>
                <w:rFonts w:hint="eastAsia"/>
                <w:snapToGrid w:val="0"/>
                <w:color w:val="000000" w:themeColor="text1"/>
                <w:kern w:val="0"/>
                <w:sz w:val="24"/>
                <w:highlight w:val="none"/>
                <w14:textFill>
                  <w14:solidFill>
                    <w14:schemeClr w14:val="tx1"/>
                  </w14:solidFill>
                </w14:textFill>
              </w:rPr>
              <w:t>低氮燃烧</w:t>
            </w:r>
            <w:r>
              <w:rPr>
                <w:rFonts w:hint="eastAsia" w:cs="Times New Roman"/>
                <w:color w:val="000000" w:themeColor="text1"/>
                <w:sz w:val="24"/>
                <w:highlight w:val="none"/>
                <w:lang w:val="en-US" w:eastAsia="zh-CN"/>
                <w14:textFill>
                  <w14:solidFill>
                    <w14:schemeClr w14:val="tx1"/>
                  </w14:solidFill>
                </w14:textFill>
              </w:rPr>
              <w:t>锅炉</w:t>
            </w:r>
            <w:r>
              <w:rPr>
                <w:snapToGrid w:val="0"/>
                <w:color w:val="000000" w:themeColor="text1"/>
                <w:kern w:val="0"/>
                <w:sz w:val="24"/>
                <w:highlight w:val="none"/>
                <w14:textFill>
                  <w14:solidFill>
                    <w14:schemeClr w14:val="tx1"/>
                  </w14:solidFill>
                </w14:textFill>
              </w:rPr>
              <w:t>，</w:t>
            </w:r>
            <w:r>
              <w:rPr>
                <w:rFonts w:hint="eastAsia"/>
                <w:snapToGrid w:val="0"/>
                <w:color w:val="000000" w:themeColor="text1"/>
                <w:kern w:val="0"/>
                <w:sz w:val="24"/>
                <w:highlight w:val="none"/>
                <w14:textFill>
                  <w14:solidFill>
                    <w14:schemeClr w14:val="tx1"/>
                  </w14:solidFill>
                </w14:textFill>
              </w:rPr>
              <w:t>为</w:t>
            </w:r>
            <w:r>
              <w:rPr>
                <w:snapToGrid w:val="0"/>
                <w:color w:val="000000" w:themeColor="text1"/>
                <w:kern w:val="0"/>
                <w:sz w:val="24"/>
                <w:highlight w:val="none"/>
                <w14:textFill>
                  <w14:solidFill>
                    <w14:schemeClr w14:val="tx1"/>
                  </w14:solidFill>
                </w14:textFill>
              </w:rPr>
              <w:t>闭合式间接加热，每天运行</w:t>
            </w:r>
            <w:r>
              <w:rPr>
                <w:rFonts w:hint="eastAsia"/>
                <w:snapToGrid w:val="0"/>
                <w:color w:val="000000" w:themeColor="text1"/>
                <w:kern w:val="0"/>
                <w:sz w:val="24"/>
                <w:highlight w:val="none"/>
                <w14:textFill>
                  <w14:solidFill>
                    <w14:schemeClr w14:val="tx1"/>
                  </w14:solidFill>
                </w14:textFill>
              </w:rPr>
              <w:t>8</w:t>
            </w:r>
            <w:r>
              <w:rPr>
                <w:snapToGrid w:val="0"/>
                <w:color w:val="000000" w:themeColor="text1"/>
                <w:kern w:val="0"/>
                <w:sz w:val="24"/>
                <w:highlight w:val="none"/>
                <w14:textFill>
                  <w14:solidFill>
                    <w14:schemeClr w14:val="tx1"/>
                  </w14:solidFill>
                </w14:textFill>
              </w:rPr>
              <w:t>h。</w:t>
            </w:r>
            <w:r>
              <w:rPr>
                <w:rFonts w:hint="eastAsia"/>
                <w:snapToGrid w:val="0"/>
                <w:color w:val="000000" w:themeColor="text1"/>
                <w:kern w:val="0"/>
                <w:sz w:val="24"/>
                <w:highlight w:val="none"/>
                <w:lang w:eastAsia="zh-CN"/>
                <w14:textFill>
                  <w14:solidFill>
                    <w14:schemeClr w14:val="tx1"/>
                  </w14:solidFill>
                </w14:textFill>
              </w:rPr>
              <w:t>水蒸气</w:t>
            </w:r>
            <w:r>
              <w:rPr>
                <w:rFonts w:hint="eastAsia"/>
                <w:snapToGrid w:val="0"/>
                <w:color w:val="000000" w:themeColor="text1"/>
                <w:kern w:val="0"/>
                <w:sz w:val="24"/>
                <w:highlight w:val="none"/>
                <w14:textFill>
                  <w14:solidFill>
                    <w14:schemeClr w14:val="tx1"/>
                  </w14:solidFill>
                </w14:textFill>
              </w:rPr>
              <w:t>循环使用，定期补充损耗量，</w:t>
            </w:r>
            <w:r>
              <w:rPr>
                <w:rFonts w:hint="eastAsia" w:cs="Times New Roman"/>
                <w:color w:val="000000" w:themeColor="text1"/>
                <w:sz w:val="24"/>
                <w:szCs w:val="32"/>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24"/>
                <w:highlight w:val="none"/>
                <w14:textFill>
                  <w14:solidFill>
                    <w14:schemeClr w14:val="tx1"/>
                  </w14:solidFill>
                </w14:textFill>
              </w:rPr>
              <w:t>用水</w:t>
            </w:r>
            <w:r>
              <w:rPr>
                <w:rFonts w:hint="eastAsia"/>
                <w:snapToGrid w:val="0"/>
                <w:color w:val="000000" w:themeColor="text1"/>
                <w:kern w:val="0"/>
                <w:sz w:val="24"/>
                <w:highlight w:val="none"/>
                <w14:textFill>
                  <w14:solidFill>
                    <w14:schemeClr w14:val="tx1"/>
                  </w14:solidFill>
                </w14:textFill>
              </w:rPr>
              <w:t>主要包括补充水；外排废水主要为排污废水。</w:t>
            </w:r>
          </w:p>
          <w:p w14:paraId="7CC35FBE">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补充新鲜软水量（即蒸发损耗水量）为（</w:t>
            </w:r>
            <w:r>
              <w:rPr>
                <w:rFonts w:hint="eastAsia"/>
                <w:snapToGrid w:val="0"/>
                <w:color w:val="000000" w:themeColor="text1"/>
                <w:kern w:val="0"/>
                <w:sz w:val="24"/>
                <w:highlight w:val="none"/>
                <w:lang w:val="en-US" w:eastAsia="zh-CN"/>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×1×8h）×10% =</w:t>
            </w:r>
            <w:r>
              <w:rPr>
                <w:rFonts w:hint="eastAsia"/>
                <w:snapToGrid w:val="0"/>
                <w:color w:val="000000" w:themeColor="text1"/>
                <w:kern w:val="0"/>
                <w:sz w:val="24"/>
                <w:highlight w:val="none"/>
                <w:lang w:val="en-US" w:eastAsia="zh-CN"/>
                <w14:textFill>
                  <w14:solidFill>
                    <w14:schemeClr w14:val="tx1"/>
                  </w14:solidFill>
                </w14:textFill>
              </w:rPr>
              <w:t>1.6</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w:t>
            </w:r>
            <w:r>
              <w:rPr>
                <w:rFonts w:hint="eastAsia"/>
                <w:snapToGrid w:val="0"/>
                <w:color w:val="000000" w:themeColor="text1"/>
                <w:kern w:val="0"/>
                <w:sz w:val="24"/>
                <w:highlight w:val="none"/>
                <w:lang w:val="en-US" w:eastAsia="zh-CN"/>
                <w14:textFill>
                  <w14:solidFill>
                    <w14:schemeClr w14:val="tx1"/>
                  </w14:solidFill>
                </w14:textFill>
              </w:rPr>
              <w:t>480</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/a）。根据《锅炉产排污量核算系数手册》中产污系数及污染治理效率表，</w:t>
            </w:r>
            <w:r>
              <w:rPr>
                <w:rFonts w:hint="eastAsia"/>
                <w:snapToGrid w:val="0"/>
                <w:color w:val="000000" w:themeColor="text1"/>
                <w:kern w:val="0"/>
                <w:sz w:val="24"/>
                <w:highlight w:val="none"/>
                <w:lang w:eastAsia="zh-CN"/>
                <w14:textFill>
                  <w14:solidFill>
                    <w14:schemeClr w14:val="tx1"/>
                  </w14:solidFill>
                </w14:textFill>
              </w:rPr>
              <w:t>锅炉</w:t>
            </w:r>
            <w:r>
              <w:rPr>
                <w:rFonts w:hint="eastAsia"/>
                <w:snapToGrid w:val="0"/>
                <w:color w:val="000000" w:themeColor="text1"/>
                <w:kern w:val="0"/>
                <w:sz w:val="24"/>
                <w:highlight w:val="none"/>
                <w14:textFill>
                  <w14:solidFill>
                    <w14:schemeClr w14:val="tx1"/>
                  </w14:solidFill>
                </w14:textFill>
              </w:rPr>
              <w:t>废水量为9.86吨/万立方米·原料，</w:t>
            </w:r>
            <w:r>
              <w:rPr>
                <w:rFonts w:hint="eastAsia"/>
                <w:snapToGrid w:val="0"/>
                <w:color w:val="000000" w:themeColor="text1"/>
                <w:kern w:val="0"/>
                <w:sz w:val="24"/>
                <w:highlight w:val="none"/>
                <w:lang w:eastAsia="zh-CN"/>
                <w14:textFill>
                  <w14:solidFill>
                    <w14:schemeClr w14:val="tx1"/>
                  </w14:solidFill>
                </w14:textFill>
              </w:rPr>
              <w:t>本项目</w:t>
            </w:r>
            <w:r>
              <w:rPr>
                <w:rFonts w:hint="eastAsia" w:cs="Times New Roman"/>
                <w:color w:val="000000" w:themeColor="text1"/>
                <w:sz w:val="24"/>
                <w:szCs w:val="32"/>
                <w:highlight w:val="none"/>
                <w:lang w:val="en-US" w:eastAsia="zh-CN"/>
                <w14:textFill>
                  <w14:solidFill>
                    <w14:schemeClr w14:val="tx1"/>
                  </w14:solidFill>
                </w14:textFill>
              </w:rPr>
              <w:t>锅炉</w:t>
            </w:r>
            <w:r>
              <w:rPr>
                <w:rFonts w:hint="eastAsia"/>
                <w:snapToGrid w:val="0"/>
                <w:color w:val="000000" w:themeColor="text1"/>
                <w:kern w:val="0"/>
                <w:sz w:val="24"/>
                <w:highlight w:val="none"/>
                <w:lang w:val="en-GB"/>
                <w14:textFill>
                  <w14:solidFill>
                    <w14:schemeClr w14:val="tx1"/>
                  </w14:solidFill>
                </w14:textFill>
              </w:rPr>
              <w:t>天然气总用量为</w:t>
            </w:r>
            <w:r>
              <w:rPr>
                <w:rFonts w:hint="eastAsia"/>
                <w:snapToGrid w:val="0"/>
                <w:color w:val="000000" w:themeColor="text1"/>
                <w:kern w:val="0"/>
                <w:sz w:val="24"/>
                <w:highlight w:val="none"/>
                <w:lang w:val="en-US" w:eastAsia="zh-CN"/>
                <w14:textFill>
                  <w14:solidFill>
                    <w14:schemeClr w14:val="tx1"/>
                  </w14:solidFill>
                </w14:textFill>
              </w:rPr>
              <w:t>36</w:t>
            </w:r>
            <w:r>
              <w:rPr>
                <w:rFonts w:hint="eastAsia"/>
                <w:snapToGrid w:val="0"/>
                <w:color w:val="000000" w:themeColor="text1"/>
                <w:kern w:val="0"/>
                <w:sz w:val="24"/>
                <w:highlight w:val="none"/>
                <w:lang w:val="en-GB"/>
                <w14:textFill>
                  <w14:solidFill>
                    <w14:schemeClr w14:val="tx1"/>
                  </w14:solidFill>
                </w14:textFill>
              </w:rPr>
              <w:t>万m</w:t>
            </w:r>
            <w:r>
              <w:rPr>
                <w:rFonts w:hint="eastAsia"/>
                <w:snapToGrid w:val="0"/>
                <w:color w:val="000000" w:themeColor="text1"/>
                <w:kern w:val="0"/>
                <w:sz w:val="24"/>
                <w:highlight w:val="none"/>
                <w:vertAlign w:val="superscript"/>
                <w:lang w:val="en-GB"/>
                <w14:textFill>
                  <w14:solidFill>
                    <w14:schemeClr w14:val="tx1"/>
                  </w14:solidFill>
                </w14:textFill>
              </w:rPr>
              <w:t>3</w:t>
            </w:r>
            <w:r>
              <w:rPr>
                <w:rFonts w:hint="eastAsia"/>
                <w:snapToGrid w:val="0"/>
                <w:color w:val="000000" w:themeColor="text1"/>
                <w:kern w:val="0"/>
                <w:sz w:val="24"/>
                <w:highlight w:val="none"/>
                <w:lang w:val="en-GB"/>
                <w14:textFill>
                  <w14:solidFill>
                    <w14:schemeClr w14:val="tx1"/>
                  </w14:solidFill>
                </w14:textFill>
              </w:rPr>
              <w:t>/a，</w:t>
            </w:r>
            <w:r>
              <w:rPr>
                <w:rFonts w:hint="eastAsia"/>
                <w:snapToGrid w:val="0"/>
                <w:color w:val="000000" w:themeColor="text1"/>
                <w:kern w:val="0"/>
                <w:sz w:val="24"/>
                <w:highlight w:val="none"/>
                <w14:textFill>
                  <w14:solidFill>
                    <w14:schemeClr w14:val="tx1"/>
                  </w14:solidFill>
                </w14:textFill>
              </w:rPr>
              <w:t>则项目</w:t>
            </w:r>
            <w:r>
              <w:rPr>
                <w:rFonts w:hint="eastAsia" w:cs="Times New Roman"/>
                <w:color w:val="000000" w:themeColor="text1"/>
                <w:sz w:val="24"/>
                <w:szCs w:val="32"/>
                <w:highlight w:val="none"/>
                <w:lang w:val="en-US" w:eastAsia="zh-CN"/>
                <w14:textFill>
                  <w14:solidFill>
                    <w14:schemeClr w14:val="tx1"/>
                  </w14:solidFill>
                </w14:textFill>
              </w:rPr>
              <w:t>锅炉</w:t>
            </w:r>
            <w:r>
              <w:rPr>
                <w:rFonts w:hint="eastAsia"/>
                <w:snapToGrid w:val="0"/>
                <w:color w:val="000000" w:themeColor="text1"/>
                <w:kern w:val="0"/>
                <w:sz w:val="24"/>
                <w:highlight w:val="none"/>
                <w14:textFill>
                  <w14:solidFill>
                    <w14:schemeClr w14:val="tx1"/>
                  </w14:solidFill>
                </w14:textFill>
              </w:rPr>
              <w:t>排污水为</w:t>
            </w:r>
            <w:r>
              <w:rPr>
                <w:rFonts w:hint="eastAsia"/>
                <w:snapToGrid w:val="0"/>
                <w:color w:val="000000" w:themeColor="text1"/>
                <w:kern w:val="0"/>
                <w:sz w:val="24"/>
                <w:highlight w:val="none"/>
                <w:lang w:val="en-US" w:eastAsia="zh-CN"/>
                <w14:textFill>
                  <w14:solidFill>
                    <w14:schemeClr w14:val="tx1"/>
                  </w14:solidFill>
                </w14:textFill>
              </w:rPr>
              <w:t>354.96</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/a，</w:t>
            </w:r>
            <w:r>
              <w:rPr>
                <w:rFonts w:hint="eastAsia"/>
                <w:snapToGrid w:val="0"/>
                <w:color w:val="000000" w:themeColor="text1"/>
                <w:kern w:val="0"/>
                <w:sz w:val="24"/>
                <w:highlight w:val="none"/>
                <w:lang w:val="en-US" w:eastAsia="zh-CN"/>
                <w14:textFill>
                  <w14:solidFill>
                    <w14:schemeClr w14:val="tx1"/>
                  </w14:solidFill>
                </w14:textFill>
              </w:rPr>
              <w:t>1.18</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/d（每天排水1次）。</w:t>
            </w:r>
          </w:p>
          <w:p w14:paraId="4E57FB5B">
            <w:pPr>
              <w:pStyle w:val="4"/>
              <w:keepNext w:val="0"/>
              <w:keepLines w:val="0"/>
              <w:pageBreakBefore w:val="0"/>
              <w:widowControl w:val="0"/>
              <w:numPr>
                <w:ilvl w:val="0"/>
                <w:numId w:val="0"/>
              </w:numPr>
              <w:kinsoku/>
              <w:wordWrap/>
              <w:overflowPunct/>
              <w:topLinePunct w:val="0"/>
              <w:bidi w:val="0"/>
              <w:spacing w:line="360" w:lineRule="auto"/>
              <w:ind w:leftChars="200"/>
              <w:jc w:val="both"/>
              <w:rPr>
                <w:rFonts w:hint="eastAsia"/>
                <w:color w:val="000000" w:themeColor="text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（8）净水器</w:t>
            </w:r>
            <w:r>
              <w:rPr>
                <w:rFonts w:hint="eastAsia"/>
                <w:color w:val="000000" w:themeColor="text1"/>
                <w:highlight w:val="none"/>
                <w:lang w:eastAsia="zh-CN"/>
                <w14:textFill>
                  <w14:solidFill>
                    <w14:schemeClr w14:val="tx1"/>
                  </w14:solidFill>
                </w14:textFill>
              </w:rPr>
              <w:t>用水</w:t>
            </w:r>
          </w:p>
          <w:p w14:paraId="34811FB1">
            <w:pPr>
              <w:pStyle w:val="4"/>
              <w:keepNext w:val="0"/>
              <w:keepLines w:val="0"/>
              <w:pageBreakBefore w:val="0"/>
              <w:widowControl w:val="0"/>
              <w:numPr>
                <w:ilvl w:val="0"/>
                <w:numId w:val="0"/>
              </w:numPr>
              <w:kinsoku/>
              <w:wordWrap/>
              <w:overflowPunct/>
              <w:topLinePunct w:val="0"/>
              <w:bidi w:val="0"/>
              <w:spacing w:line="360" w:lineRule="auto"/>
              <w:ind w:firstLine="480" w:firstLineChars="200"/>
              <w:jc w:val="both"/>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eastAsia"/>
                <w:bCs/>
                <w:color w:val="000000" w:themeColor="text1"/>
                <w:sz w:val="24"/>
                <w:szCs w:val="24"/>
                <w:highlight w:val="none"/>
                <w:lang w:eastAsia="zh-CN"/>
                <w14:textFill>
                  <w14:solidFill>
                    <w14:schemeClr w14:val="tx1"/>
                  </w14:solidFill>
                </w14:textFill>
              </w:rPr>
              <w:t>产品包装和锅炉用水时加入</w:t>
            </w:r>
            <w:r>
              <w:rPr>
                <w:rFonts w:hint="eastAsia" w:cs="Times New Roman"/>
                <w:bCs/>
                <w:color w:val="000000" w:themeColor="text1"/>
                <w:sz w:val="24"/>
                <w:szCs w:val="24"/>
                <w:highlight w:val="none"/>
                <w:lang w:val="en-US" w:eastAsia="zh-CN"/>
                <w14:textFill>
                  <w14:solidFill>
                    <w14:schemeClr w14:val="tx1"/>
                  </w14:solidFill>
                </w14:textFill>
              </w:rPr>
              <w:t>净化</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水，</w:t>
            </w:r>
            <w:r>
              <w:rPr>
                <w:rFonts w:hint="eastAsia"/>
                <w:bCs/>
                <w:color w:val="000000" w:themeColor="text1"/>
                <w:sz w:val="24"/>
                <w:szCs w:val="24"/>
                <w:highlight w:val="none"/>
                <w:lang w:eastAsia="zh-CN"/>
                <w14:textFill>
                  <w14:solidFill>
                    <w14:schemeClr w14:val="tx1"/>
                  </w14:solidFill>
                </w14:textFill>
              </w:rPr>
              <w:t>产品包装</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总使用</w:t>
            </w:r>
            <w:r>
              <w:rPr>
                <w:rFonts w:hint="eastAsia" w:cs="Times New Roman"/>
                <w:bCs/>
                <w:color w:val="000000" w:themeColor="text1"/>
                <w:sz w:val="24"/>
                <w:szCs w:val="24"/>
                <w:highlight w:val="none"/>
                <w:lang w:val="en-US" w:eastAsia="zh-CN"/>
                <w14:textFill>
                  <w14:solidFill>
                    <w14:schemeClr w14:val="tx1"/>
                  </w14:solidFill>
                </w14:textFill>
              </w:rPr>
              <w:t>净化</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水量为</w:t>
            </w:r>
            <w:r>
              <w:rPr>
                <w:rFonts w:hint="eastAsia" w:cs="Times New Roman"/>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（900</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s="Times New Roman"/>
                <w:color w:val="000000" w:themeColor="text1"/>
                <w:szCs w:val="21"/>
                <w:highlight w:val="none"/>
                <w:vertAlign w:val="baseli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bCs/>
                <w:color w:val="000000" w:themeColor="text1"/>
                <w:sz w:val="24"/>
                <w:szCs w:val="24"/>
                <w:highlight w:val="none"/>
                <w:lang w:eastAsia="zh-CN"/>
                <w14:textFill>
                  <w14:solidFill>
                    <w14:schemeClr w14:val="tx1"/>
                  </w14:solidFill>
                </w14:textFill>
              </w:rPr>
              <w:t>锅炉用水</w:t>
            </w:r>
            <w:r>
              <w:rPr>
                <w:rFonts w:hint="eastAsia"/>
                <w:snapToGrid w:val="0"/>
                <w:color w:val="000000" w:themeColor="text1"/>
                <w:kern w:val="0"/>
                <w:sz w:val="24"/>
                <w:highlight w:val="none"/>
                <w:lang w:val="en-US" w:eastAsia="zh-CN"/>
                <w14:textFill>
                  <w14:solidFill>
                    <w14:schemeClr w14:val="tx1"/>
                  </w14:solidFill>
                </w14:textFill>
              </w:rPr>
              <w:t>1.6</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w:t>
            </w:r>
            <w:r>
              <w:rPr>
                <w:rFonts w:hint="eastAsia"/>
                <w:snapToGrid w:val="0"/>
                <w:color w:val="000000" w:themeColor="text1"/>
                <w:kern w:val="0"/>
                <w:sz w:val="24"/>
                <w:highlight w:val="none"/>
                <w:lang w:val="en-US" w:eastAsia="zh-CN"/>
                <w14:textFill>
                  <w14:solidFill>
                    <w14:schemeClr w14:val="tx1"/>
                  </w14:solidFill>
                </w14:textFill>
              </w:rPr>
              <w:t>480</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/a）</w:t>
            </w:r>
            <w:r>
              <w:rPr>
                <w:rFonts w:hint="eastAsia"/>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净化</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水制备能力为60%，</w:t>
            </w:r>
            <w:r>
              <w:rPr>
                <w:rFonts w:hint="eastAsia"/>
                <w:snapToGrid w:val="0"/>
                <w:color w:val="000000" w:themeColor="text1"/>
                <w:kern w:val="0"/>
                <w:sz w:val="24"/>
                <w:highlight w:val="none"/>
                <w14:textFill>
                  <w14:solidFill>
                    <w14:schemeClr w14:val="tx1"/>
                  </w14:solidFill>
                </w14:textFill>
              </w:rPr>
              <w:t>则制</w:t>
            </w:r>
            <w:r>
              <w:rPr>
                <w:rFonts w:hint="eastAsia" w:cs="Times New Roman"/>
                <w:bCs/>
                <w:color w:val="000000" w:themeColor="text1"/>
                <w:sz w:val="24"/>
                <w:szCs w:val="24"/>
                <w:highlight w:val="none"/>
                <w:lang w:val="en-US" w:eastAsia="zh-CN"/>
                <w14:textFill>
                  <w14:solidFill>
                    <w14:schemeClr w14:val="tx1"/>
                  </w14:solidFill>
                </w14:textFill>
              </w:rPr>
              <w:t>净化</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水</w:t>
            </w:r>
            <w:r>
              <w:rPr>
                <w:rFonts w:hint="eastAsia"/>
                <w:snapToGrid w:val="0"/>
                <w:color w:val="000000" w:themeColor="text1"/>
                <w:kern w:val="0"/>
                <w:sz w:val="24"/>
                <w:highlight w:val="none"/>
                <w14:textFill>
                  <w14:solidFill>
                    <w14:schemeClr w14:val="tx1"/>
                  </w14:solidFill>
                </w14:textFill>
              </w:rPr>
              <w:t>所需自来水量为</w:t>
            </w:r>
            <w:r>
              <w:rPr>
                <w:rFonts w:hint="eastAsia" w:cs="Times New Roman"/>
                <w:bCs/>
                <w:color w:val="000000" w:themeColor="text1"/>
                <w:sz w:val="24"/>
                <w:szCs w:val="24"/>
                <w:highlight w:val="none"/>
                <w:lang w:val="en-US" w:eastAsia="zh-CN"/>
                <w14:textFill>
                  <w14:solidFill>
                    <w14:schemeClr w14:val="tx1"/>
                  </w14:solidFill>
                </w14:textFill>
              </w:rPr>
              <w:t>7.67</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（2301</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s="Times New Roman"/>
                <w:color w:val="000000" w:themeColor="text1"/>
                <w:szCs w:val="21"/>
                <w:highlight w:val="none"/>
                <w:vertAlign w:val="baseli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则产生的浓水为</w:t>
            </w:r>
            <w:r>
              <w:rPr>
                <w:rFonts w:hint="eastAsia" w:cs="Times New Roman"/>
                <w:bCs/>
                <w:color w:val="000000" w:themeColor="text1"/>
                <w:sz w:val="24"/>
                <w:szCs w:val="24"/>
                <w:highlight w:val="none"/>
                <w:lang w:val="en-US" w:eastAsia="zh-CN"/>
                <w14:textFill>
                  <w14:solidFill>
                    <w14:schemeClr w14:val="tx1"/>
                  </w14:solidFill>
                </w14:textFill>
              </w:rPr>
              <w:t>3.07</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（921</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cs="Times New Roman"/>
                <w:color w:val="000000" w:themeColor="text1"/>
                <w:szCs w:val="21"/>
                <w:highlight w:val="none"/>
                <w:vertAlign w:val="baseli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p>
          <w:p w14:paraId="42E36ADF">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color w:val="000000" w:themeColor="text1"/>
                <w:highlight w:val="none"/>
                <w14:textFill>
                  <w14:solidFill>
                    <w14:schemeClr w14:val="tx1"/>
                  </w14:solidFill>
                </w14:textFill>
              </w:rPr>
            </w:pPr>
            <w:r>
              <w:rPr>
                <w:rFonts w:hint="eastAsia"/>
                <w:snapToGrid w:val="0"/>
                <w:color w:val="000000" w:themeColor="text1"/>
                <w:kern w:val="0"/>
                <w:sz w:val="24"/>
                <w:highlight w:val="none"/>
                <w:lang w:eastAsia="zh-CN"/>
                <w14:textFill>
                  <w14:solidFill>
                    <w14:schemeClr w14:val="tx1"/>
                  </w14:solidFill>
                </w14:textFill>
              </w:rPr>
              <w:t>本项目</w:t>
            </w:r>
            <w:r>
              <w:rPr>
                <w:rFonts w:hint="eastAsia"/>
                <w:snapToGrid w:val="0"/>
                <w:color w:val="000000" w:themeColor="text1"/>
                <w:kern w:val="0"/>
                <w:sz w:val="24"/>
                <w:highlight w:val="none"/>
                <w14:textFill>
                  <w14:solidFill>
                    <w14:schemeClr w14:val="tx1"/>
                  </w14:solidFill>
                </w14:textFill>
              </w:rPr>
              <w:t>软水制备采用离子交换工艺，需定期使用新鲜水对离子交换树脂反冲洗，使离子交换树脂循环利用，反洗周期约为1次/周，单次冲洗量约0.4m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，则树脂反冲洗水用量为</w:t>
            </w:r>
            <w:r>
              <w:rPr>
                <w:rFonts w:hint="eastAsia"/>
                <w:snapToGrid w:val="0"/>
                <w:color w:val="000000" w:themeColor="text1"/>
                <w:kern w:val="0"/>
                <w:sz w:val="24"/>
                <w:highlight w:val="none"/>
                <w:lang w:val="en-US" w:eastAsia="zh-CN"/>
                <w14:textFill>
                  <w14:solidFill>
                    <w14:schemeClr w14:val="tx1"/>
                  </w14:solidFill>
                </w14:textFill>
              </w:rPr>
              <w:t>0.08</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w:t>
            </w:r>
            <w:r>
              <w:rPr>
                <w:rFonts w:hint="eastAsia"/>
                <w:snapToGrid w:val="0"/>
                <w:color w:val="000000" w:themeColor="text1"/>
                <w:kern w:val="0"/>
                <w:sz w:val="24"/>
                <w:highlight w:val="none"/>
                <w:lang w:val="en-US" w:eastAsia="zh-CN"/>
                <w14:textFill>
                  <w14:solidFill>
                    <w14:schemeClr w14:val="tx1"/>
                  </w14:solidFill>
                </w14:textFill>
              </w:rPr>
              <w:t>24</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/a）。考虑10%的损耗，则反冲洗废水排放量为</w:t>
            </w:r>
            <w:r>
              <w:rPr>
                <w:rFonts w:hint="eastAsia"/>
                <w:snapToGrid w:val="0"/>
                <w:color w:val="000000" w:themeColor="text1"/>
                <w:kern w:val="0"/>
                <w:sz w:val="24"/>
                <w:highlight w:val="none"/>
                <w:lang w:val="en-US" w:eastAsia="zh-CN"/>
                <w14:textFill>
                  <w14:solidFill>
                    <w14:schemeClr w14:val="tx1"/>
                  </w14:solidFill>
                </w14:textFill>
              </w:rPr>
              <w:t>0.07</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w:t>
            </w:r>
            <w:r>
              <w:rPr>
                <w:rFonts w:hint="eastAsia"/>
                <w:snapToGrid w:val="0"/>
                <w:color w:val="000000" w:themeColor="text1"/>
                <w:kern w:val="0"/>
                <w:sz w:val="24"/>
                <w:highlight w:val="none"/>
                <w:lang w:val="en-US" w:eastAsia="zh-CN"/>
                <w14:textFill>
                  <w14:solidFill>
                    <w14:schemeClr w14:val="tx1"/>
                  </w14:solidFill>
                </w14:textFill>
              </w:rPr>
              <w:t>21.6</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/a）。</w:t>
            </w:r>
          </w:p>
          <w:p w14:paraId="3402E476">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空压机废水</w:t>
            </w:r>
          </w:p>
          <w:p w14:paraId="05F19C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本项目采用无油</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空压机</w:t>
            </w:r>
            <w:r>
              <w:rPr>
                <w:rFonts w:hint="eastAsia"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使用过程中需要每日排水，</w:t>
            </w:r>
            <w:r>
              <w:rPr>
                <w:rFonts w:hint="eastAsia"/>
                <w:color w:val="000000" w:themeColor="text1"/>
                <w:sz w:val="24"/>
                <w:highlight w:val="none"/>
                <w:lang w:val="en-US" w:eastAsia="zh-CN"/>
                <w14:textFill>
                  <w14:solidFill>
                    <w14:schemeClr w14:val="tx1"/>
                  </w14:solidFill>
                </w14:textFill>
              </w:rPr>
              <w:t>冷凝水则排入废水处理站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，空压机废水每日排水量约为0.01m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snapToGrid w:val="0"/>
                <w:color w:val="000000" w:themeColor="text1"/>
                <w:kern w:val="0"/>
                <w:sz w:val="24"/>
                <w:highlight w:val="none"/>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p>
          <w:p w14:paraId="339B60F3">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地面</w:t>
            </w:r>
            <w:r>
              <w:rPr>
                <w:color w:val="000000" w:themeColor="text1"/>
                <w:highlight w:val="none"/>
                <w14:textFill>
                  <w14:solidFill>
                    <w14:schemeClr w14:val="tx1"/>
                  </w14:solidFill>
                </w14:textFill>
              </w:rPr>
              <w:t>清洁</w:t>
            </w:r>
            <w:r>
              <w:rPr>
                <w:rFonts w:hint="eastAsia"/>
                <w:color w:val="000000" w:themeColor="text1"/>
                <w:highlight w:val="none"/>
                <w14:textFill>
                  <w14:solidFill>
                    <w14:schemeClr w14:val="tx1"/>
                  </w14:solidFill>
                </w14:textFill>
              </w:rPr>
              <w:t>用水</w:t>
            </w:r>
          </w:p>
          <w:p w14:paraId="3BA639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生产</w:t>
            </w:r>
            <w:r>
              <w:rPr>
                <w:color w:val="000000" w:themeColor="text1"/>
                <w:highlight w:val="none"/>
                <w14:textFill>
                  <w14:solidFill>
                    <w14:schemeClr w14:val="tx1"/>
                  </w14:solidFill>
                </w14:textFill>
              </w:rPr>
              <w:t>车间地面每日进行清洁，用水标准为2L/m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，清洁</w:t>
            </w:r>
            <w:r>
              <w:rPr>
                <w:rFonts w:hint="eastAsia"/>
                <w:color w:val="000000" w:themeColor="text1"/>
                <w:highlight w:val="none"/>
                <w:lang w:eastAsia="zh-CN"/>
                <w14:textFill>
                  <w14:solidFill>
                    <w14:schemeClr w14:val="tx1"/>
                  </w14:solidFill>
                </w14:textFill>
              </w:rPr>
              <w:t>车间和办公室</w:t>
            </w:r>
            <w:r>
              <w:rPr>
                <w:color w:val="000000" w:themeColor="text1"/>
                <w:highlight w:val="none"/>
                <w14:textFill>
                  <w14:solidFill>
                    <w14:schemeClr w14:val="tx1"/>
                  </w14:solidFill>
                </w14:textFill>
              </w:rPr>
              <w:t>面积约</w:t>
            </w:r>
            <w:r>
              <w:rPr>
                <w:rFonts w:hint="eastAsia"/>
                <w:color w:val="000000" w:themeColor="text1"/>
                <w:highlight w:val="none"/>
                <w:lang w:val="en-US" w:eastAsia="zh-CN"/>
                <w14:textFill>
                  <w14:solidFill>
                    <w14:schemeClr w14:val="tx1"/>
                  </w14:solidFill>
                </w14:textFill>
              </w:rPr>
              <w:t>8000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则</w:t>
            </w:r>
            <w:r>
              <w:rPr>
                <w:rFonts w:hint="eastAsia"/>
                <w:color w:val="000000" w:themeColor="text1"/>
                <w:highlight w:val="none"/>
                <w14:textFill>
                  <w14:solidFill>
                    <w14:schemeClr w14:val="tx1"/>
                  </w14:solidFill>
                </w14:textFill>
              </w:rPr>
              <w:t>地面</w:t>
            </w:r>
            <w:r>
              <w:rPr>
                <w:color w:val="000000" w:themeColor="text1"/>
                <w:highlight w:val="none"/>
                <w14:textFill>
                  <w14:solidFill>
                    <w14:schemeClr w14:val="tx1"/>
                  </w14:solidFill>
                </w14:textFill>
              </w:rPr>
              <w:t>清洁</w:t>
            </w:r>
            <w:r>
              <w:rPr>
                <w:rFonts w:hint="eastAsia" w:eastAsia="宋体"/>
                <w:color w:val="000000" w:themeColor="text1"/>
                <w:highlight w:val="none"/>
                <w14:textFill>
                  <w14:solidFill>
                    <w14:schemeClr w14:val="tx1"/>
                  </w14:solidFill>
                </w14:textFill>
              </w:rPr>
              <w:t>用水约</w:t>
            </w:r>
            <w:r>
              <w:rPr>
                <w:rFonts w:hint="eastAsia"/>
                <w:color w:val="000000" w:themeColor="text1"/>
                <w:highlight w:val="none"/>
                <w:lang w:val="en-US" w:eastAsia="zh-CN"/>
                <w14:textFill>
                  <w14:solidFill>
                    <w14:schemeClr w14:val="tx1"/>
                  </w14:solidFill>
                </w14:textFill>
              </w:rPr>
              <w:t>16</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w:t>
            </w:r>
            <w:r>
              <w:rPr>
                <w:rFonts w:hint="eastAsia"/>
                <w:snapToGrid w:val="0"/>
                <w:color w:val="000000" w:themeColor="text1"/>
                <w:kern w:val="0"/>
                <w:sz w:val="24"/>
                <w:highlight w:val="none"/>
                <w:lang w:val="en-US" w:eastAsia="zh-CN"/>
                <w14:textFill>
                  <w14:solidFill>
                    <w14:schemeClr w14:val="tx1"/>
                  </w14:solidFill>
                </w14:textFill>
              </w:rPr>
              <w:t>4800</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/a）</w:t>
            </w:r>
            <w:r>
              <w:rPr>
                <w:rFonts w:hint="eastAsia" w:eastAsia="宋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排放系数取0.9，</w:t>
            </w:r>
            <w:r>
              <w:rPr>
                <w:rFonts w:hint="eastAsia" w:cs="Times New Roman"/>
                <w:color w:val="000000" w:themeColor="text1"/>
                <w:szCs w:val="21"/>
                <w:highlight w:val="none"/>
                <w:lang w:eastAsia="zh-CN"/>
                <w14:textFill>
                  <w14:solidFill>
                    <w14:schemeClr w14:val="tx1"/>
                  </w14:solidFill>
                </w14:textFill>
              </w:rPr>
              <w:t>产生废水约</w:t>
            </w:r>
            <w:r>
              <w:rPr>
                <w:rFonts w:hint="eastAsia"/>
                <w:snapToGrid w:val="0"/>
                <w:color w:val="000000" w:themeColor="text1"/>
                <w:kern w:val="0"/>
                <w:sz w:val="24"/>
                <w:highlight w:val="none"/>
                <w:lang w:val="en-US" w:eastAsia="zh-CN"/>
                <w14:textFill>
                  <w14:solidFill>
                    <w14:schemeClr w14:val="tx1"/>
                  </w14:solidFill>
                </w14:textFill>
              </w:rPr>
              <w:t>14.4</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w:t>
            </w:r>
            <w:r>
              <w:rPr>
                <w:rFonts w:hint="eastAsia"/>
                <w:snapToGrid w:val="0"/>
                <w:color w:val="000000" w:themeColor="text1"/>
                <w:kern w:val="0"/>
                <w:sz w:val="24"/>
                <w:highlight w:val="none"/>
                <w:lang w:val="en-US" w:eastAsia="zh-CN"/>
                <w14:textFill>
                  <w14:solidFill>
                    <w14:schemeClr w14:val="tx1"/>
                  </w14:solidFill>
                </w14:textFill>
              </w:rPr>
              <w:t>4320</w:t>
            </w:r>
            <w:r>
              <w:rPr>
                <w:rFonts w:hint="eastAsia"/>
                <w:snapToGrid w:val="0"/>
                <w:color w:val="000000" w:themeColor="text1"/>
                <w:kern w:val="0"/>
                <w:sz w:val="24"/>
                <w:highlight w:val="none"/>
                <w14:textFill>
                  <w14:solidFill>
                    <w14:schemeClr w14:val="tx1"/>
                  </w14:solidFill>
                </w14:textFill>
              </w:rPr>
              <w:t>m</w:t>
            </w:r>
            <w:r>
              <w:rPr>
                <w:rFonts w:hint="eastAsia"/>
                <w:snapToGrid w:val="0"/>
                <w:color w:val="000000" w:themeColor="text1"/>
                <w:kern w:val="0"/>
                <w:sz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/a）</w:t>
            </w:r>
            <w:r>
              <w:rPr>
                <w:rFonts w:hint="eastAsia" w:cs="Times New Roman"/>
                <w:color w:val="000000" w:themeColor="text1"/>
                <w:szCs w:val="2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排入厂区污水处理站处理</w:t>
            </w:r>
            <w:r>
              <w:rPr>
                <w:rFonts w:hint="eastAsia"/>
                <w:color w:val="000000" w:themeColor="text1"/>
                <w:highlight w:val="none"/>
                <w:lang w:eastAsia="zh-CN"/>
                <w14:textFill>
                  <w14:solidFill>
                    <w14:schemeClr w14:val="tx1"/>
                  </w14:solidFill>
                </w14:textFill>
              </w:rPr>
              <w:t>。</w:t>
            </w:r>
          </w:p>
          <w:p w14:paraId="4A62FF16">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研发</w:t>
            </w:r>
            <w:r>
              <w:rPr>
                <w:rFonts w:hint="eastAsia"/>
                <w:color w:val="000000" w:themeColor="text1"/>
                <w:highlight w:val="none"/>
                <w14:textFill>
                  <w14:solidFill>
                    <w14:schemeClr w14:val="tx1"/>
                  </w14:solidFill>
                </w14:textFill>
              </w:rPr>
              <w:t>用水</w:t>
            </w:r>
          </w:p>
          <w:p w14:paraId="7A3349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eastAsia="宋体"/>
                <w:color w:val="000000" w:themeColor="text1"/>
                <w:highlight w:val="none"/>
                <w14:textFill>
                  <w14:solidFill>
                    <w14:schemeClr w14:val="tx1"/>
                  </w14:solidFill>
                </w14:textFill>
              </w:rPr>
              <w:t>根据建设单位提供的资料，</w:t>
            </w:r>
            <w:r>
              <w:rPr>
                <w:rFonts w:hint="default" w:ascii="Times New Roman" w:hAnsi="Times New Roman" w:eastAsia="宋体" w:cs="Times New Roman"/>
                <w:color w:val="000000" w:themeColor="text1"/>
                <w:sz w:val="24"/>
                <w:szCs w:val="24"/>
                <w:highlight w:val="none"/>
                <w14:textFill>
                  <w14:solidFill>
                    <w14:schemeClr w14:val="tx1"/>
                  </w14:solidFill>
                </w14:textFill>
              </w:rPr>
              <w:t>研发室</w:t>
            </w:r>
            <w:r>
              <w:rPr>
                <w:rFonts w:hint="eastAsia"/>
                <w:color w:val="000000" w:themeColor="text1"/>
                <w:highlight w:val="none"/>
                <w:lang w:eastAsia="zh-CN"/>
                <w14:textFill>
                  <w14:solidFill>
                    <w14:schemeClr w14:val="tx1"/>
                  </w14:solidFill>
                </w14:textFill>
              </w:rPr>
              <w:t>用于研发涨发新产品或通过改变生产条件提高产品的产量、质量</w:t>
            </w:r>
            <w:r>
              <w:rPr>
                <w:rFonts w:hint="eastAsia" w:cs="Times New Roman"/>
                <w:color w:val="000000" w:themeColor="text1"/>
                <w:sz w:val="24"/>
                <w:szCs w:val="24"/>
                <w:highlight w:val="none"/>
                <w:lang w:eastAsia="zh-CN"/>
                <w14:textFill>
                  <w14:solidFill>
                    <w14:schemeClr w14:val="tx1"/>
                  </w14:solidFill>
                </w14:textFill>
              </w:rPr>
              <w:t>，研发工艺与车间生产工艺流程一致，</w:t>
            </w:r>
            <w:r>
              <w:rPr>
                <w:rFonts w:hint="default" w:ascii="Times New Roman" w:hAnsi="Times New Roman" w:eastAsia="宋体" w:cs="Times New Roman"/>
                <w:color w:val="000000" w:themeColor="text1"/>
                <w:sz w:val="24"/>
                <w:szCs w:val="24"/>
                <w:highlight w:val="none"/>
                <w14:textFill>
                  <w14:solidFill>
                    <w14:schemeClr w14:val="tx1"/>
                  </w14:solidFill>
                </w14:textFill>
              </w:rPr>
              <w:t>使用频次约为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highlight w:val="none"/>
                <w14:textFill>
                  <w14:solidFill>
                    <w14:schemeClr w14:val="tx1"/>
                  </w14:solidFill>
                </w14:textFill>
              </w:rPr>
              <w:t>次/年，每次约1天，用水量约</w:t>
            </w:r>
            <w:r>
              <w:rPr>
                <w:rFonts w:hint="eastAsia" w:cs="Times New Roman"/>
                <w:color w:val="000000" w:themeColor="text1"/>
                <w:sz w:val="24"/>
                <w:szCs w:val="24"/>
                <w:highlight w:val="none"/>
                <w:lang w:val="en-US" w:eastAsia="zh-CN"/>
                <w14:textFill>
                  <w14:solidFill>
                    <w14:schemeClr w14:val="tx1"/>
                  </w14:solidFill>
                </w14:textFill>
              </w:rPr>
              <w:t>0.2</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w:t>
            </w:r>
            <w:r>
              <w:rPr>
                <w:rFonts w:hint="eastAsia"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60</w:t>
            </w:r>
            <w:r>
              <w:rPr>
                <w:rFonts w:hint="default" w:ascii="Times New Roman" w:hAnsi="Times New Roman" w:eastAsia="宋体" w:cs="Times New Roman"/>
                <w:bCs/>
                <w:color w:val="000000" w:themeColor="text1"/>
                <w:sz w:val="24"/>
                <w:szCs w:val="24"/>
                <w:highlight w:val="none"/>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排水系数以0.85计，故计算得研发废水约为</w:t>
            </w:r>
            <w:r>
              <w:rPr>
                <w:rFonts w:hint="eastAsia" w:cs="Times New Roman"/>
                <w:bCs/>
                <w:color w:val="000000" w:themeColor="text1"/>
                <w:sz w:val="24"/>
                <w:szCs w:val="24"/>
                <w:highlight w:val="none"/>
                <w:lang w:val="en-US" w:eastAsia="zh-CN"/>
                <w14:textFill>
                  <w14:solidFill>
                    <w14:schemeClr w14:val="tx1"/>
                  </w14:solidFill>
                </w14:textFill>
              </w:rPr>
              <w:t>0.17</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/d</w:t>
            </w:r>
            <w:r>
              <w:rPr>
                <w:rFonts w:hint="eastAsia"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51</w:t>
            </w:r>
            <w:r>
              <w:rPr>
                <w:rFonts w:hint="default" w:ascii="Times New Roman" w:hAnsi="Times New Roman" w:eastAsia="宋体" w:cs="Times New Roman"/>
                <w:bCs/>
                <w:color w:val="000000" w:themeColor="text1"/>
                <w:sz w:val="24"/>
                <w:szCs w:val="24"/>
                <w:highlight w:val="none"/>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4CB50894">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工具清洗用水</w:t>
            </w:r>
            <w:r>
              <w:rPr>
                <w:rFonts w:hint="eastAsia" w:cs="Times New Roman"/>
                <w:bCs/>
                <w:color w:val="000000" w:themeColor="text1"/>
                <w:sz w:val="24"/>
                <w:szCs w:val="24"/>
                <w:highlight w:val="none"/>
                <w:lang w:val="en-US" w:eastAsia="zh-CN"/>
                <w14:textFill>
                  <w14:solidFill>
                    <w14:schemeClr w14:val="tx1"/>
                  </w14:solidFill>
                </w14:textFill>
              </w:rPr>
              <w:t xml:space="preserve"> </w:t>
            </w:r>
          </w:p>
          <w:p w14:paraId="2F8745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7#车间</w:t>
            </w:r>
            <w:r>
              <w:rPr>
                <w:rFonts w:hint="eastAsia"/>
                <w:bCs/>
                <w:color w:val="000000" w:themeColor="text1"/>
                <w:sz w:val="24"/>
                <w:szCs w:val="24"/>
                <w:highlight w:val="none"/>
                <w:lang w:eastAsia="zh-CN"/>
                <w14:textFill>
                  <w14:solidFill>
                    <w14:schemeClr w14:val="tx1"/>
                  </w14:solidFill>
                </w14:textFill>
              </w:rPr>
              <w:t>设置有</w:t>
            </w:r>
            <w:r>
              <w:rPr>
                <w:rFonts w:hint="eastAsia"/>
                <w:bCs/>
                <w:color w:val="000000" w:themeColor="text1"/>
                <w:sz w:val="24"/>
                <w:szCs w:val="24"/>
                <w:highlight w:val="none"/>
                <w:lang w:val="en-US" w:eastAsia="zh-CN"/>
                <w14:textFill>
                  <w14:solidFill>
                    <w14:schemeClr w14:val="tx1"/>
                  </w14:solidFill>
                </w14:textFill>
              </w:rPr>
              <w:t>工具清洗间，用于清洗修理食材后的工具，每日清洗用水量约0.5</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15</w:t>
            </w:r>
            <w:r>
              <w:rPr>
                <w:rFonts w:hint="eastAsia" w:cs="Times New Roman"/>
                <w:bCs/>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highlight w:val="none"/>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cs="Times New Roman"/>
                <w:bCs/>
                <w:color w:val="000000" w:themeColor="text1"/>
                <w:sz w:val="24"/>
                <w:szCs w:val="24"/>
                <w:highlight w:val="none"/>
                <w:lang w:eastAsia="zh-CN"/>
                <w14:textFill>
                  <w14:solidFill>
                    <w14:schemeClr w14:val="tx1"/>
                  </w14:solidFill>
                </w14:textFill>
              </w:rPr>
              <w:t>）</w:t>
            </w:r>
            <w:r>
              <w:rPr>
                <w:rFonts w:hint="eastAsia"/>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排水量</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按9</w:t>
            </w:r>
            <w:r>
              <w:rPr>
                <w:rFonts w:ascii="Times New Roman" w:hAnsi="Times New Roman" w:eastAsia="宋体" w:cs="Times New Roman"/>
                <w:bCs/>
                <w:color w:val="000000" w:themeColor="text1"/>
                <w:sz w:val="24"/>
                <w:szCs w:val="24"/>
                <w:highlight w:val="none"/>
                <w14:textFill>
                  <w14:solidFill>
                    <w14:schemeClr w14:val="tx1"/>
                  </w14:solidFill>
                </w14:textFill>
              </w:rPr>
              <w:t>0</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，排水量为0.</w:t>
            </w:r>
            <w:r>
              <w:rPr>
                <w:rFonts w:hint="eastAsia" w:cs="Times New Roman"/>
                <w:bCs/>
                <w:color w:val="000000" w:themeColor="text1"/>
                <w:sz w:val="24"/>
                <w:szCs w:val="24"/>
                <w:highlight w:val="none"/>
                <w:lang w:val="en-US" w:eastAsia="zh-CN"/>
                <w14:textFill>
                  <w14:solidFill>
                    <w14:schemeClr w14:val="tx1"/>
                  </w14:solidFill>
                </w14:textFill>
              </w:rPr>
              <w:t>45</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135</w:t>
            </w:r>
            <w:r>
              <w:rPr>
                <w:rFonts w:hint="default" w:ascii="Times New Roman" w:hAnsi="Times New Roman" w:eastAsia="宋体" w:cs="Times New Roman"/>
                <w:bCs/>
                <w:color w:val="000000" w:themeColor="text1"/>
                <w:sz w:val="24"/>
                <w:szCs w:val="24"/>
                <w:highlight w:val="none"/>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p>
          <w:p w14:paraId="4361DBF4">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eastAsia="zh-CN"/>
                <w14:textFill>
                  <w14:solidFill>
                    <w14:schemeClr w14:val="tx1"/>
                  </w14:solidFill>
                </w14:textFill>
              </w:rPr>
              <w:t>设备</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清洗水 </w:t>
            </w:r>
          </w:p>
          <w:p w14:paraId="38D8B260">
            <w:pPr>
              <w:spacing w:line="360" w:lineRule="auto"/>
              <w:ind w:firstLine="480" w:firstLineChars="200"/>
              <w:outlineLvl w:val="1"/>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每天使用解冻</w:t>
            </w:r>
            <w:r>
              <w:rPr>
                <w:rFonts w:hint="eastAsia" w:cs="Times New Roman"/>
                <w:bCs/>
                <w:color w:val="000000" w:themeColor="text1"/>
                <w:sz w:val="24"/>
                <w:szCs w:val="24"/>
                <w:highlight w:val="none"/>
                <w:lang w:val="en-US" w:eastAsia="zh-CN"/>
                <w14:textFill>
                  <w14:solidFill>
                    <w14:schemeClr w14:val="tx1"/>
                  </w14:solidFill>
                </w14:textFill>
              </w:rPr>
              <w:t>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eastAsia="zh-CN"/>
                <w14:textFill>
                  <w14:solidFill>
                    <w14:schemeClr w14:val="tx1"/>
                  </w14:solidFill>
                </w14:textFill>
              </w:rPr>
              <w:t>冷却池、涨发桶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后使用洗洁精及自来水清洗，每次换水时，使用洗洁精及自来水清洗。按</w:t>
            </w:r>
            <w:r>
              <w:rPr>
                <w:rFonts w:hint="eastAsia" w:cs="Times New Roman"/>
                <w:bCs/>
                <w:color w:val="000000" w:themeColor="text1"/>
                <w:sz w:val="24"/>
                <w:szCs w:val="24"/>
                <w:highlight w:val="none"/>
                <w:lang w:val="en-US" w:eastAsia="zh-CN"/>
                <w14:textFill>
                  <w14:solidFill>
                    <w14:schemeClr w14:val="tx1"/>
                  </w14:solidFill>
                </w14:textFill>
              </w:rPr>
              <w:t>50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L/个计，</w:t>
            </w:r>
            <w:r>
              <w:rPr>
                <w:rFonts w:hint="eastAsia" w:cs="Times New Roman"/>
                <w:bCs/>
                <w:color w:val="000000" w:themeColor="text1"/>
                <w:sz w:val="24"/>
                <w:szCs w:val="24"/>
                <w:highlight w:val="none"/>
                <w:lang w:val="en-US" w:eastAsia="zh-CN"/>
                <w14:textFill>
                  <w14:solidFill>
                    <w14:schemeClr w14:val="tx1"/>
                  </w14:solidFill>
                </w14:textFill>
              </w:rPr>
              <w:t>胶桶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共</w:t>
            </w:r>
            <w:r>
              <w:rPr>
                <w:rFonts w:hint="eastAsia" w:cs="Times New Roman"/>
                <w:bCs/>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0个、煮锅共</w:t>
            </w:r>
            <w:r>
              <w:rPr>
                <w:rFonts w:hint="eastAsia" w:cs="Times New Roman"/>
                <w:bCs/>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个、</w:t>
            </w:r>
            <w:r>
              <w:rPr>
                <w:rFonts w:hint="eastAsia" w:cs="Times New Roman"/>
                <w:bCs/>
                <w:color w:val="000000" w:themeColor="text1"/>
                <w:sz w:val="24"/>
                <w:szCs w:val="24"/>
                <w:highlight w:val="none"/>
                <w:lang w:eastAsia="zh-CN"/>
                <w14:textFill>
                  <w14:solidFill>
                    <w14:schemeClr w14:val="tx1"/>
                  </w14:solidFill>
                </w14:textFill>
              </w:rPr>
              <w:t>涨发桶</w:t>
            </w:r>
            <w:r>
              <w:rPr>
                <w:rFonts w:hint="eastAsia" w:cs="Times New Roman"/>
                <w:bCs/>
                <w:color w:val="000000" w:themeColor="text1"/>
                <w:sz w:val="24"/>
                <w:szCs w:val="24"/>
                <w:highlight w:val="none"/>
                <w:lang w:val="en-US" w:eastAsia="zh-CN"/>
                <w14:textFill>
                  <w14:solidFill>
                    <w14:schemeClr w14:val="tx1"/>
                  </w14:solidFill>
                </w14:textFill>
              </w:rPr>
              <w:t>100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个、</w:t>
            </w:r>
            <w:r>
              <w:rPr>
                <w:rFonts w:hint="eastAsia" w:cs="Times New Roman"/>
                <w:bCs/>
                <w:color w:val="000000" w:themeColor="text1"/>
                <w:sz w:val="24"/>
                <w:szCs w:val="24"/>
                <w:highlight w:val="none"/>
                <w:lang w:eastAsia="zh-CN"/>
                <w14:textFill>
                  <w14:solidFill>
                    <w14:schemeClr w14:val="tx1"/>
                  </w14:solidFill>
                </w14:textFill>
              </w:rPr>
              <w:t>冷却池</w:t>
            </w:r>
            <w:r>
              <w:rPr>
                <w:rFonts w:hint="eastAsia" w:cs="Times New Roman"/>
                <w:bCs/>
                <w:color w:val="000000" w:themeColor="text1"/>
                <w:sz w:val="24"/>
                <w:szCs w:val="24"/>
                <w:highlight w:val="none"/>
                <w:lang w:val="en-US" w:eastAsia="zh-CN"/>
                <w14:textFill>
                  <w14:solidFill>
                    <w14:schemeClr w14:val="tx1"/>
                  </w14:solidFill>
                </w14:textFill>
              </w:rPr>
              <w:t>6个</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，则用水量约</w:t>
            </w:r>
            <w:r>
              <w:rPr>
                <w:rFonts w:hint="eastAsia" w:cs="Times New Roman"/>
                <w:bCs/>
                <w:color w:val="000000" w:themeColor="text1"/>
                <w:sz w:val="24"/>
                <w:szCs w:val="24"/>
                <w:highlight w:val="none"/>
                <w:lang w:val="en-US" w:eastAsia="zh-CN"/>
                <w14:textFill>
                  <w14:solidFill>
                    <w14:schemeClr w14:val="tx1"/>
                  </w14:solidFill>
                </w14:textFill>
              </w:rPr>
              <w:t>10.8</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3240</w:t>
            </w:r>
            <w:r>
              <w:rPr>
                <w:rFonts w:hint="default" w:ascii="Times New Roman" w:hAnsi="Times New Roman" w:eastAsia="宋体" w:cs="Times New Roman"/>
                <w:bCs/>
                <w:color w:val="000000" w:themeColor="text1"/>
                <w:sz w:val="24"/>
                <w:szCs w:val="24"/>
                <w:highlight w:val="none"/>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排水量</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按9</w:t>
            </w:r>
            <w:r>
              <w:rPr>
                <w:rFonts w:ascii="Times New Roman" w:hAnsi="Times New Roman" w:eastAsia="宋体" w:cs="Times New Roman"/>
                <w:bCs/>
                <w:color w:val="000000" w:themeColor="text1"/>
                <w:sz w:val="24"/>
                <w:szCs w:val="24"/>
                <w:highlight w:val="none"/>
                <w14:textFill>
                  <w14:solidFill>
                    <w14:schemeClr w14:val="tx1"/>
                  </w14:solidFill>
                </w14:textFill>
              </w:rPr>
              <w:t>0</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，排水量约</w:t>
            </w:r>
            <w:r>
              <w:rPr>
                <w:rFonts w:hint="eastAsia" w:cs="Times New Roman"/>
                <w:bCs/>
                <w:color w:val="000000" w:themeColor="text1"/>
                <w:sz w:val="24"/>
                <w:szCs w:val="24"/>
                <w:highlight w:val="none"/>
                <w:lang w:val="en-US" w:eastAsia="zh-CN"/>
                <w14:textFill>
                  <w14:solidFill>
                    <w14:schemeClr w14:val="tx1"/>
                  </w14:solidFill>
                </w14:textFill>
              </w:rPr>
              <w:t>9.72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m³/d</w:t>
            </w:r>
            <w:r>
              <w:rPr>
                <w:rFonts w:hint="eastAsia"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2916</w:t>
            </w:r>
            <w:r>
              <w:rPr>
                <w:rFonts w:hint="default" w:ascii="Times New Roman" w:hAnsi="Times New Roman" w:eastAsia="宋体" w:cs="Times New Roman"/>
                <w:bCs/>
                <w:color w:val="000000" w:themeColor="text1"/>
                <w:sz w:val="24"/>
                <w:szCs w:val="24"/>
                <w:highlight w:val="none"/>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14:paraId="2D901BC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项目给、排水情况见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下表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8CF051D">
            <w:pPr>
              <w:adjustRightInd w:val="0"/>
              <w:snapToGrid w:val="0"/>
              <w:spacing w:line="240" w:lineRule="auto"/>
              <w:jc w:val="center"/>
              <w:rPr>
                <w:rFonts w:hint="default"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eastAsia"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4"/>
                <w:szCs w:val="24"/>
                <w:highlight w:val="none"/>
                <w:lang w:eastAsia="zh-CN"/>
                <w14:textFill>
                  <w14:solidFill>
                    <w14:schemeClr w14:val="tx1"/>
                  </w14:solidFill>
                </w14:textFill>
              </w:rPr>
              <w:t>扩建项目</w:t>
            </w:r>
            <w:r>
              <w:rPr>
                <w:rFonts w:hint="default" w:ascii="Times New Roman" w:hAnsi="Times New Roman" w:eastAsia="宋体" w:cs="Times New Roman"/>
                <w:b/>
                <w:color w:val="000000" w:themeColor="text1"/>
                <w:sz w:val="24"/>
                <w:szCs w:val="24"/>
                <w:highlight w:val="none"/>
                <w14:textFill>
                  <w14:solidFill>
                    <w14:schemeClr w14:val="tx1"/>
                  </w14:solidFill>
                </w14:textFill>
              </w:rPr>
              <w:t>给排水情况一览表</w:t>
            </w:r>
          </w:p>
          <w:tbl>
            <w:tblPr>
              <w:tblStyle w:val="28"/>
              <w:tblW w:w="9321"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42"/>
              <w:gridCol w:w="894"/>
              <w:gridCol w:w="2314"/>
              <w:gridCol w:w="1020"/>
              <w:gridCol w:w="1095"/>
              <w:gridCol w:w="985"/>
              <w:gridCol w:w="1091"/>
            </w:tblGrid>
            <w:tr w14:paraId="5E3D393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1" w:type="pct"/>
                  <w:gridSpan w:val="2"/>
                  <w:vMerge w:val="restart"/>
                  <w:tcBorders>
                    <w:tl2br w:val="nil"/>
                    <w:tr2bl w:val="nil"/>
                  </w:tcBorders>
                  <w:noWrap w:val="0"/>
                  <w:vAlign w:val="center"/>
                </w:tcPr>
                <w:p w14:paraId="740808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类  别</w:t>
                  </w:r>
                </w:p>
              </w:tc>
              <w:tc>
                <w:tcPr>
                  <w:tcW w:w="479" w:type="pct"/>
                  <w:vMerge w:val="restart"/>
                  <w:tcBorders>
                    <w:tl2br w:val="nil"/>
                    <w:tr2bl w:val="nil"/>
                  </w:tcBorders>
                  <w:noWrap w:val="0"/>
                  <w:vAlign w:val="center"/>
                </w:tcPr>
                <w:p w14:paraId="067E37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规模</w:t>
                  </w:r>
                </w:p>
              </w:tc>
              <w:tc>
                <w:tcPr>
                  <w:tcW w:w="1241" w:type="pct"/>
                  <w:vMerge w:val="restart"/>
                  <w:tcBorders>
                    <w:tl2br w:val="nil"/>
                    <w:tr2bl w:val="nil"/>
                  </w:tcBorders>
                  <w:noWrap w:val="0"/>
                  <w:vAlign w:val="center"/>
                </w:tcPr>
                <w:p w14:paraId="0740BF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用水标准</w:t>
                  </w:r>
                </w:p>
              </w:tc>
              <w:tc>
                <w:tcPr>
                  <w:tcW w:w="1134" w:type="pct"/>
                  <w:gridSpan w:val="2"/>
                  <w:tcBorders>
                    <w:tl2br w:val="nil"/>
                    <w:tr2bl w:val="nil"/>
                  </w:tcBorders>
                  <w:noWrap w:val="0"/>
                  <w:tcMar>
                    <w:left w:w="0" w:type="dxa"/>
                    <w:right w:w="0" w:type="dxa"/>
                  </w:tcMar>
                  <w:vAlign w:val="center"/>
                </w:tcPr>
                <w:p w14:paraId="0B3CA0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用水量</w:t>
                  </w:r>
                </w:p>
              </w:tc>
              <w:tc>
                <w:tcPr>
                  <w:tcW w:w="1113" w:type="pct"/>
                  <w:gridSpan w:val="2"/>
                  <w:tcBorders>
                    <w:tl2br w:val="nil"/>
                    <w:tr2bl w:val="nil"/>
                  </w:tcBorders>
                  <w:noWrap w:val="0"/>
                  <w:tcMar>
                    <w:left w:w="0" w:type="dxa"/>
                    <w:right w:w="0" w:type="dxa"/>
                  </w:tcMar>
                  <w:vAlign w:val="center"/>
                </w:tcPr>
                <w:p w14:paraId="43876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排水量</w:t>
                  </w:r>
                </w:p>
              </w:tc>
            </w:tr>
            <w:tr w14:paraId="4C0773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031" w:type="pct"/>
                  <w:gridSpan w:val="2"/>
                  <w:vMerge w:val="continue"/>
                  <w:tcBorders>
                    <w:tl2br w:val="nil"/>
                    <w:tr2bl w:val="nil"/>
                  </w:tcBorders>
                  <w:noWrap w:val="0"/>
                  <w:vAlign w:val="center"/>
                </w:tcPr>
                <w:p w14:paraId="2589C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479" w:type="pct"/>
                  <w:vMerge w:val="continue"/>
                  <w:tcBorders>
                    <w:tl2br w:val="nil"/>
                    <w:tr2bl w:val="nil"/>
                  </w:tcBorders>
                  <w:noWrap w:val="0"/>
                  <w:vAlign w:val="center"/>
                </w:tcPr>
                <w:p w14:paraId="379688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241" w:type="pct"/>
                  <w:vMerge w:val="continue"/>
                  <w:tcBorders>
                    <w:tl2br w:val="nil"/>
                    <w:tr2bl w:val="nil"/>
                  </w:tcBorders>
                  <w:noWrap w:val="0"/>
                  <w:vAlign w:val="center"/>
                </w:tcPr>
                <w:p w14:paraId="3746F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547" w:type="pct"/>
                  <w:tcBorders>
                    <w:tl2br w:val="nil"/>
                    <w:tr2bl w:val="nil"/>
                  </w:tcBorders>
                  <w:noWrap w:val="0"/>
                  <w:tcMar>
                    <w:left w:w="0" w:type="dxa"/>
                    <w:right w:w="0" w:type="dxa"/>
                  </w:tcMar>
                  <w:vAlign w:val="center"/>
                </w:tcPr>
                <w:p w14:paraId="076FBF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日用水量（m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/d）</w:t>
                  </w:r>
                </w:p>
              </w:tc>
              <w:tc>
                <w:tcPr>
                  <w:tcW w:w="587" w:type="pct"/>
                  <w:tcBorders>
                    <w:tl2br w:val="nil"/>
                    <w:tr2bl w:val="nil"/>
                  </w:tcBorders>
                  <w:noWrap w:val="0"/>
                  <w:vAlign w:val="center"/>
                </w:tcPr>
                <w:p w14:paraId="269153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年用水量</w:t>
                  </w:r>
                </w:p>
                <w:p w14:paraId="3C89C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/a）</w:t>
                  </w:r>
                </w:p>
              </w:tc>
              <w:tc>
                <w:tcPr>
                  <w:tcW w:w="528" w:type="pct"/>
                  <w:tcBorders>
                    <w:tl2br w:val="nil"/>
                    <w:tr2bl w:val="nil"/>
                  </w:tcBorders>
                  <w:noWrap w:val="0"/>
                  <w:tcMar>
                    <w:left w:w="0" w:type="dxa"/>
                    <w:right w:w="0" w:type="dxa"/>
                  </w:tcMar>
                  <w:vAlign w:val="center"/>
                </w:tcPr>
                <w:p w14:paraId="1EBA0B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日排水量（m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/d）</w:t>
                  </w:r>
                </w:p>
              </w:tc>
              <w:tc>
                <w:tcPr>
                  <w:tcW w:w="585" w:type="pct"/>
                  <w:tcBorders>
                    <w:tl2br w:val="nil"/>
                    <w:tr2bl w:val="nil"/>
                  </w:tcBorders>
                  <w:noWrap w:val="0"/>
                  <w:vAlign w:val="center"/>
                </w:tcPr>
                <w:p w14:paraId="18A37F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年排水量</w:t>
                  </w:r>
                </w:p>
                <w:p w14:paraId="11CF3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/a）</w:t>
                  </w:r>
                </w:p>
              </w:tc>
            </w:tr>
            <w:tr w14:paraId="4C2447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031" w:type="pct"/>
                  <w:gridSpan w:val="2"/>
                  <w:tcBorders>
                    <w:tl2br w:val="nil"/>
                    <w:tr2bl w:val="nil"/>
                  </w:tcBorders>
                  <w:noWrap w:val="0"/>
                  <w:vAlign w:val="center"/>
                </w:tcPr>
                <w:p w14:paraId="5A95DD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生活用水</w:t>
                  </w:r>
                </w:p>
              </w:tc>
              <w:tc>
                <w:tcPr>
                  <w:tcW w:w="479" w:type="pct"/>
                  <w:tcBorders>
                    <w:tl2br w:val="nil"/>
                    <w:tr2bl w:val="nil"/>
                  </w:tcBorders>
                  <w:noWrap w:val="0"/>
                  <w:vAlign w:val="center"/>
                </w:tcPr>
                <w:p w14:paraId="02AD0C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z w:val="21"/>
                      <w:szCs w:val="21"/>
                      <w:highlight w:val="none"/>
                      <w14:textFill>
                        <w14:solidFill>
                          <w14:schemeClr w14:val="tx1"/>
                        </w14:solidFill>
                      </w14:textFill>
                    </w:rPr>
                    <w:t>人</w:t>
                  </w:r>
                </w:p>
              </w:tc>
              <w:tc>
                <w:tcPr>
                  <w:tcW w:w="1241" w:type="pct"/>
                  <w:tcBorders>
                    <w:tl2br w:val="nil"/>
                    <w:tr2bl w:val="nil"/>
                  </w:tcBorders>
                  <w:noWrap w:val="0"/>
                  <w:vAlign w:val="center"/>
                </w:tcPr>
                <w:p w14:paraId="0EB8C7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highlight w:val="none"/>
                      <w14:textFill>
                        <w14:solidFill>
                          <w14:schemeClr w14:val="tx1"/>
                        </w14:solidFill>
                      </w14:textFill>
                    </w:rPr>
                    <w:t>0L/人·d</w:t>
                  </w:r>
                </w:p>
              </w:tc>
              <w:tc>
                <w:tcPr>
                  <w:tcW w:w="1020" w:type="dxa"/>
                  <w:tcBorders>
                    <w:tl2br w:val="nil"/>
                    <w:tr2bl w:val="nil"/>
                  </w:tcBorders>
                  <w:noWrap w:val="0"/>
                  <w:vAlign w:val="center"/>
                </w:tcPr>
                <w:p w14:paraId="716A4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1095" w:type="dxa"/>
                  <w:tcBorders>
                    <w:tl2br w:val="nil"/>
                    <w:tr2bl w:val="nil"/>
                  </w:tcBorders>
                  <w:noWrap w:val="0"/>
                  <w:vAlign w:val="center"/>
                </w:tcPr>
                <w:p w14:paraId="3A9D55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5400</w:t>
                  </w:r>
                </w:p>
              </w:tc>
              <w:tc>
                <w:tcPr>
                  <w:tcW w:w="985" w:type="dxa"/>
                  <w:tcBorders>
                    <w:tl2br w:val="nil"/>
                    <w:tr2bl w:val="nil"/>
                  </w:tcBorders>
                  <w:noWrap w:val="0"/>
                  <w:vAlign w:val="center"/>
                </w:tcPr>
                <w:p w14:paraId="674562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p>
              </w:tc>
              <w:tc>
                <w:tcPr>
                  <w:tcW w:w="1091" w:type="dxa"/>
                  <w:tcBorders>
                    <w:tl2br w:val="nil"/>
                    <w:tr2bl w:val="nil"/>
                  </w:tcBorders>
                  <w:noWrap w:val="0"/>
                  <w:vAlign w:val="center"/>
                </w:tcPr>
                <w:p w14:paraId="6B8068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4860</w:t>
                  </w:r>
                </w:p>
              </w:tc>
            </w:tr>
            <w:tr w14:paraId="226913F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031" w:type="pct"/>
                  <w:gridSpan w:val="2"/>
                  <w:tcBorders>
                    <w:tl2br w:val="nil"/>
                    <w:tr2bl w:val="nil"/>
                  </w:tcBorders>
                  <w:noWrap w:val="0"/>
                  <w:vAlign w:val="center"/>
                </w:tcPr>
                <w:p w14:paraId="4B67E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食堂用水</w:t>
                  </w:r>
                </w:p>
              </w:tc>
              <w:tc>
                <w:tcPr>
                  <w:tcW w:w="479" w:type="pct"/>
                  <w:tcBorders>
                    <w:tl2br w:val="nil"/>
                    <w:tr2bl w:val="nil"/>
                  </w:tcBorders>
                  <w:noWrap w:val="0"/>
                  <w:vAlign w:val="center"/>
                </w:tcPr>
                <w:p w14:paraId="62E2B7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120</w:t>
                  </w:r>
                  <w:r>
                    <w:rPr>
                      <w:rFonts w:hint="default" w:ascii="Times New Roman" w:hAnsi="Times New Roman" w:eastAsia="宋体" w:cs="Times New Roman"/>
                      <w:bCs/>
                      <w:color w:val="000000" w:themeColor="text1"/>
                      <w:sz w:val="21"/>
                      <w:szCs w:val="21"/>
                      <w:highlight w:val="none"/>
                      <w14:textFill>
                        <w14:solidFill>
                          <w14:schemeClr w14:val="tx1"/>
                        </w14:solidFill>
                      </w14:textFill>
                    </w:rPr>
                    <w:t>人</w:t>
                  </w:r>
                </w:p>
              </w:tc>
              <w:tc>
                <w:tcPr>
                  <w:tcW w:w="1241" w:type="pct"/>
                  <w:tcBorders>
                    <w:tl2br w:val="nil"/>
                    <w:tr2bl w:val="nil"/>
                  </w:tcBorders>
                  <w:noWrap w:val="0"/>
                  <w:vAlign w:val="center"/>
                </w:tcPr>
                <w:p w14:paraId="16F317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0L/人·d</w:t>
                  </w:r>
                </w:p>
              </w:tc>
              <w:tc>
                <w:tcPr>
                  <w:tcW w:w="1020" w:type="dxa"/>
                  <w:tcBorders>
                    <w:tl2br w:val="nil"/>
                    <w:tr2bl w:val="nil"/>
                  </w:tcBorders>
                  <w:noWrap w:val="0"/>
                  <w:vAlign w:val="center"/>
                </w:tcPr>
                <w:p w14:paraId="210C5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10.8</w:t>
                  </w:r>
                </w:p>
              </w:tc>
              <w:tc>
                <w:tcPr>
                  <w:tcW w:w="1095" w:type="dxa"/>
                  <w:tcBorders>
                    <w:tl2br w:val="nil"/>
                    <w:tr2bl w:val="nil"/>
                  </w:tcBorders>
                  <w:noWrap w:val="0"/>
                  <w:vAlign w:val="center"/>
                </w:tcPr>
                <w:p w14:paraId="00C6AA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3240</w:t>
                  </w:r>
                </w:p>
              </w:tc>
              <w:tc>
                <w:tcPr>
                  <w:tcW w:w="985" w:type="dxa"/>
                  <w:tcBorders>
                    <w:tl2br w:val="nil"/>
                    <w:tr2bl w:val="nil"/>
                  </w:tcBorders>
                  <w:noWrap w:val="0"/>
                  <w:vAlign w:val="center"/>
                </w:tcPr>
                <w:p w14:paraId="2A90B8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9.72</w:t>
                  </w:r>
                </w:p>
              </w:tc>
              <w:tc>
                <w:tcPr>
                  <w:tcW w:w="1091" w:type="dxa"/>
                  <w:tcBorders>
                    <w:tl2br w:val="nil"/>
                    <w:tr2bl w:val="nil"/>
                  </w:tcBorders>
                  <w:noWrap w:val="0"/>
                  <w:vAlign w:val="center"/>
                </w:tcPr>
                <w:p w14:paraId="13008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2916</w:t>
                  </w:r>
                </w:p>
              </w:tc>
            </w:tr>
            <w:tr w14:paraId="43B891B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64" w:type="pct"/>
                  <w:vMerge w:val="restart"/>
                  <w:tcBorders>
                    <w:tl2br w:val="nil"/>
                    <w:tr2bl w:val="nil"/>
                  </w:tcBorders>
                  <w:noWrap w:val="0"/>
                  <w:vAlign w:val="center"/>
                </w:tcPr>
                <w:p w14:paraId="00EAF3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生产用水</w:t>
                  </w:r>
                </w:p>
              </w:tc>
              <w:tc>
                <w:tcPr>
                  <w:tcW w:w="666" w:type="pct"/>
                  <w:vMerge w:val="restart"/>
                  <w:tcBorders>
                    <w:tl2br w:val="nil"/>
                    <w:tr2bl w:val="nil"/>
                  </w:tcBorders>
                  <w:noWrap w:val="0"/>
                  <w:vAlign w:val="center"/>
                </w:tcPr>
                <w:p w14:paraId="0EC963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解冻</w:t>
                  </w:r>
                  <w:r>
                    <w:rPr>
                      <w:rFonts w:hint="default" w:ascii="Times New Roman" w:hAnsi="Times New Roman" w:cs="Times New Roman"/>
                      <w:color w:val="000000" w:themeColor="text1"/>
                      <w:sz w:val="21"/>
                      <w:szCs w:val="21"/>
                      <w:highlight w:val="none"/>
                      <w:lang w:eastAsia="zh-CN"/>
                      <w14:textFill>
                        <w14:solidFill>
                          <w14:schemeClr w14:val="tx1"/>
                        </w14:solidFill>
                      </w14:textFill>
                    </w:rPr>
                    <w:t>清洗</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用水</w:t>
                  </w:r>
                </w:p>
              </w:tc>
              <w:tc>
                <w:tcPr>
                  <w:tcW w:w="479" w:type="pct"/>
                  <w:vMerge w:val="restart"/>
                  <w:tcBorders>
                    <w:tl2br w:val="nil"/>
                    <w:tr2bl w:val="nil"/>
                  </w:tcBorders>
                  <w:noWrap w:val="0"/>
                  <w:vAlign w:val="center"/>
                </w:tcPr>
                <w:p w14:paraId="57B3B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highlight w:val="none"/>
                      <w14:textFill>
                        <w14:solidFill>
                          <w14:schemeClr w14:val="tx1"/>
                        </w14:solidFill>
                      </w14:textFill>
                    </w:rPr>
                    <w:t>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d</w:t>
                  </w:r>
                </w:p>
              </w:tc>
              <w:tc>
                <w:tcPr>
                  <w:tcW w:w="1241" w:type="pct"/>
                  <w:tcBorders>
                    <w:tl2br w:val="nil"/>
                    <w:tr2bl w:val="nil"/>
                  </w:tcBorders>
                  <w:noWrap w:val="0"/>
                  <w:vAlign w:val="center"/>
                </w:tcPr>
                <w:p w14:paraId="1F4CD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解冻水为</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1%原料</w:t>
                  </w:r>
                </w:p>
              </w:tc>
              <w:tc>
                <w:tcPr>
                  <w:tcW w:w="1020" w:type="dxa"/>
                  <w:tcBorders>
                    <w:tl2br w:val="nil"/>
                    <w:tr2bl w:val="nil"/>
                  </w:tcBorders>
                  <w:noWrap w:val="0"/>
                  <w:vAlign w:val="center"/>
                </w:tcPr>
                <w:p w14:paraId="087130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095" w:type="dxa"/>
                  <w:tcBorders>
                    <w:tl2br w:val="nil"/>
                    <w:tr2bl w:val="nil"/>
                  </w:tcBorders>
                  <w:noWrap w:val="0"/>
                  <w:vAlign w:val="center"/>
                </w:tcPr>
                <w:p w14:paraId="281C0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85" w:type="dxa"/>
                  <w:tcBorders>
                    <w:tl2br w:val="nil"/>
                    <w:tr2bl w:val="nil"/>
                  </w:tcBorders>
                  <w:noWrap w:val="0"/>
                  <w:vAlign w:val="center"/>
                </w:tcPr>
                <w:p w14:paraId="413E46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p>
              </w:tc>
              <w:tc>
                <w:tcPr>
                  <w:tcW w:w="1091" w:type="dxa"/>
                  <w:tcBorders>
                    <w:tl2br w:val="nil"/>
                    <w:tr2bl w:val="nil"/>
                  </w:tcBorders>
                  <w:noWrap w:val="0"/>
                  <w:vAlign w:val="center"/>
                </w:tcPr>
                <w:p w14:paraId="4094D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r>
            <w:tr w14:paraId="6A104A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64" w:type="pct"/>
                  <w:vMerge w:val="continue"/>
                  <w:tcBorders>
                    <w:tl2br w:val="nil"/>
                    <w:tr2bl w:val="nil"/>
                  </w:tcBorders>
                  <w:noWrap w:val="0"/>
                  <w:vAlign w:val="center"/>
                </w:tcPr>
                <w:p w14:paraId="1F6B8E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666" w:type="pct"/>
                  <w:vMerge w:val="continue"/>
                  <w:tcBorders>
                    <w:tl2br w:val="nil"/>
                    <w:tr2bl w:val="nil"/>
                  </w:tcBorders>
                  <w:noWrap w:val="0"/>
                  <w:vAlign w:val="center"/>
                </w:tcPr>
                <w:p w14:paraId="5B7C9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79" w:type="pct"/>
                  <w:vMerge w:val="continue"/>
                  <w:tcBorders>
                    <w:tl2br w:val="nil"/>
                    <w:tr2bl w:val="nil"/>
                  </w:tcBorders>
                  <w:noWrap w:val="0"/>
                  <w:vAlign w:val="center"/>
                </w:tcPr>
                <w:p w14:paraId="51E8A6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1241" w:type="pct"/>
                  <w:tcBorders>
                    <w:tl2br w:val="nil"/>
                    <w:tr2bl w:val="nil"/>
                  </w:tcBorders>
                  <w:noWrap w:val="0"/>
                  <w:vAlign w:val="center"/>
                </w:tcPr>
                <w:p w14:paraId="28CC76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产品原料：水=</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020" w:type="dxa"/>
                  <w:tcBorders>
                    <w:tl2br w:val="nil"/>
                    <w:tr2bl w:val="nil"/>
                  </w:tcBorders>
                  <w:noWrap w:val="0"/>
                  <w:vAlign w:val="center"/>
                </w:tcPr>
                <w:p w14:paraId="402A71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64.06 </w:t>
                  </w:r>
                </w:p>
              </w:tc>
              <w:tc>
                <w:tcPr>
                  <w:tcW w:w="1095" w:type="dxa"/>
                  <w:tcBorders>
                    <w:tl2br w:val="nil"/>
                    <w:tr2bl w:val="nil"/>
                  </w:tcBorders>
                  <w:noWrap w:val="0"/>
                  <w:vAlign w:val="center"/>
                </w:tcPr>
                <w:p w14:paraId="09A08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19217.25 </w:t>
                  </w:r>
                </w:p>
              </w:tc>
              <w:tc>
                <w:tcPr>
                  <w:tcW w:w="985" w:type="dxa"/>
                  <w:tcBorders>
                    <w:tl2br w:val="nil"/>
                    <w:tr2bl w:val="nil"/>
                  </w:tcBorders>
                  <w:noWrap w:val="0"/>
                  <w:vAlign w:val="center"/>
                </w:tcPr>
                <w:p w14:paraId="5C9D3C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57.65 </w:t>
                  </w:r>
                </w:p>
              </w:tc>
              <w:tc>
                <w:tcPr>
                  <w:tcW w:w="1091" w:type="dxa"/>
                  <w:tcBorders>
                    <w:tl2br w:val="nil"/>
                    <w:tr2bl w:val="nil"/>
                  </w:tcBorders>
                  <w:noWrap w:val="0"/>
                  <w:vAlign w:val="center"/>
                </w:tcPr>
                <w:p w14:paraId="45F3A2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17295.53 </w:t>
                  </w:r>
                </w:p>
              </w:tc>
            </w:tr>
            <w:tr w14:paraId="465887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64" w:type="pct"/>
                  <w:vMerge w:val="continue"/>
                  <w:tcBorders>
                    <w:tl2br w:val="nil"/>
                    <w:tr2bl w:val="nil"/>
                  </w:tcBorders>
                  <w:noWrap w:val="0"/>
                  <w:vAlign w:val="center"/>
                </w:tcPr>
                <w:p w14:paraId="621B0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152A45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煮制</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用</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水</w:t>
                  </w:r>
                </w:p>
              </w:tc>
              <w:tc>
                <w:tcPr>
                  <w:tcW w:w="479" w:type="pct"/>
                  <w:tcBorders>
                    <w:tl2br w:val="nil"/>
                    <w:tr2bl w:val="nil"/>
                  </w:tcBorders>
                  <w:noWrap w:val="0"/>
                  <w:vAlign w:val="center"/>
                </w:tcPr>
                <w:p w14:paraId="1E3C6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bCs/>
                      <w:color w:val="000000" w:themeColor="text1"/>
                      <w:sz w:val="21"/>
                      <w:szCs w:val="21"/>
                      <w:highlight w:val="none"/>
                      <w14:textFill>
                        <w14:solidFill>
                          <w14:schemeClr w14:val="tx1"/>
                        </w14:solidFill>
                      </w14:textFill>
                    </w:rPr>
                    <w:t>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d</w:t>
                  </w:r>
                </w:p>
              </w:tc>
              <w:tc>
                <w:tcPr>
                  <w:tcW w:w="1241" w:type="pct"/>
                  <w:tcBorders>
                    <w:tl2br w:val="nil"/>
                    <w:tr2bl w:val="nil"/>
                  </w:tcBorders>
                  <w:noWrap w:val="0"/>
                  <w:vAlign w:val="center"/>
                </w:tcPr>
                <w:p w14:paraId="419766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产品原料：水=</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020" w:type="dxa"/>
                  <w:tcBorders>
                    <w:tl2br w:val="nil"/>
                    <w:tr2bl w:val="nil"/>
                  </w:tcBorders>
                  <w:noWrap w:val="0"/>
                  <w:vAlign w:val="center"/>
                </w:tcPr>
                <w:p w14:paraId="1B3D66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4.28 </w:t>
                  </w:r>
                </w:p>
              </w:tc>
              <w:tc>
                <w:tcPr>
                  <w:tcW w:w="1095" w:type="dxa"/>
                  <w:tcBorders>
                    <w:tl2br w:val="nil"/>
                    <w:tr2bl w:val="nil"/>
                  </w:tcBorders>
                  <w:noWrap w:val="0"/>
                  <w:vAlign w:val="center"/>
                </w:tcPr>
                <w:p w14:paraId="6AE6F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1285.20 </w:t>
                  </w:r>
                </w:p>
              </w:tc>
              <w:tc>
                <w:tcPr>
                  <w:tcW w:w="985" w:type="dxa"/>
                  <w:tcBorders>
                    <w:tl2br w:val="nil"/>
                    <w:tr2bl w:val="nil"/>
                  </w:tcBorders>
                  <w:noWrap w:val="0"/>
                  <w:vAlign w:val="center"/>
                </w:tcPr>
                <w:p w14:paraId="1CC16C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3.43 </w:t>
                  </w:r>
                </w:p>
              </w:tc>
              <w:tc>
                <w:tcPr>
                  <w:tcW w:w="1091" w:type="dxa"/>
                  <w:tcBorders>
                    <w:tl2br w:val="nil"/>
                    <w:tr2bl w:val="nil"/>
                  </w:tcBorders>
                  <w:noWrap w:val="0"/>
                  <w:vAlign w:val="center"/>
                </w:tcPr>
                <w:p w14:paraId="142BE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1028.16 </w:t>
                  </w:r>
                </w:p>
              </w:tc>
            </w:tr>
            <w:tr w14:paraId="53BEBE0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64" w:type="pct"/>
                  <w:vMerge w:val="continue"/>
                  <w:tcBorders>
                    <w:tl2br w:val="nil"/>
                    <w:tr2bl w:val="nil"/>
                  </w:tcBorders>
                  <w:noWrap w:val="0"/>
                  <w:vAlign w:val="center"/>
                </w:tcPr>
                <w:p w14:paraId="79A765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666" w:type="pct"/>
                  <w:tcBorders>
                    <w:tl2br w:val="nil"/>
                    <w:tr2bl w:val="nil"/>
                  </w:tcBorders>
                  <w:shd w:val="clear" w:color="auto" w:fill="auto"/>
                  <w:noWrap w:val="0"/>
                  <w:vAlign w:val="center"/>
                </w:tcPr>
                <w:p w14:paraId="3477D8E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冷却用水</w:t>
                  </w:r>
                </w:p>
              </w:tc>
              <w:tc>
                <w:tcPr>
                  <w:tcW w:w="479" w:type="pct"/>
                  <w:tcBorders>
                    <w:tl2br w:val="nil"/>
                    <w:tr2bl w:val="nil"/>
                  </w:tcBorders>
                  <w:noWrap w:val="0"/>
                  <w:vAlign w:val="center"/>
                </w:tcPr>
                <w:p w14:paraId="56E89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1241" w:type="pct"/>
                  <w:tcBorders>
                    <w:tl2br w:val="nil"/>
                    <w:tr2bl w:val="nil"/>
                  </w:tcBorders>
                  <w:noWrap w:val="0"/>
                  <w:vAlign w:val="center"/>
                </w:tcPr>
                <w:p w14:paraId="393211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020" w:type="dxa"/>
                  <w:tcBorders>
                    <w:tl2br w:val="nil"/>
                    <w:tr2bl w:val="nil"/>
                  </w:tcBorders>
                  <w:noWrap w:val="0"/>
                  <w:vAlign w:val="center"/>
                </w:tcPr>
                <w:p w14:paraId="7B343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11.57</w:t>
                  </w:r>
                </w:p>
              </w:tc>
              <w:tc>
                <w:tcPr>
                  <w:tcW w:w="1095" w:type="dxa"/>
                  <w:tcBorders>
                    <w:tl2br w:val="nil"/>
                    <w:tr2bl w:val="nil"/>
                  </w:tcBorders>
                  <w:noWrap w:val="0"/>
                  <w:vAlign w:val="center"/>
                </w:tcPr>
                <w:p w14:paraId="415FE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3417</w:t>
                  </w:r>
                </w:p>
              </w:tc>
              <w:tc>
                <w:tcPr>
                  <w:tcW w:w="985" w:type="dxa"/>
                  <w:tcBorders>
                    <w:tl2br w:val="nil"/>
                    <w:tr2bl w:val="nil"/>
                  </w:tcBorders>
                  <w:noWrap w:val="0"/>
                  <w:vAlign w:val="center"/>
                </w:tcPr>
                <w:p w14:paraId="46F26A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9.26</w:t>
                  </w:r>
                </w:p>
              </w:tc>
              <w:tc>
                <w:tcPr>
                  <w:tcW w:w="1091" w:type="dxa"/>
                  <w:tcBorders>
                    <w:tl2br w:val="nil"/>
                    <w:tr2bl w:val="nil"/>
                  </w:tcBorders>
                  <w:noWrap w:val="0"/>
                  <w:vAlign w:val="center"/>
                </w:tcPr>
                <w:p w14:paraId="63AC3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2778</w:t>
                  </w:r>
                </w:p>
              </w:tc>
            </w:tr>
            <w:tr w14:paraId="5D1A0F7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64" w:type="pct"/>
                  <w:vMerge w:val="continue"/>
                  <w:tcBorders>
                    <w:tl2br w:val="nil"/>
                    <w:tr2bl w:val="nil"/>
                  </w:tcBorders>
                  <w:noWrap w:val="0"/>
                  <w:vAlign w:val="center"/>
                </w:tcPr>
                <w:p w14:paraId="76854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718A3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涨</w:t>
                  </w:r>
                  <w:r>
                    <w:rPr>
                      <w:rFonts w:hint="default" w:ascii="Times New Roman" w:hAnsi="Times New Roman" w:eastAsia="宋体" w:cs="Times New Roman"/>
                      <w:color w:val="000000" w:themeColor="text1"/>
                      <w:sz w:val="21"/>
                      <w:szCs w:val="21"/>
                      <w:highlight w:val="none"/>
                      <w14:textFill>
                        <w14:solidFill>
                          <w14:schemeClr w14:val="tx1"/>
                        </w14:solidFill>
                      </w14:textFill>
                    </w:rPr>
                    <w:t>发</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漂洗</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用</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水</w:t>
                  </w:r>
                </w:p>
              </w:tc>
              <w:tc>
                <w:tcPr>
                  <w:tcW w:w="479" w:type="pct"/>
                  <w:tcBorders>
                    <w:tl2br w:val="nil"/>
                    <w:tr2bl w:val="nil"/>
                  </w:tcBorders>
                  <w:noWrap w:val="0"/>
                  <w:vAlign w:val="center"/>
                </w:tcPr>
                <w:p w14:paraId="1C4F5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241" w:type="pct"/>
                  <w:tcBorders>
                    <w:tl2br w:val="nil"/>
                    <w:tr2bl w:val="nil"/>
                  </w:tcBorders>
                  <w:noWrap w:val="0"/>
                  <w:vAlign w:val="center"/>
                </w:tcPr>
                <w:p w14:paraId="3D72A8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20" w:type="dxa"/>
                  <w:tcBorders>
                    <w:tl2br w:val="nil"/>
                    <w:tr2bl w:val="nil"/>
                  </w:tcBorders>
                  <w:noWrap w:val="0"/>
                  <w:vAlign w:val="center"/>
                </w:tcPr>
                <w:p w14:paraId="2F4CD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94.75</w:t>
                  </w:r>
                </w:p>
              </w:tc>
              <w:tc>
                <w:tcPr>
                  <w:tcW w:w="1095" w:type="dxa"/>
                  <w:tcBorders>
                    <w:tl2br w:val="nil"/>
                    <w:tr2bl w:val="nil"/>
                  </w:tcBorders>
                  <w:noWrap w:val="0"/>
                  <w:vAlign w:val="center"/>
                </w:tcPr>
                <w:p w14:paraId="3BFF24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28425</w:t>
                  </w:r>
                </w:p>
              </w:tc>
              <w:tc>
                <w:tcPr>
                  <w:tcW w:w="985" w:type="dxa"/>
                  <w:tcBorders>
                    <w:tl2br w:val="nil"/>
                    <w:tr2bl w:val="nil"/>
                  </w:tcBorders>
                  <w:noWrap w:val="0"/>
                  <w:vAlign w:val="center"/>
                </w:tcPr>
                <w:p w14:paraId="6ABE7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75.8</w:t>
                  </w:r>
                </w:p>
              </w:tc>
              <w:tc>
                <w:tcPr>
                  <w:tcW w:w="1091" w:type="dxa"/>
                  <w:tcBorders>
                    <w:tl2br w:val="nil"/>
                    <w:tr2bl w:val="nil"/>
                  </w:tcBorders>
                  <w:noWrap w:val="0"/>
                  <w:vAlign w:val="center"/>
                </w:tcPr>
                <w:p w14:paraId="1ADD5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22740</w:t>
                  </w:r>
                </w:p>
              </w:tc>
            </w:tr>
            <w:tr w14:paraId="52C858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64" w:type="pct"/>
                  <w:vMerge w:val="continue"/>
                  <w:tcBorders>
                    <w:tl2br w:val="nil"/>
                    <w:tr2bl w:val="nil"/>
                  </w:tcBorders>
                  <w:noWrap w:val="0"/>
                  <w:vAlign w:val="center"/>
                </w:tcPr>
                <w:p w14:paraId="696D8E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666" w:type="pct"/>
                  <w:tcBorders>
                    <w:tl2br w:val="nil"/>
                    <w:tr2bl w:val="nil"/>
                  </w:tcBorders>
                  <w:noWrap w:val="0"/>
                  <w:vAlign w:val="center"/>
                </w:tcPr>
                <w:p w14:paraId="4E031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lang w:eastAsia="zh-CN"/>
                      <w14:textFill>
                        <w14:solidFill>
                          <w14:schemeClr w14:val="tx1"/>
                        </w14:solidFill>
                      </w14:textFill>
                    </w:rPr>
                    <w:t>锅炉</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用水</w:t>
                  </w:r>
                </w:p>
              </w:tc>
              <w:tc>
                <w:tcPr>
                  <w:tcW w:w="479" w:type="pct"/>
                  <w:tcBorders>
                    <w:tl2br w:val="nil"/>
                    <w:tr2bl w:val="nil"/>
                  </w:tcBorders>
                  <w:noWrap w:val="0"/>
                  <w:vAlign w:val="center"/>
                </w:tcPr>
                <w:p w14:paraId="27A2F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1241" w:type="pct"/>
                  <w:tcBorders>
                    <w:tl2br w:val="nil"/>
                    <w:tr2bl w:val="nil"/>
                  </w:tcBorders>
                  <w:noWrap w:val="0"/>
                  <w:vAlign w:val="center"/>
                </w:tcPr>
                <w:p w14:paraId="76B4C2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1020" w:type="dxa"/>
                  <w:tcBorders>
                    <w:tl2br w:val="nil"/>
                    <w:tr2bl w:val="nil"/>
                  </w:tcBorders>
                  <w:noWrap w:val="0"/>
                  <w:vAlign w:val="center"/>
                </w:tcPr>
                <w:p w14:paraId="2B8088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1095" w:type="dxa"/>
                  <w:tcBorders>
                    <w:tl2br w:val="nil"/>
                    <w:tr2bl w:val="nil"/>
                  </w:tcBorders>
                  <w:noWrap w:val="0"/>
                  <w:vAlign w:val="center"/>
                </w:tcPr>
                <w:p w14:paraId="7AE38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w:t>
                  </w:r>
                </w:p>
              </w:tc>
              <w:tc>
                <w:tcPr>
                  <w:tcW w:w="985" w:type="dxa"/>
                  <w:tcBorders>
                    <w:tl2br w:val="nil"/>
                    <w:tr2bl w:val="nil"/>
                  </w:tcBorders>
                  <w:noWrap w:val="0"/>
                  <w:vAlign w:val="center"/>
                </w:tcPr>
                <w:p w14:paraId="0AE99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1.18</w:t>
                  </w:r>
                </w:p>
              </w:tc>
              <w:tc>
                <w:tcPr>
                  <w:tcW w:w="1091" w:type="dxa"/>
                  <w:tcBorders>
                    <w:tl2br w:val="nil"/>
                    <w:tr2bl w:val="nil"/>
                  </w:tcBorders>
                  <w:noWrap w:val="0"/>
                  <w:vAlign w:val="center"/>
                </w:tcPr>
                <w:p w14:paraId="47D798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354.96</w:t>
                  </w:r>
                </w:p>
              </w:tc>
            </w:tr>
            <w:tr w14:paraId="65F8422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64" w:type="pct"/>
                  <w:vMerge w:val="continue"/>
                  <w:tcBorders>
                    <w:tl2br w:val="nil"/>
                    <w:tr2bl w:val="nil"/>
                  </w:tcBorders>
                  <w:noWrap w:val="0"/>
                  <w:vAlign w:val="center"/>
                </w:tcPr>
                <w:p w14:paraId="36C582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78EAE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净水器</w:t>
                  </w:r>
                  <w:r>
                    <w:rPr>
                      <w:rFonts w:hint="default" w:ascii="Times New Roman" w:hAnsi="Times New Roman" w:eastAsia="宋体" w:cs="Times New Roman"/>
                      <w:bCs/>
                      <w:color w:val="000000" w:themeColor="text1"/>
                      <w:sz w:val="21"/>
                      <w:szCs w:val="21"/>
                      <w:highlight w:val="none"/>
                      <w14:textFill>
                        <w14:solidFill>
                          <w14:schemeClr w14:val="tx1"/>
                        </w14:solidFill>
                      </w14:textFill>
                    </w:rPr>
                    <w:t>用水</w:t>
                  </w:r>
                </w:p>
              </w:tc>
              <w:tc>
                <w:tcPr>
                  <w:tcW w:w="479" w:type="pct"/>
                  <w:tcBorders>
                    <w:tl2br w:val="nil"/>
                    <w:tr2bl w:val="nil"/>
                  </w:tcBorders>
                  <w:noWrap w:val="0"/>
                  <w:vAlign w:val="center"/>
                </w:tcPr>
                <w:p w14:paraId="08C53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1*2</w:t>
                  </w: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t/h</w:t>
                  </w:r>
                </w:p>
              </w:tc>
              <w:tc>
                <w:tcPr>
                  <w:tcW w:w="1241" w:type="pct"/>
                  <w:tcBorders>
                    <w:tl2br w:val="nil"/>
                    <w:tr2bl w:val="nil"/>
                  </w:tcBorders>
                  <w:noWrap w:val="0"/>
                  <w:vAlign w:val="center"/>
                </w:tcPr>
                <w:p w14:paraId="2B8931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1020" w:type="dxa"/>
                  <w:tcBorders>
                    <w:tl2br w:val="nil"/>
                    <w:tr2bl w:val="nil"/>
                  </w:tcBorders>
                  <w:noWrap w:val="0"/>
                  <w:vAlign w:val="center"/>
                </w:tcPr>
                <w:p w14:paraId="04C8F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7.75</w:t>
                  </w:r>
                </w:p>
              </w:tc>
              <w:tc>
                <w:tcPr>
                  <w:tcW w:w="1095" w:type="dxa"/>
                  <w:tcBorders>
                    <w:tl2br w:val="nil"/>
                    <w:tr2bl w:val="nil"/>
                  </w:tcBorders>
                  <w:noWrap w:val="0"/>
                  <w:vAlign w:val="center"/>
                </w:tcPr>
                <w:p w14:paraId="0BCAC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1380</w:t>
                  </w:r>
                </w:p>
              </w:tc>
              <w:tc>
                <w:tcPr>
                  <w:tcW w:w="985" w:type="dxa"/>
                  <w:tcBorders>
                    <w:tl2br w:val="nil"/>
                    <w:tr2bl w:val="nil"/>
                  </w:tcBorders>
                  <w:noWrap w:val="0"/>
                  <w:vAlign w:val="center"/>
                </w:tcPr>
                <w:p w14:paraId="0E281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3.14</w:t>
                  </w:r>
                </w:p>
              </w:tc>
              <w:tc>
                <w:tcPr>
                  <w:tcW w:w="1091" w:type="dxa"/>
                  <w:tcBorders>
                    <w:tl2br w:val="nil"/>
                    <w:tr2bl w:val="nil"/>
                  </w:tcBorders>
                  <w:noWrap w:val="0"/>
                  <w:vAlign w:val="center"/>
                </w:tcPr>
                <w:p w14:paraId="177B17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942.6</w:t>
                  </w:r>
                </w:p>
              </w:tc>
            </w:tr>
            <w:tr w14:paraId="08865CC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64" w:type="pct"/>
                  <w:vMerge w:val="continue"/>
                  <w:tcBorders>
                    <w:tl2br w:val="nil"/>
                    <w:tr2bl w:val="nil"/>
                  </w:tcBorders>
                  <w:noWrap w:val="0"/>
                  <w:vAlign w:val="center"/>
                </w:tcPr>
                <w:p w14:paraId="251350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26295F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空压机</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用水</w:t>
                  </w:r>
                </w:p>
              </w:tc>
              <w:tc>
                <w:tcPr>
                  <w:tcW w:w="479" w:type="pct"/>
                  <w:tcBorders>
                    <w:tl2br w:val="nil"/>
                    <w:tr2bl w:val="nil"/>
                  </w:tcBorders>
                  <w:noWrap w:val="0"/>
                  <w:vAlign w:val="center"/>
                </w:tcPr>
                <w:p w14:paraId="237630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1241" w:type="pct"/>
                  <w:tcBorders>
                    <w:tl2br w:val="nil"/>
                    <w:tr2bl w:val="nil"/>
                  </w:tcBorders>
                  <w:noWrap w:val="0"/>
                  <w:vAlign w:val="center"/>
                </w:tcPr>
                <w:p w14:paraId="609FD6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1020" w:type="dxa"/>
                  <w:tcBorders>
                    <w:tl2br w:val="nil"/>
                    <w:tr2bl w:val="nil"/>
                  </w:tcBorders>
                  <w:noWrap w:val="0"/>
                  <w:vAlign w:val="center"/>
                </w:tcPr>
                <w:p w14:paraId="775BE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095" w:type="dxa"/>
                  <w:tcBorders>
                    <w:tl2br w:val="nil"/>
                    <w:tr2bl w:val="nil"/>
                  </w:tcBorders>
                  <w:noWrap w:val="0"/>
                  <w:vAlign w:val="center"/>
                </w:tcPr>
                <w:p w14:paraId="79AFC3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85" w:type="dxa"/>
                  <w:tcBorders>
                    <w:tl2br w:val="nil"/>
                    <w:tr2bl w:val="nil"/>
                  </w:tcBorders>
                  <w:noWrap w:val="0"/>
                  <w:vAlign w:val="center"/>
                </w:tcPr>
                <w:p w14:paraId="6515BE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1091" w:type="dxa"/>
                  <w:tcBorders>
                    <w:tl2br w:val="nil"/>
                    <w:tr2bl w:val="nil"/>
                  </w:tcBorders>
                  <w:noWrap w:val="0"/>
                  <w:vAlign w:val="center"/>
                </w:tcPr>
                <w:p w14:paraId="13D2D2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r>
            <w:tr w14:paraId="7FC3F5A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64" w:type="pct"/>
                  <w:vMerge w:val="continue"/>
                  <w:tcBorders>
                    <w:tl2br w:val="nil"/>
                    <w:tr2bl w:val="nil"/>
                  </w:tcBorders>
                  <w:noWrap w:val="0"/>
                  <w:vAlign w:val="center"/>
                </w:tcPr>
                <w:p w14:paraId="238AE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666" w:type="pct"/>
                  <w:tcBorders>
                    <w:tl2br w:val="nil"/>
                    <w:tr2bl w:val="nil"/>
                  </w:tcBorders>
                  <w:noWrap w:val="0"/>
                  <w:vAlign w:val="center"/>
                </w:tcPr>
                <w:p w14:paraId="3F517E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地面清洁</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用水</w:t>
                  </w:r>
                </w:p>
              </w:tc>
              <w:tc>
                <w:tcPr>
                  <w:tcW w:w="479" w:type="pct"/>
                  <w:tcBorders>
                    <w:tl2br w:val="nil"/>
                    <w:tr2bl w:val="nil"/>
                  </w:tcBorders>
                  <w:noWrap w:val="0"/>
                  <w:vAlign w:val="center"/>
                </w:tcPr>
                <w:p w14:paraId="2F966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800</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p>
              </w:tc>
              <w:tc>
                <w:tcPr>
                  <w:tcW w:w="1241" w:type="pct"/>
                  <w:tcBorders>
                    <w:tl2br w:val="nil"/>
                    <w:tr2bl w:val="nil"/>
                  </w:tcBorders>
                  <w:noWrap w:val="0"/>
                  <w:vAlign w:val="center"/>
                </w:tcPr>
                <w:p w14:paraId="694C5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1次/天</w:t>
                  </w:r>
                </w:p>
              </w:tc>
              <w:tc>
                <w:tcPr>
                  <w:tcW w:w="1020" w:type="dxa"/>
                  <w:tcBorders>
                    <w:tl2br w:val="nil"/>
                    <w:tr2bl w:val="nil"/>
                  </w:tcBorders>
                  <w:noWrap w:val="0"/>
                  <w:vAlign w:val="center"/>
                </w:tcPr>
                <w:p w14:paraId="025639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1095" w:type="dxa"/>
                  <w:tcBorders>
                    <w:tl2br w:val="nil"/>
                    <w:tr2bl w:val="nil"/>
                  </w:tcBorders>
                  <w:noWrap w:val="0"/>
                  <w:vAlign w:val="center"/>
                </w:tcPr>
                <w:p w14:paraId="34248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4800</w:t>
                  </w:r>
                </w:p>
              </w:tc>
              <w:tc>
                <w:tcPr>
                  <w:tcW w:w="985" w:type="dxa"/>
                  <w:tcBorders>
                    <w:tl2br w:val="nil"/>
                    <w:tr2bl w:val="nil"/>
                  </w:tcBorders>
                  <w:noWrap w:val="0"/>
                  <w:vAlign w:val="center"/>
                </w:tcPr>
                <w:p w14:paraId="65148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14.4</w:t>
                  </w:r>
                </w:p>
              </w:tc>
              <w:tc>
                <w:tcPr>
                  <w:tcW w:w="1091" w:type="dxa"/>
                  <w:tcBorders>
                    <w:tl2br w:val="nil"/>
                    <w:tr2bl w:val="nil"/>
                  </w:tcBorders>
                  <w:noWrap w:val="0"/>
                  <w:vAlign w:val="center"/>
                </w:tcPr>
                <w:p w14:paraId="0B4CD0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4320</w:t>
                  </w:r>
                </w:p>
              </w:tc>
            </w:tr>
            <w:tr w14:paraId="49BC18B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64" w:type="pct"/>
                  <w:vMerge w:val="continue"/>
                  <w:tcBorders>
                    <w:tl2br w:val="nil"/>
                    <w:tr2bl w:val="nil"/>
                  </w:tcBorders>
                  <w:noWrap w:val="0"/>
                  <w:vAlign w:val="center"/>
                </w:tcPr>
                <w:p w14:paraId="4025F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666" w:type="pct"/>
                  <w:tcBorders>
                    <w:tl2br w:val="nil"/>
                    <w:tr2bl w:val="nil"/>
                  </w:tcBorders>
                  <w:noWrap w:val="0"/>
                  <w:vAlign w:val="center"/>
                </w:tcPr>
                <w:p w14:paraId="2ABF6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lang w:eastAsia="zh-CN"/>
                      <w14:textFill>
                        <w14:solidFill>
                          <w14:schemeClr w14:val="tx1"/>
                        </w14:solidFill>
                      </w14:textFill>
                    </w:rPr>
                    <w:t>研发</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用</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水</w:t>
                  </w:r>
                </w:p>
              </w:tc>
              <w:tc>
                <w:tcPr>
                  <w:tcW w:w="479" w:type="pct"/>
                  <w:tcBorders>
                    <w:tl2br w:val="nil"/>
                    <w:tr2bl w:val="nil"/>
                  </w:tcBorders>
                  <w:noWrap w:val="0"/>
                  <w:vAlign w:val="center"/>
                </w:tcPr>
                <w:p w14:paraId="7ECD8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241" w:type="pct"/>
                  <w:tcBorders>
                    <w:tl2br w:val="nil"/>
                    <w:tr2bl w:val="nil"/>
                  </w:tcBorders>
                  <w:noWrap w:val="0"/>
                  <w:vAlign w:val="center"/>
                </w:tcPr>
                <w:p w14:paraId="466173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020" w:type="dxa"/>
                  <w:tcBorders>
                    <w:tl2br w:val="nil"/>
                    <w:tr2bl w:val="nil"/>
                  </w:tcBorders>
                  <w:noWrap w:val="0"/>
                  <w:vAlign w:val="center"/>
                </w:tcPr>
                <w:p w14:paraId="4C22C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1095" w:type="dxa"/>
                  <w:tcBorders>
                    <w:tl2br w:val="nil"/>
                    <w:tr2bl w:val="nil"/>
                  </w:tcBorders>
                  <w:noWrap w:val="0"/>
                  <w:vAlign w:val="center"/>
                </w:tcPr>
                <w:p w14:paraId="24F2B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985" w:type="dxa"/>
                  <w:tcBorders>
                    <w:tl2br w:val="nil"/>
                    <w:tr2bl w:val="nil"/>
                  </w:tcBorders>
                  <w:noWrap w:val="0"/>
                  <w:vAlign w:val="center"/>
                </w:tcPr>
                <w:p w14:paraId="43CEC4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0.17</w:t>
                  </w:r>
                </w:p>
              </w:tc>
              <w:tc>
                <w:tcPr>
                  <w:tcW w:w="1091" w:type="dxa"/>
                  <w:tcBorders>
                    <w:tl2br w:val="nil"/>
                    <w:tr2bl w:val="nil"/>
                  </w:tcBorders>
                  <w:noWrap w:val="0"/>
                  <w:vAlign w:val="center"/>
                </w:tcPr>
                <w:p w14:paraId="3B9491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w:t>
                  </w:r>
                </w:p>
              </w:tc>
            </w:tr>
            <w:tr w14:paraId="59CEC3A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64" w:type="pct"/>
                  <w:vMerge w:val="continue"/>
                  <w:tcBorders>
                    <w:tl2br w:val="nil"/>
                    <w:tr2bl w:val="nil"/>
                  </w:tcBorders>
                  <w:shd w:val="clear" w:color="auto" w:fill="auto"/>
                  <w:noWrap w:val="0"/>
                  <w:vAlign w:val="center"/>
                </w:tcPr>
                <w:p w14:paraId="24549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c>
                <w:tcPr>
                  <w:tcW w:w="666" w:type="pct"/>
                  <w:tcBorders>
                    <w:tl2br w:val="nil"/>
                    <w:tr2bl w:val="nil"/>
                  </w:tcBorders>
                  <w:shd w:val="clear" w:color="auto" w:fill="auto"/>
                  <w:noWrap w:val="0"/>
                  <w:vAlign w:val="center"/>
                </w:tcPr>
                <w:p w14:paraId="3C550A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工具清洗</w:t>
                  </w:r>
                  <w:r>
                    <w:rPr>
                      <w:rFonts w:hint="default" w:ascii="Times New Roman" w:hAnsi="Times New Roman" w:eastAsia="宋体" w:cs="Times New Roman"/>
                      <w:color w:val="000000" w:themeColor="text1"/>
                      <w:sz w:val="21"/>
                      <w:szCs w:val="21"/>
                      <w:highlight w:val="none"/>
                      <w14:textFill>
                        <w14:solidFill>
                          <w14:schemeClr w14:val="tx1"/>
                        </w14:solidFill>
                      </w14:textFill>
                    </w:rPr>
                    <w:t>用水</w:t>
                  </w:r>
                </w:p>
              </w:tc>
              <w:tc>
                <w:tcPr>
                  <w:tcW w:w="479" w:type="pct"/>
                  <w:tcBorders>
                    <w:tl2br w:val="nil"/>
                    <w:tr2bl w:val="nil"/>
                  </w:tcBorders>
                  <w:shd w:val="clear" w:color="auto" w:fill="auto"/>
                  <w:noWrap w:val="0"/>
                  <w:vAlign w:val="center"/>
                </w:tcPr>
                <w:p w14:paraId="0F3EA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241" w:type="pct"/>
                  <w:tcBorders>
                    <w:tl2br w:val="nil"/>
                    <w:tr2bl w:val="nil"/>
                  </w:tcBorders>
                  <w:shd w:val="clear" w:color="auto" w:fill="auto"/>
                  <w:noWrap w:val="0"/>
                  <w:vAlign w:val="center"/>
                </w:tcPr>
                <w:p w14:paraId="1FFA8D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20" w:type="dxa"/>
                  <w:tcBorders>
                    <w:tl2br w:val="nil"/>
                    <w:tr2bl w:val="nil"/>
                  </w:tcBorders>
                  <w:shd w:val="clear" w:color="auto" w:fill="auto"/>
                  <w:noWrap w:val="0"/>
                  <w:vAlign w:val="center"/>
                </w:tcPr>
                <w:p w14:paraId="4B6F29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1095" w:type="dxa"/>
                  <w:tcBorders>
                    <w:tl2br w:val="nil"/>
                    <w:tr2bl w:val="nil"/>
                  </w:tcBorders>
                  <w:shd w:val="clear" w:color="auto" w:fill="auto"/>
                  <w:noWrap w:val="0"/>
                  <w:vAlign w:val="center"/>
                </w:tcPr>
                <w:p w14:paraId="45033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985" w:type="dxa"/>
                  <w:tcBorders>
                    <w:tl2br w:val="nil"/>
                    <w:tr2bl w:val="nil"/>
                  </w:tcBorders>
                  <w:shd w:val="clear" w:color="auto" w:fill="auto"/>
                  <w:noWrap w:val="0"/>
                  <w:vAlign w:val="center"/>
                </w:tcPr>
                <w:p w14:paraId="3C33D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w:t>
                  </w:r>
                </w:p>
              </w:tc>
              <w:tc>
                <w:tcPr>
                  <w:tcW w:w="1091" w:type="dxa"/>
                  <w:tcBorders>
                    <w:tl2br w:val="nil"/>
                    <w:tr2bl w:val="nil"/>
                  </w:tcBorders>
                  <w:shd w:val="clear" w:color="auto" w:fill="auto"/>
                  <w:noWrap w:val="0"/>
                  <w:vAlign w:val="center"/>
                </w:tcPr>
                <w:p w14:paraId="5FA30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135</w:t>
                  </w:r>
                </w:p>
              </w:tc>
            </w:tr>
            <w:tr w14:paraId="225CEB3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64" w:type="pct"/>
                  <w:vMerge w:val="continue"/>
                  <w:tcBorders>
                    <w:tl2br w:val="nil"/>
                    <w:tr2bl w:val="nil"/>
                  </w:tcBorders>
                  <w:shd w:val="clear" w:color="auto" w:fill="auto"/>
                  <w:noWrap w:val="0"/>
                  <w:vAlign w:val="center"/>
                </w:tcPr>
                <w:p w14:paraId="0A50F86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p>
              </w:tc>
              <w:tc>
                <w:tcPr>
                  <w:tcW w:w="666" w:type="pct"/>
                  <w:tcBorders>
                    <w:tl2br w:val="nil"/>
                    <w:tr2bl w:val="nil"/>
                  </w:tcBorders>
                  <w:shd w:val="clear" w:color="auto" w:fill="auto"/>
                  <w:noWrap w:val="0"/>
                  <w:vAlign w:val="center"/>
                </w:tcPr>
                <w:p w14:paraId="6E514B4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设备清洗水</w:t>
                  </w:r>
                </w:p>
              </w:tc>
              <w:tc>
                <w:tcPr>
                  <w:tcW w:w="479" w:type="pct"/>
                  <w:tcBorders>
                    <w:tl2br w:val="nil"/>
                    <w:tr2bl w:val="nil"/>
                  </w:tcBorders>
                  <w:noWrap w:val="0"/>
                  <w:vAlign w:val="center"/>
                </w:tcPr>
                <w:p w14:paraId="704E5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1241" w:type="pct"/>
                  <w:tcBorders>
                    <w:tl2br w:val="nil"/>
                    <w:tr2bl w:val="nil"/>
                  </w:tcBorders>
                  <w:shd w:val="clear" w:color="auto" w:fill="auto"/>
                  <w:noWrap w:val="0"/>
                  <w:vAlign w:val="center"/>
                </w:tcPr>
                <w:p w14:paraId="265A8A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L/个</w:t>
                  </w:r>
                </w:p>
              </w:tc>
              <w:tc>
                <w:tcPr>
                  <w:tcW w:w="1020" w:type="dxa"/>
                  <w:tcBorders>
                    <w:tl2br w:val="nil"/>
                    <w:tr2bl w:val="nil"/>
                  </w:tcBorders>
                  <w:noWrap w:val="0"/>
                  <w:vAlign w:val="center"/>
                </w:tcPr>
                <w:p w14:paraId="055D9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10.8</w:t>
                  </w:r>
                </w:p>
              </w:tc>
              <w:tc>
                <w:tcPr>
                  <w:tcW w:w="1095" w:type="dxa"/>
                  <w:tcBorders>
                    <w:tl2br w:val="nil"/>
                    <w:tr2bl w:val="nil"/>
                  </w:tcBorders>
                  <w:noWrap w:val="0"/>
                  <w:vAlign w:val="center"/>
                </w:tcPr>
                <w:p w14:paraId="688A24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3240</w:t>
                  </w:r>
                </w:p>
              </w:tc>
              <w:tc>
                <w:tcPr>
                  <w:tcW w:w="985" w:type="dxa"/>
                  <w:tcBorders>
                    <w:tl2br w:val="nil"/>
                    <w:tr2bl w:val="nil"/>
                  </w:tcBorders>
                  <w:noWrap w:val="0"/>
                  <w:vAlign w:val="center"/>
                </w:tcPr>
                <w:p w14:paraId="4C10F0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9.72</w:t>
                  </w:r>
                </w:p>
              </w:tc>
              <w:tc>
                <w:tcPr>
                  <w:tcW w:w="1091" w:type="dxa"/>
                  <w:tcBorders>
                    <w:tl2br w:val="nil"/>
                    <w:tr2bl w:val="nil"/>
                  </w:tcBorders>
                  <w:noWrap w:val="0"/>
                  <w:vAlign w:val="center"/>
                </w:tcPr>
                <w:p w14:paraId="5C076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2916</w:t>
                  </w:r>
                </w:p>
              </w:tc>
            </w:tr>
            <w:tr w14:paraId="2910A46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751" w:type="pct"/>
                  <w:gridSpan w:val="4"/>
                  <w:tcBorders>
                    <w:tl2br w:val="nil"/>
                    <w:tr2bl w:val="nil"/>
                  </w:tcBorders>
                  <w:shd w:val="clear" w:color="auto" w:fill="auto"/>
                  <w:noWrap w:val="0"/>
                  <w:vAlign w:val="center"/>
                </w:tcPr>
                <w:p w14:paraId="0569051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生产用水小计</w:t>
                  </w:r>
                </w:p>
              </w:tc>
              <w:tc>
                <w:tcPr>
                  <w:tcW w:w="1020" w:type="dxa"/>
                  <w:tcBorders>
                    <w:tl2br w:val="nil"/>
                    <w:tr2bl w:val="nil"/>
                  </w:tcBorders>
                  <w:noWrap w:val="0"/>
                  <w:vAlign w:val="center"/>
                </w:tcPr>
                <w:p w14:paraId="66900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209.91 </w:t>
                  </w:r>
                </w:p>
              </w:tc>
              <w:tc>
                <w:tcPr>
                  <w:tcW w:w="1095" w:type="dxa"/>
                  <w:tcBorders>
                    <w:tl2br w:val="nil"/>
                    <w:tr2bl w:val="nil"/>
                  </w:tcBorders>
                  <w:noWrap w:val="0"/>
                  <w:vAlign w:val="center"/>
                </w:tcPr>
                <w:p w14:paraId="72192C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61974.45 </w:t>
                  </w:r>
                </w:p>
              </w:tc>
              <w:tc>
                <w:tcPr>
                  <w:tcW w:w="985" w:type="dxa"/>
                  <w:tcBorders>
                    <w:tl2br w:val="nil"/>
                    <w:tr2bl w:val="nil"/>
                  </w:tcBorders>
                  <w:noWrap w:val="0"/>
                  <w:vAlign w:val="center"/>
                </w:tcPr>
                <w:p w14:paraId="50068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175.26 </w:t>
                  </w:r>
                </w:p>
              </w:tc>
              <w:tc>
                <w:tcPr>
                  <w:tcW w:w="1091" w:type="dxa"/>
                  <w:tcBorders>
                    <w:tl2br w:val="nil"/>
                    <w:tr2bl w:val="nil"/>
                  </w:tcBorders>
                  <w:noWrap w:val="0"/>
                  <w:vAlign w:val="center"/>
                </w:tcPr>
                <w:p w14:paraId="45F137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52579.25 </w:t>
                  </w:r>
                </w:p>
              </w:tc>
            </w:tr>
            <w:tr w14:paraId="5674D8A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51" w:type="pct"/>
                  <w:gridSpan w:val="4"/>
                  <w:tcBorders>
                    <w:tl2br w:val="nil"/>
                    <w:tr2bl w:val="nil"/>
                  </w:tcBorders>
                  <w:noWrap w:val="0"/>
                  <w:vAlign w:val="center"/>
                </w:tcPr>
                <w:p w14:paraId="50305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合计</w:t>
                  </w:r>
                </w:p>
              </w:tc>
              <w:tc>
                <w:tcPr>
                  <w:tcW w:w="1020" w:type="dxa"/>
                  <w:tcBorders>
                    <w:tl2br w:val="nil"/>
                    <w:tr2bl w:val="nil"/>
                  </w:tcBorders>
                  <w:noWrap w:val="0"/>
                  <w:vAlign w:val="center"/>
                </w:tcPr>
                <w:p w14:paraId="19B25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238.71 </w:t>
                  </w:r>
                </w:p>
              </w:tc>
              <w:tc>
                <w:tcPr>
                  <w:tcW w:w="1095" w:type="dxa"/>
                  <w:tcBorders>
                    <w:tl2br w:val="nil"/>
                    <w:tr2bl w:val="nil"/>
                  </w:tcBorders>
                  <w:noWrap w:val="0"/>
                  <w:vAlign w:val="center"/>
                </w:tcPr>
                <w:p w14:paraId="125F5F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70614.45 </w:t>
                  </w:r>
                </w:p>
              </w:tc>
              <w:tc>
                <w:tcPr>
                  <w:tcW w:w="985" w:type="dxa"/>
                  <w:tcBorders>
                    <w:tl2br w:val="nil"/>
                    <w:tr2bl w:val="nil"/>
                  </w:tcBorders>
                  <w:noWrap w:val="0"/>
                  <w:vAlign w:val="center"/>
                </w:tcPr>
                <w:p w14:paraId="5BB5D7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201.18 </w:t>
                  </w:r>
                </w:p>
              </w:tc>
              <w:tc>
                <w:tcPr>
                  <w:tcW w:w="1091" w:type="dxa"/>
                  <w:tcBorders>
                    <w:tl2br w:val="nil"/>
                    <w:tr2bl w:val="nil"/>
                  </w:tcBorders>
                  <w:noWrap w:val="0"/>
                  <w:vAlign w:val="center"/>
                </w:tcPr>
                <w:p w14:paraId="35A76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60355.25 </w:t>
                  </w:r>
                </w:p>
              </w:tc>
            </w:tr>
          </w:tbl>
          <w:p w14:paraId="13C35A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w:t>
            </w:r>
            <w:r>
              <w:rPr>
                <w:rFonts w:ascii="Times New Roman" w:hAnsi="Times New Roman" w:eastAsia="宋体" w:cs="Times New Roman"/>
                <w:color w:val="000000" w:themeColor="text1"/>
                <w:szCs w:val="21"/>
                <w:highlight w:val="none"/>
                <w14:textFill>
                  <w14:solidFill>
                    <w14:schemeClr w14:val="tx1"/>
                  </w14:solidFill>
                </w14:textFill>
              </w:rPr>
              <w:t>水</w:t>
            </w:r>
            <w:r>
              <w:rPr>
                <w:bCs/>
                <w:color w:val="000000" w:themeColor="text1"/>
                <w:szCs w:val="21"/>
                <w:highlight w:val="none"/>
                <w14:textFill>
                  <w14:solidFill>
                    <w14:schemeClr w14:val="tx1"/>
                  </w14:solidFill>
                </w14:textFill>
              </w:rPr>
              <w:t>平衡详见图</w:t>
            </w:r>
            <w:r>
              <w:rPr>
                <w:rFonts w:hint="eastAsia"/>
                <w:bCs/>
                <w:color w:val="000000" w:themeColor="text1"/>
                <w:szCs w:val="21"/>
                <w:highlight w:val="none"/>
                <w14:textFill>
                  <w14:solidFill>
                    <w14:schemeClr w14:val="tx1"/>
                  </w14:solidFill>
                </w14:textFill>
              </w:rPr>
              <w:t>2.</w:t>
            </w:r>
            <w:r>
              <w:rPr>
                <w:rFonts w:hint="eastAsia"/>
                <w:bCs/>
                <w:color w:val="000000" w:themeColor="text1"/>
                <w:szCs w:val="21"/>
                <w:highlight w:val="none"/>
                <w:lang w:val="en-US" w:eastAsia="zh-CN"/>
                <w14:textFill>
                  <w14:solidFill>
                    <w14:schemeClr w14:val="tx1"/>
                  </w14:solidFill>
                </w14:textFill>
              </w:rPr>
              <w:t>8-</w:t>
            </w:r>
            <w:r>
              <w:rPr>
                <w:rFonts w:hint="eastAsia"/>
                <w:bCs/>
                <w:color w:val="000000" w:themeColor="text1"/>
                <w:szCs w:val="21"/>
                <w:highlight w:val="none"/>
                <w14:textFill>
                  <w14:solidFill>
                    <w14:schemeClr w14:val="tx1"/>
                  </w14:solidFill>
                </w14:textFill>
              </w:rPr>
              <w:t>1</w:t>
            </w:r>
            <w:r>
              <w:rPr>
                <w:bCs/>
                <w:color w:val="000000" w:themeColor="text1"/>
                <w:szCs w:val="21"/>
                <w:highlight w:val="none"/>
                <w14:textFill>
                  <w14:solidFill>
                    <w14:schemeClr w14:val="tx1"/>
                  </w14:solidFill>
                </w14:textFill>
              </w:rPr>
              <w:t>。</w:t>
            </w:r>
          </w:p>
          <w:p w14:paraId="07F947E4">
            <w:pPr>
              <w:spacing w:before="120" w:beforeLines="50"/>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5" o:spt="75" type="#_x0000_t75" style="height:459.2pt;width:457.15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14:paraId="3FBF2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图2</w:t>
            </w:r>
            <w:r>
              <w:rPr>
                <w:rFonts w:hint="eastAsia"/>
                <w:b/>
                <w:bCs/>
                <w:color w:val="000000" w:themeColor="text1"/>
                <w:highlight w:val="none"/>
                <w:lang w:val="en-US" w:eastAsia="zh-CN"/>
                <w14:textFill>
                  <w14:solidFill>
                    <w14:schemeClr w14:val="tx1"/>
                  </w14:solidFill>
                </w14:textFill>
              </w:rPr>
              <w:t>.8</w:t>
            </w:r>
            <w:r>
              <w:rPr>
                <w:rFonts w:hint="eastAsia"/>
                <w:b/>
                <w:bCs/>
                <w:color w:val="000000" w:themeColor="text1"/>
                <w:highlight w:val="none"/>
                <w14:textFill>
                  <w14:solidFill>
                    <w14:schemeClr w14:val="tx1"/>
                  </w14:solidFill>
                </w14:textFill>
              </w:rPr>
              <w:t>-1 项目</w:t>
            </w:r>
            <w:r>
              <w:rPr>
                <w:b/>
                <w:bCs/>
                <w:color w:val="000000" w:themeColor="text1"/>
                <w:highlight w:val="none"/>
                <w14:textFill>
                  <w14:solidFill>
                    <w14:schemeClr w14:val="tx1"/>
                  </w14:solidFill>
                </w14:textFill>
              </w:rPr>
              <w:t>水平衡图</w:t>
            </w:r>
            <w:r>
              <w:rPr>
                <w:rFonts w:hint="eastAsia"/>
                <w:b/>
                <w:bCs/>
                <w:color w:val="000000" w:themeColor="text1"/>
                <w:highlight w:val="none"/>
                <w14:textFill>
                  <w14:solidFill>
                    <w14:schemeClr w14:val="tx1"/>
                  </w14:solidFill>
                </w14:textFill>
              </w:rPr>
              <w:t xml:space="preserve">  单位 </w:t>
            </w:r>
            <w:r>
              <w:rPr>
                <w:b/>
                <w:bCs/>
                <w:color w:val="000000" w:themeColor="text1"/>
                <w:highlight w:val="none"/>
                <w14:textFill>
                  <w14:solidFill>
                    <w14:schemeClr w14:val="tx1"/>
                  </w14:solidFill>
                </w14:textFill>
              </w:rPr>
              <w:t>m</w:t>
            </w:r>
            <w:r>
              <w:rPr>
                <w:b/>
                <w:bCs/>
                <w:color w:val="000000" w:themeColor="text1"/>
                <w:highlight w:val="none"/>
                <w:vertAlign w:val="superscript"/>
                <w14:textFill>
                  <w14:solidFill>
                    <w14:schemeClr w14:val="tx1"/>
                  </w14:solidFill>
                </w14:textFill>
              </w:rPr>
              <w:t>3</w:t>
            </w:r>
            <w:r>
              <w:rPr>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d</w:t>
            </w:r>
          </w:p>
        </w:tc>
      </w:tr>
      <w:tr w14:paraId="7CBAA1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31" w:hRule="atLeast"/>
          <w:jc w:val="center"/>
        </w:trPr>
        <w:tc>
          <w:tcPr>
            <w:tcW w:w="455" w:type="dxa"/>
            <w:vAlign w:val="center"/>
          </w:tcPr>
          <w:p w14:paraId="122E04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工艺流程和产排污环节</w:t>
            </w:r>
          </w:p>
        </w:tc>
        <w:tc>
          <w:tcPr>
            <w:tcW w:w="9507" w:type="dxa"/>
            <w:gridSpan w:val="2"/>
          </w:tcPr>
          <w:p w14:paraId="12C27832">
            <w:pPr>
              <w:keepNext w:val="0"/>
              <w:keepLines w:val="0"/>
              <w:pageBreakBefore w:val="0"/>
              <w:kinsoku/>
              <w:wordWrap/>
              <w:overflowPunct/>
              <w:topLinePunct w:val="0"/>
              <w:autoSpaceDE/>
              <w:autoSpaceDN/>
              <w:bidi w:val="0"/>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2.9</w:t>
            </w:r>
            <w:r>
              <w:rPr>
                <w:b/>
                <w:color w:val="000000" w:themeColor="text1"/>
                <w:highlight w:val="none"/>
                <w14:textFill>
                  <w14:solidFill>
                    <w14:schemeClr w14:val="tx1"/>
                  </w14:solidFill>
                </w14:textFill>
              </w:rPr>
              <w:t>施工期工艺流程</w:t>
            </w:r>
          </w:p>
          <w:p w14:paraId="36A11B8C">
            <w:pPr>
              <w:spacing w:line="360" w:lineRule="auto"/>
              <w:ind w:firstLine="525"/>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宋体" w:hAnsi="宋体" w:eastAsia="宋体"/>
                <w:bCs/>
                <w:color w:val="000000" w:themeColor="text1"/>
                <w:sz w:val="24"/>
                <w:highlight w:val="none"/>
                <w:lang w:eastAsia="zh-CN"/>
                <w14:textFill>
                  <w14:solidFill>
                    <w14:schemeClr w14:val="tx1"/>
                  </w14:solidFill>
                </w14:textFill>
              </w:rPr>
              <w:t>本次</w:t>
            </w:r>
            <w:r>
              <w:rPr>
                <w:rFonts w:hint="eastAsia" w:ascii="宋体" w:hAnsi="宋体" w:eastAsia="宋体"/>
                <w:bCs/>
                <w:color w:val="000000" w:themeColor="text1"/>
                <w:sz w:val="24"/>
                <w:highlight w:val="none"/>
                <w:lang w:val="en-US" w:eastAsia="zh-CN"/>
                <w14:textFill>
                  <w14:solidFill>
                    <w14:schemeClr w14:val="tx1"/>
                  </w14:solidFill>
                </w14:textFill>
              </w:rPr>
              <w:t>拟</w:t>
            </w:r>
            <w:r>
              <w:rPr>
                <w:rFonts w:hint="eastAsia" w:ascii="宋体" w:hAnsi="宋体" w:eastAsia="宋体"/>
                <w:bCs/>
                <w:color w:val="000000" w:themeColor="text1"/>
                <w:sz w:val="24"/>
                <w:highlight w:val="none"/>
                <w:lang w:eastAsia="zh-CN"/>
                <w14:textFill>
                  <w14:solidFill>
                    <w14:schemeClr w14:val="tx1"/>
                  </w14:solidFill>
                </w14:textFill>
              </w:rPr>
              <w:t>建</w:t>
            </w: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在空地</w:t>
            </w:r>
            <w:r>
              <w:rPr>
                <w:rFonts w:hint="default" w:ascii="Times New Roman" w:hAnsi="Times New Roman" w:eastAsia="宋体" w:cs="Times New Roman"/>
                <w:color w:val="000000" w:themeColor="text1"/>
                <w:sz w:val="24"/>
                <w:highlight w:val="none"/>
                <w14:textFill>
                  <w14:solidFill>
                    <w14:schemeClr w14:val="tx1"/>
                  </w14:solidFill>
                </w14:textFill>
              </w:rPr>
              <w:t>进行施工，该地块已完成三通一平工作，项目施工期仅进行厂房建设、配套工程施工及设备进场安装等，对周边环境影响较小</w:t>
            </w:r>
            <w:r>
              <w:rPr>
                <w:rFonts w:hint="eastAsia" w:ascii="宋体" w:hAnsi="宋体"/>
                <w:bCs/>
                <w:color w:val="000000" w:themeColor="text1"/>
                <w:sz w:val="24"/>
                <w:highlight w:val="none"/>
                <w14:textFill>
                  <w14:solidFill>
                    <w14:schemeClr w14:val="tx1"/>
                  </w14:solidFill>
                </w14:textFill>
              </w:rPr>
              <w:t>，施工期</w:t>
            </w:r>
            <w:r>
              <w:rPr>
                <w:rFonts w:hint="eastAsia" w:hAnsi="宋体"/>
                <w:bCs/>
                <w:color w:val="000000" w:themeColor="text1"/>
                <w:sz w:val="24"/>
                <w:highlight w:val="none"/>
                <w14:textFill>
                  <w14:solidFill>
                    <w14:schemeClr w14:val="tx1"/>
                  </w14:solidFill>
                </w14:textFill>
              </w:rPr>
              <w:t>具体工艺流程如下</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2D176D54">
            <w:pPr>
              <w:pStyle w:val="2"/>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INCLUDEPICTURE "C:\\Users\\ADMINI~1\\AppData\\Local\\Temp\\ksohtml2540\\wps2.jpg" \* MERGEFORMATINET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201285" cy="1429385"/>
                  <wp:effectExtent l="0" t="0" r="10795" b="3175"/>
                  <wp:docPr id="1" name="图片 8"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wps2"/>
                          <pic:cNvPicPr>
                            <a:picLocks noChangeAspect="1"/>
                          </pic:cNvPicPr>
                        </pic:nvPicPr>
                        <pic:blipFill>
                          <a:blip r:embed="rId13"/>
                          <a:stretch>
                            <a:fillRect/>
                          </a:stretch>
                        </pic:blipFill>
                        <pic:spPr>
                          <a:xfrm>
                            <a:off x="0" y="0"/>
                            <a:ext cx="5201285" cy="142938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fldChar w:fldCharType="end"/>
            </w:r>
          </w:p>
          <w:p w14:paraId="0E79F205">
            <w:pPr>
              <w:tabs>
                <w:tab w:val="left" w:pos="612"/>
              </w:tabs>
              <w:spacing w:line="360" w:lineRule="auto"/>
              <w:contextualSpacing/>
              <w:jc w:val="center"/>
              <w:outlineLvl w:val="1"/>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highlight w:val="none"/>
                <w14:textFill>
                  <w14:solidFill>
                    <w14:schemeClr w14:val="tx1"/>
                  </w14:solidFill>
                </w14:textFill>
              </w:rPr>
              <w:t>图2</w:t>
            </w: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w:t>
            </w:r>
            <w:r>
              <w:rPr>
                <w:rFonts w:hint="eastAsia" w:cs="Times New Roman"/>
                <w:b/>
                <w:color w:val="000000" w:themeColor="text1"/>
                <w:kern w:val="0"/>
                <w:sz w:val="24"/>
                <w:highlight w:val="none"/>
                <w:lang w:val="en-US" w:eastAsia="zh-CN"/>
                <w14:textFill>
                  <w14:solidFill>
                    <w14:schemeClr w14:val="tx1"/>
                  </w14:solidFill>
                </w14:textFill>
              </w:rPr>
              <w:t>9</w:t>
            </w:r>
            <w:r>
              <w:rPr>
                <w:rFonts w:hint="default" w:ascii="Times New Roman" w:hAnsi="Times New Roman" w:eastAsia="宋体" w:cs="Times New Roman"/>
                <w:b/>
                <w:color w:val="000000" w:themeColor="text1"/>
                <w:kern w:val="0"/>
                <w:sz w:val="24"/>
                <w:highlight w:val="none"/>
                <w14:textFill>
                  <w14:solidFill>
                    <w14:schemeClr w14:val="tx1"/>
                  </w14:solidFill>
                </w14:textFill>
              </w:rPr>
              <w:t>-</w:t>
            </w: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 xml:space="preserve">1 </w:t>
            </w:r>
            <w:r>
              <w:rPr>
                <w:rFonts w:hint="default" w:ascii="Times New Roman" w:hAnsi="Times New Roman" w:eastAsia="宋体" w:cs="Times New Roman"/>
                <w:b/>
                <w:color w:val="000000" w:themeColor="text1"/>
                <w:kern w:val="0"/>
                <w:sz w:val="24"/>
                <w:highlight w:val="none"/>
                <w14:textFill>
                  <w14:solidFill>
                    <w14:schemeClr w14:val="tx1"/>
                  </w14:solidFill>
                </w14:textFill>
              </w:rPr>
              <w:t>施工工艺及产污环节示意图</w:t>
            </w:r>
          </w:p>
          <w:p w14:paraId="3AD7E6A7">
            <w:pPr>
              <w:keepNext w:val="0"/>
              <w:keepLines w:val="0"/>
              <w:pageBreakBefore w:val="0"/>
              <w:kinsoku/>
              <w:wordWrap/>
              <w:overflowPunct/>
              <w:topLinePunct w:val="0"/>
              <w:autoSpaceDE/>
              <w:autoSpaceDN/>
              <w:bidi w:val="0"/>
              <w:spacing w:line="360" w:lineRule="auto"/>
              <w:ind w:left="0" w:leftChars="0"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2.10</w:t>
            </w:r>
            <w:r>
              <w:rPr>
                <w:b/>
                <w:color w:val="000000" w:themeColor="text1"/>
                <w:highlight w:val="none"/>
                <w14:textFill>
                  <w14:solidFill>
                    <w14:schemeClr w14:val="tx1"/>
                  </w14:solidFill>
                </w14:textFill>
              </w:rPr>
              <w:t>运营期工艺流程</w:t>
            </w:r>
          </w:p>
          <w:p w14:paraId="009784E9">
            <w:pPr>
              <w:keepNext w:val="0"/>
              <w:keepLines w:val="0"/>
              <w:pageBreakBefore w:val="0"/>
              <w:kinsoku/>
              <w:wordWrap/>
              <w:overflowPunct/>
              <w:topLinePunct w:val="0"/>
              <w:autoSpaceDE/>
              <w:autoSpaceDN/>
              <w:bidi w:val="0"/>
              <w:spacing w:line="360" w:lineRule="auto"/>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共有</w:t>
            </w:r>
            <w:r>
              <w:rPr>
                <w:rFonts w:hint="eastAsia"/>
                <w:color w:val="000000" w:themeColor="text1"/>
                <w:highlight w:val="none"/>
                <w:lang w:val="en-US" w:eastAsia="zh-CN"/>
                <w14:textFill>
                  <w14:solidFill>
                    <w14:schemeClr w14:val="tx1"/>
                  </w14:solidFill>
                </w14:textFill>
              </w:rPr>
              <w:t>1条生产线，涨发毛肚、鸭（鹅）肠、黄喉、蹄筋、牛鞭生产线。研发室主要</w:t>
            </w:r>
            <w:r>
              <w:rPr>
                <w:rFonts w:hint="eastAsia"/>
                <w:color w:val="000000" w:themeColor="text1"/>
                <w:highlight w:val="none"/>
                <w:lang w:eastAsia="zh-CN"/>
                <w14:textFill>
                  <w14:solidFill>
                    <w14:schemeClr w14:val="tx1"/>
                  </w14:solidFill>
                </w14:textFill>
              </w:rPr>
              <w:t>用于研发涨发新产品或通过改变生产条件提高产品的产量、质量，研发工艺与车间生产工艺流程一致</w:t>
            </w:r>
            <w:r>
              <w:rPr>
                <w:rFonts w:hint="eastAsia"/>
                <w:color w:val="000000" w:themeColor="text1"/>
                <w:highlight w:val="none"/>
                <w:lang w:val="en-US" w:eastAsia="zh-CN"/>
                <w14:textFill>
                  <w14:solidFill>
                    <w14:schemeClr w14:val="tx1"/>
                  </w14:solidFill>
                </w14:textFill>
              </w:rPr>
              <w:t>。主要</w:t>
            </w:r>
            <w:r>
              <w:rPr>
                <w:color w:val="000000" w:themeColor="text1"/>
                <w:highlight w:val="none"/>
                <w14:textFill>
                  <w14:solidFill>
                    <w14:schemeClr w14:val="tx1"/>
                  </w14:solidFill>
                </w14:textFill>
              </w:rPr>
              <w:t>工艺流程如下。</w:t>
            </w:r>
          </w:p>
          <w:p w14:paraId="04A692B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6" o:spt="75" type="#_x0000_t75" style="height:348.95pt;width:243.2pt;" o:ole="t" filled="f" o:preferrelative="t" stroked="f" coordsize="21600,21600">
                  <v:path/>
                  <v:fill on="f" focussize="0,0"/>
                  <v:stroke on="f"/>
                  <v:imagedata r:id="rId15" o:title=""/>
                  <o:lock v:ext="edit" aspectratio="t"/>
                  <w10:wrap type="none"/>
                  <w10:anchorlock/>
                </v:shape>
                <o:OLEObject Type="Embed" ProgID="Visio.Drawing.11" ShapeID="_x0000_i1026" DrawAspect="Content" ObjectID="_1468075726" r:id="rId14">
                  <o:LockedField>false</o:LockedField>
                </o:OLEObject>
              </w:object>
            </w:r>
          </w:p>
          <w:p w14:paraId="7ABA9BB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图2</w:t>
            </w:r>
            <w:r>
              <w:rPr>
                <w:rFonts w:hint="eastAsia"/>
                <w:b/>
                <w:bCs/>
                <w:color w:val="000000" w:themeColor="text1"/>
                <w:highlight w:val="none"/>
                <w:lang w:val="en-US" w:eastAsia="zh-CN"/>
                <w14:textFill>
                  <w14:solidFill>
                    <w14:schemeClr w14:val="tx1"/>
                  </w14:solidFill>
                </w14:textFill>
              </w:rPr>
              <w:t>.10</w:t>
            </w:r>
            <w:r>
              <w:rPr>
                <w:rFonts w:hint="eastAsia"/>
                <w:b/>
                <w:bCs/>
                <w:color w:val="000000" w:themeColor="text1"/>
                <w:highlight w:val="none"/>
                <w14:textFill>
                  <w14:solidFill>
                    <w14:schemeClr w14:val="tx1"/>
                  </w14:solidFill>
                </w14:textFill>
              </w:rPr>
              <w:t xml:space="preserve">-1 </w:t>
            </w:r>
            <w:r>
              <w:rPr>
                <w:rFonts w:hint="eastAsia"/>
                <w:b/>
                <w:bCs/>
                <w:color w:val="000000" w:themeColor="text1"/>
                <w:highlight w:val="none"/>
                <w:lang w:val="en-US" w:eastAsia="zh-CN"/>
                <w14:textFill>
                  <w14:solidFill>
                    <w14:schemeClr w14:val="tx1"/>
                  </w14:solidFill>
                </w14:textFill>
              </w:rPr>
              <w:t>生产线</w:t>
            </w:r>
            <w:r>
              <w:rPr>
                <w:rFonts w:hint="eastAsia"/>
                <w:b/>
                <w:bCs/>
                <w:color w:val="000000" w:themeColor="text1"/>
                <w:highlight w:val="none"/>
                <w14:textFill>
                  <w14:solidFill>
                    <w14:schemeClr w14:val="tx1"/>
                  </w14:solidFill>
                </w14:textFill>
              </w:rPr>
              <w:t>工艺流程及产污环节示意图</w:t>
            </w:r>
          </w:p>
          <w:p w14:paraId="78AE25CB">
            <w:pPr>
              <w:keepNext w:val="0"/>
              <w:keepLines w:val="0"/>
              <w:pageBreakBefore w:val="0"/>
              <w:kinsoku/>
              <w:wordWrap/>
              <w:overflowPunct/>
              <w:topLinePunct w:val="0"/>
              <w:autoSpaceDE/>
              <w:autoSpaceDN/>
              <w:bidi w:val="0"/>
              <w:spacing w:line="360" w:lineRule="auto"/>
              <w:ind w:firstLine="482" w:firstLineChars="200"/>
              <w:textAlignment w:val="auto"/>
              <w:rPr>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1、</w:t>
            </w:r>
            <w:r>
              <w:rPr>
                <w:b/>
                <w:bCs/>
                <w:color w:val="000000" w:themeColor="text1"/>
                <w:szCs w:val="21"/>
                <w:highlight w:val="none"/>
                <w14:textFill>
                  <w14:solidFill>
                    <w14:schemeClr w14:val="tx1"/>
                  </w14:solidFill>
                </w14:textFill>
              </w:rPr>
              <w:t>工艺说明：</w:t>
            </w:r>
          </w:p>
          <w:p w14:paraId="4012E1D3">
            <w:pPr>
              <w:keepNext w:val="0"/>
              <w:keepLines w:val="0"/>
              <w:pageBreakBefore w:val="0"/>
              <w:kinsoku/>
              <w:wordWrap/>
              <w:overflowPunct/>
              <w:topLinePunct w:val="0"/>
              <w:autoSpaceDE/>
              <w:autoSpaceDN/>
              <w:bidi w:val="0"/>
              <w:spacing w:line="360" w:lineRule="auto"/>
              <w:ind w:firstLine="480"/>
              <w:textAlignment w:val="auto"/>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1</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原料验收：生产用黄喉、鹅肠、鸭肠、蹄筋、牛鞭</w:t>
            </w:r>
            <w:r>
              <w:rPr>
                <w:rFonts w:hint="eastAsia"/>
                <w:color w:val="000000" w:themeColor="text1"/>
                <w:highlight w:val="none"/>
                <w:lang w:eastAsia="zh-CN"/>
                <w14:textFill>
                  <w14:solidFill>
                    <w14:schemeClr w14:val="tx1"/>
                  </w14:solidFill>
                </w14:textFill>
              </w:rPr>
              <w:t>、毛肚</w:t>
            </w:r>
            <w:r>
              <w:rPr>
                <w:rFonts w:hint="eastAsia" w:eastAsia="宋体"/>
                <w:color w:val="000000" w:themeColor="text1"/>
                <w:highlight w:val="none"/>
                <w14:textFill>
                  <w14:solidFill>
                    <w14:schemeClr w14:val="tx1"/>
                  </w14:solidFill>
                </w14:textFill>
              </w:rPr>
              <w:t>必须选用正规渠道购进的具有检验检疫合格证明的产品，</w:t>
            </w:r>
            <w:r>
              <w:rPr>
                <w:rFonts w:hint="eastAsia"/>
                <w:color w:val="000000" w:themeColor="text1"/>
                <w:highlight w:val="none"/>
                <w:lang w:val="en-US" w:eastAsia="zh-CN"/>
                <w14:textFill>
                  <w14:solidFill>
                    <w14:schemeClr w14:val="tx1"/>
                  </w14:solidFill>
                </w14:textFill>
              </w:rPr>
              <w:t>原料进厂后，通过感官验收合格后</w:t>
            </w:r>
            <w:r>
              <w:rPr>
                <w:rFonts w:hint="eastAsia" w:eastAsia="宋体"/>
                <w:color w:val="000000" w:themeColor="text1"/>
                <w:highlight w:val="none"/>
                <w14:textFill>
                  <w14:solidFill>
                    <w14:schemeClr w14:val="tx1"/>
                  </w14:solidFill>
                </w14:textFill>
              </w:rPr>
              <w:t>方可入厂投用，若实行生产许可证管理的原辅料必须选择具</w:t>
            </w:r>
            <w:r>
              <w:rPr>
                <w:rFonts w:hint="eastAsia"/>
                <w:color w:val="000000" w:themeColor="text1"/>
                <w:highlight w:val="none"/>
                <w:lang w:val="en-US" w:eastAsia="zh-CN"/>
                <w14:textFill>
                  <w14:solidFill>
                    <w14:schemeClr w14:val="tx1"/>
                  </w14:solidFill>
                </w14:textFill>
              </w:rPr>
              <w:t>有</w:t>
            </w:r>
            <w:r>
              <w:rPr>
                <w:rFonts w:hint="eastAsia" w:eastAsia="宋体"/>
                <w:color w:val="000000" w:themeColor="text1"/>
                <w:highlight w:val="none"/>
                <w14:textFill>
                  <w14:solidFill>
                    <w14:schemeClr w14:val="tx1"/>
                  </w14:solidFill>
                </w14:textFill>
              </w:rPr>
              <w:t>生产许可证资质的企业生产的合格产品。</w:t>
            </w:r>
          </w:p>
          <w:p w14:paraId="3F5C4691">
            <w:pPr>
              <w:keepNext w:val="0"/>
              <w:keepLines w:val="0"/>
              <w:pageBreakBefore w:val="0"/>
              <w:kinsoku/>
              <w:wordWrap/>
              <w:overflowPunct/>
              <w:topLinePunct w:val="0"/>
              <w:autoSpaceDE/>
              <w:autoSpaceDN/>
              <w:bidi w:val="0"/>
              <w:spacing w:line="360" w:lineRule="auto"/>
              <w:ind w:firstLine="480"/>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2</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解冻</w:t>
            </w:r>
            <w:r>
              <w:rPr>
                <w:rFonts w:hint="eastAsia"/>
                <w:color w:val="000000" w:themeColor="text1"/>
                <w:highlight w:val="none"/>
                <w:lang w:eastAsia="zh-CN"/>
                <w14:textFill>
                  <w14:solidFill>
                    <w14:schemeClr w14:val="tx1"/>
                  </w14:solidFill>
                </w14:textFill>
              </w:rPr>
              <w:t>、</w:t>
            </w:r>
            <w:r>
              <w:rPr>
                <w:rFonts w:hint="eastAsia" w:eastAsia="宋体"/>
                <w:color w:val="000000" w:themeColor="text1"/>
                <w:highlight w:val="none"/>
                <w:lang w:eastAsia="zh-CN"/>
                <w14:textFill>
                  <w14:solidFill>
                    <w14:schemeClr w14:val="tx1"/>
                  </w14:solidFill>
                </w14:textFill>
              </w:rPr>
              <w:t>清洗</w:t>
            </w:r>
            <w:r>
              <w:rPr>
                <w:rFonts w:hint="eastAsia" w:eastAsia="宋体"/>
                <w:color w:val="000000" w:themeColor="text1"/>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将</w:t>
            </w:r>
            <w:r>
              <w:rPr>
                <w:rFonts w:hint="eastAsia" w:eastAsia="宋体"/>
                <w:color w:val="000000" w:themeColor="text1"/>
                <w:highlight w:val="none"/>
                <w14:textFill>
                  <w14:solidFill>
                    <w14:schemeClr w14:val="tx1"/>
                  </w14:solidFill>
                </w14:textFill>
              </w:rPr>
              <w:t>黄喉、鹅肠、鸭肠、蹄筋、牛鞭</w:t>
            </w:r>
            <w:r>
              <w:rPr>
                <w:rFonts w:hint="eastAsia"/>
                <w:color w:val="000000" w:themeColor="text1"/>
                <w:highlight w:val="none"/>
                <w:lang w:eastAsia="zh-CN"/>
                <w14:textFill>
                  <w14:solidFill>
                    <w14:schemeClr w14:val="tx1"/>
                  </w14:solidFill>
                </w14:textFill>
              </w:rPr>
              <w:t>、毛肚</w:t>
            </w:r>
            <w:r>
              <w:rPr>
                <w:rFonts w:hint="eastAsia"/>
                <w:color w:val="000000" w:themeColor="text1"/>
                <w:sz w:val="24"/>
                <w:highlight w:val="none"/>
                <w:lang w:eastAsia="zh-CN"/>
                <w14:textFill>
                  <w14:solidFill>
                    <w14:schemeClr w14:val="tx1"/>
                  </w14:solidFill>
                </w14:textFill>
              </w:rPr>
              <w:t>食材由</w:t>
            </w:r>
            <w:r>
              <w:rPr>
                <w:rFonts w:hint="eastAsia"/>
                <w:color w:val="000000" w:themeColor="text1"/>
                <w:sz w:val="24"/>
                <w:szCs w:val="24"/>
                <w:highlight w:val="none"/>
                <w:lang w:eastAsia="zh-CN"/>
                <w14:textFill>
                  <w14:solidFill>
                    <w14:schemeClr w14:val="tx1"/>
                  </w14:solidFill>
                </w14:textFill>
              </w:rPr>
              <w:t>工人</w:t>
            </w:r>
            <w:r>
              <w:rPr>
                <w:rFonts w:hint="eastAsia"/>
                <w:color w:val="000000" w:themeColor="text1"/>
                <w:sz w:val="24"/>
                <w:highlight w:val="none"/>
                <w:lang w:eastAsia="zh-CN"/>
                <w14:textFill>
                  <w14:solidFill>
                    <w14:schemeClr w14:val="tx1"/>
                  </w14:solidFill>
                </w14:textFill>
              </w:rPr>
              <w:t>从冷库中转运至解冻桶自然解冻，解冻</w:t>
            </w:r>
            <w:r>
              <w:rPr>
                <w:rFonts w:hint="eastAsia"/>
                <w:color w:val="000000" w:themeColor="text1"/>
                <w:sz w:val="24"/>
                <w:highlight w:val="none"/>
                <w:lang w:val="en-US" w:eastAsia="zh-CN"/>
                <w14:textFill>
                  <w14:solidFill>
                    <w14:schemeClr w14:val="tx1"/>
                  </w14:solidFill>
                </w14:textFill>
              </w:rPr>
              <w:t>后废水外排，在解冻桶内加入</w:t>
            </w:r>
            <w:r>
              <w:rPr>
                <w:rFonts w:hint="eastAsia"/>
                <w:color w:val="000000" w:themeColor="text1"/>
                <w:sz w:val="24"/>
                <w:highlight w:val="none"/>
                <w:lang w:eastAsia="zh-CN"/>
                <w14:textFill>
                  <w14:solidFill>
                    <w14:schemeClr w14:val="tx1"/>
                  </w14:solidFill>
                </w14:textFill>
              </w:rPr>
              <w:t>自来水进行</w:t>
            </w:r>
            <w:r>
              <w:rPr>
                <w:rFonts w:hint="eastAsia"/>
                <w:color w:val="000000" w:themeColor="text1"/>
                <w:sz w:val="24"/>
                <w:highlight w:val="none"/>
                <w:lang w:val="en-US" w:eastAsia="zh-CN"/>
                <w14:textFill>
                  <w14:solidFill>
                    <w14:schemeClr w14:val="tx1"/>
                  </w14:solidFill>
                </w14:textFill>
              </w:rPr>
              <w:t>曝气</w:t>
            </w:r>
            <w:r>
              <w:rPr>
                <w:rFonts w:hint="eastAsia"/>
                <w:color w:val="000000" w:themeColor="text1"/>
                <w:sz w:val="24"/>
                <w:highlight w:val="none"/>
                <w:lang w:eastAsia="zh-CN"/>
                <w14:textFill>
                  <w14:solidFill>
                    <w14:schemeClr w14:val="tx1"/>
                  </w14:solidFill>
                </w14:textFill>
              </w:rPr>
              <w:t>清洗</w:t>
            </w:r>
            <w:r>
              <w:rPr>
                <w:rFonts w:hint="eastAsia"/>
                <w:color w:val="000000" w:themeColor="text1"/>
                <w:highlight w:val="none"/>
                <w:lang w:val="en-US" w:eastAsia="zh-CN"/>
                <w14:textFill>
                  <w14:solidFill>
                    <w14:schemeClr w14:val="tx1"/>
                  </w14:solidFill>
                </w14:textFill>
              </w:rPr>
              <w:t>后</w:t>
            </w:r>
            <w:r>
              <w:rPr>
                <w:rFonts w:hint="eastAsia"/>
                <w:color w:val="000000" w:themeColor="text1"/>
                <w:sz w:val="24"/>
                <w:highlight w:val="none"/>
                <w:lang w:val="en-US" w:eastAsia="zh-CN"/>
                <w14:textFill>
                  <w14:solidFill>
                    <w14:schemeClr w14:val="tx1"/>
                  </w14:solidFill>
                </w14:textFill>
              </w:rPr>
              <w:t>外排</w:t>
            </w:r>
            <w:r>
              <w:rPr>
                <w:rFonts w:hint="eastAsia" w:eastAsia="宋体"/>
                <w:color w:val="000000" w:themeColor="text1"/>
                <w:highlight w:val="none"/>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每天使用解冻</w:t>
            </w:r>
            <w:r>
              <w:rPr>
                <w:rFonts w:hint="eastAsia"/>
                <w:color w:val="000000" w:themeColor="text1"/>
                <w:sz w:val="24"/>
                <w:highlight w:val="none"/>
                <w:lang w:val="en-US" w:eastAsia="zh-CN"/>
                <w14:textFill>
                  <w14:solidFill>
                    <w14:schemeClr w14:val="tx1"/>
                  </w14:solidFill>
                </w14:textFill>
              </w:rPr>
              <w:t>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后，使用洗洁精及自来水</w:t>
            </w:r>
            <w:r>
              <w:rPr>
                <w:rFonts w:hint="eastAsia" w:cs="Times New Roman"/>
                <w:bCs/>
                <w:color w:val="000000" w:themeColor="text1"/>
                <w:sz w:val="24"/>
                <w:szCs w:val="24"/>
                <w:highlight w:val="none"/>
                <w:lang w:val="en-US" w:eastAsia="zh-CN"/>
                <w14:textFill>
                  <w14:solidFill>
                    <w14:schemeClr w14:val="tx1"/>
                  </w14:solidFill>
                </w14:textFill>
              </w:rPr>
              <w:t>对解冻</w:t>
            </w:r>
            <w:r>
              <w:rPr>
                <w:rFonts w:hint="eastAsia"/>
                <w:color w:val="000000" w:themeColor="text1"/>
                <w:sz w:val="24"/>
                <w:highlight w:val="none"/>
                <w:lang w:val="en-US" w:eastAsia="zh-CN"/>
                <w14:textFill>
                  <w14:solidFill>
                    <w14:schemeClr w14:val="tx1"/>
                  </w14:solidFill>
                </w14:textFill>
              </w:rPr>
              <w:t>桶</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清洗。</w:t>
            </w:r>
            <w:r>
              <w:rPr>
                <w:rFonts w:hint="eastAsia" w:eastAsia="宋体"/>
                <w:color w:val="000000" w:themeColor="text1"/>
                <w:highlight w:val="none"/>
                <w14:textFill>
                  <w14:solidFill>
                    <w14:schemeClr w14:val="tx1"/>
                  </w14:solidFill>
                </w14:textFill>
              </w:rPr>
              <w:t>此过程产生一定量的解冻废水</w:t>
            </w:r>
            <w:r>
              <w:rPr>
                <w:rFonts w:hint="eastAsia" w:eastAsia="宋体"/>
                <w:color w:val="000000" w:themeColor="text1"/>
                <w:highlight w:val="none"/>
                <w:lang w:val="en-US" w:eastAsia="zh-CN"/>
                <w14:textFill>
                  <w14:solidFill>
                    <w14:schemeClr w14:val="tx1"/>
                  </w14:solidFill>
                </w14:textFill>
              </w:rPr>
              <w:t>W</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清洗</w:t>
            </w:r>
            <w:r>
              <w:rPr>
                <w:rFonts w:hint="eastAsia" w:ascii="Times New Roman" w:hAnsi="Times New Roman" w:cs="Times New Roman"/>
                <w:color w:val="000000" w:themeColor="text1"/>
                <w:sz w:val="24"/>
                <w:highlight w:val="none"/>
                <w:lang w:val="en-US" w:eastAsia="zh-CN"/>
                <w14:textFill>
                  <w14:solidFill>
                    <w14:schemeClr w14:val="tx1"/>
                  </w14:solidFill>
                </w14:textFill>
              </w:rPr>
              <w:t>废水W2、</w:t>
            </w:r>
            <w:r>
              <w:rPr>
                <w:rFonts w:hint="eastAsia" w:ascii="Times New Roman" w:hAnsi="Times New Roman" w:cs="Times New Roman"/>
                <w:color w:val="000000" w:themeColor="text1"/>
                <w:sz w:val="24"/>
                <w:highlight w:val="none"/>
                <w:lang w:eastAsia="zh-CN"/>
                <w14:textFill>
                  <w14:solidFill>
                    <w14:schemeClr w14:val="tx1"/>
                  </w14:solidFill>
                </w14:textFill>
              </w:rPr>
              <w:t>解冻</w:t>
            </w:r>
            <w:r>
              <w:rPr>
                <w:rFonts w:hint="eastAsia"/>
                <w:color w:val="000000" w:themeColor="text1"/>
                <w:sz w:val="24"/>
                <w:highlight w:val="none"/>
                <w:lang w:val="en-US" w:eastAsia="zh-CN"/>
                <w14:textFill>
                  <w14:solidFill>
                    <w14:schemeClr w14:val="tx1"/>
                  </w14:solidFill>
                </w14:textFill>
              </w:rPr>
              <w:t>桶</w:t>
            </w:r>
            <w:r>
              <w:rPr>
                <w:rFonts w:hint="eastAsia" w:ascii="Times New Roman" w:hAnsi="Times New Roman" w:cs="Times New Roman"/>
                <w:color w:val="000000" w:themeColor="text1"/>
                <w:sz w:val="24"/>
                <w:highlight w:val="none"/>
                <w:lang w:eastAsia="zh-CN"/>
                <w14:textFill>
                  <w14:solidFill>
                    <w14:schemeClr w14:val="tx1"/>
                  </w14:solidFill>
                </w14:textFill>
              </w:rPr>
              <w:t>清洗废水</w:t>
            </w:r>
            <w:r>
              <w:rPr>
                <w:rFonts w:hint="eastAsia" w:ascii="Times New Roman" w:hAnsi="Times New Roman" w:cs="Times New Roman"/>
                <w:color w:val="000000" w:themeColor="text1"/>
                <w:sz w:val="24"/>
                <w:highlight w:val="none"/>
                <w:lang w:val="en-US" w:eastAsia="zh-CN"/>
                <w14:textFill>
                  <w14:solidFill>
                    <w14:schemeClr w14:val="tx1"/>
                  </w14:solidFill>
                </w14:textFill>
              </w:rPr>
              <w:t>W3</w:t>
            </w:r>
            <w:r>
              <w:rPr>
                <w:rFonts w:hint="eastAsia"/>
                <w:color w:val="000000" w:themeColor="text1"/>
                <w:highlight w:val="none"/>
                <w:lang w:val="en-US" w:eastAsia="zh-CN"/>
                <w14:textFill>
                  <w14:solidFill>
                    <w14:schemeClr w14:val="tx1"/>
                  </w14:solidFill>
                </w14:textFill>
              </w:rPr>
              <w:t>。</w:t>
            </w:r>
          </w:p>
          <w:p w14:paraId="565E6FAF">
            <w:pPr>
              <w:keepNext w:val="0"/>
              <w:keepLines w:val="0"/>
              <w:pageBreakBefore w:val="0"/>
              <w:kinsoku/>
              <w:wordWrap/>
              <w:overflowPunct/>
              <w:topLinePunct w:val="0"/>
              <w:autoSpaceDE/>
              <w:autoSpaceDN/>
              <w:bidi w:val="0"/>
              <w:spacing w:line="360" w:lineRule="auto"/>
              <w:ind w:firstLine="480"/>
              <w:textAlignment w:val="auto"/>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eastAsia="宋体"/>
                <w:color w:val="000000" w:themeColor="text1"/>
                <w:highlight w:val="none"/>
                <w:lang w:val="en-US" w:eastAsia="zh-CN"/>
                <w14:textFill>
                  <w14:solidFill>
                    <w14:schemeClr w14:val="tx1"/>
                  </w14:solidFill>
                </w14:textFill>
              </w:rPr>
              <w:t>）预处理：毛肚</w:t>
            </w:r>
            <w:r>
              <w:rPr>
                <w:rFonts w:hint="eastAsia"/>
                <w:color w:val="000000" w:themeColor="text1"/>
                <w:highlight w:val="none"/>
                <w:lang w:val="en-US" w:eastAsia="zh-CN"/>
                <w14:textFill>
                  <w14:solidFill>
                    <w14:schemeClr w14:val="tx1"/>
                  </w14:solidFill>
                </w14:textFill>
              </w:rPr>
              <w:t>上的油筋用打磨机</w:t>
            </w:r>
            <w:r>
              <w:rPr>
                <w:rFonts w:hint="eastAsia" w:eastAsia="宋体"/>
                <w:color w:val="000000" w:themeColor="text1"/>
                <w:highlight w:val="none"/>
                <w:lang w:val="en-US" w:eastAsia="zh-CN"/>
                <w14:textFill>
                  <w14:solidFill>
                    <w14:schemeClr w14:val="tx1"/>
                  </w14:solidFill>
                </w14:textFill>
              </w:rPr>
              <w:t>进行除杂，此过程产生少量的</w:t>
            </w:r>
            <w:r>
              <w:rPr>
                <w:rFonts w:hint="eastAsia"/>
                <w:color w:val="000000" w:themeColor="text1"/>
                <w:highlight w:val="none"/>
                <w:lang w:val="en-US" w:eastAsia="zh-CN"/>
                <w14:textFill>
                  <w14:solidFill>
                    <w14:schemeClr w14:val="tx1"/>
                  </w14:solidFill>
                </w14:textFill>
              </w:rPr>
              <w:t>原料</w:t>
            </w:r>
            <w:r>
              <w:rPr>
                <w:rFonts w:hint="eastAsia" w:eastAsia="宋体"/>
                <w:color w:val="000000" w:themeColor="text1"/>
                <w:highlight w:val="none"/>
                <w:lang w:val="en-US" w:eastAsia="zh-CN"/>
                <w14:textFill>
                  <w14:solidFill>
                    <w14:schemeClr w14:val="tx1"/>
                  </w14:solidFill>
                </w14:textFill>
              </w:rPr>
              <w:t>边角料S</w:t>
            </w:r>
            <w:r>
              <w:rPr>
                <w:rFonts w:hint="eastAsia"/>
                <w:color w:val="000000" w:themeColor="text1"/>
                <w:highlight w:val="none"/>
                <w:lang w:val="en-US" w:eastAsia="zh-CN"/>
                <w14:textFill>
                  <w14:solidFill>
                    <w14:schemeClr w14:val="tx1"/>
                  </w14:solidFill>
                </w14:textFill>
              </w:rPr>
              <w:t>1</w:t>
            </w:r>
            <w:r>
              <w:rPr>
                <w:rFonts w:hint="eastAsia" w:eastAsia="宋体"/>
                <w:color w:val="000000" w:themeColor="text1"/>
                <w:highlight w:val="none"/>
                <w:lang w:val="en-US" w:eastAsia="zh-CN"/>
                <w14:textFill>
                  <w14:solidFill>
                    <w14:schemeClr w14:val="tx1"/>
                  </w14:solidFill>
                </w14:textFill>
              </w:rPr>
              <w:t>。</w:t>
            </w:r>
          </w:p>
          <w:p w14:paraId="6A2F0F47">
            <w:pPr>
              <w:keepNext w:val="0"/>
              <w:keepLines w:val="0"/>
              <w:pageBreakBefore w:val="0"/>
              <w:kinsoku/>
              <w:wordWrap/>
              <w:overflowPunct/>
              <w:topLinePunct w:val="0"/>
              <w:autoSpaceDE/>
              <w:autoSpaceDN/>
              <w:bidi w:val="0"/>
              <w:spacing w:line="360" w:lineRule="auto"/>
              <w:ind w:firstLine="480"/>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eastAsia="宋体"/>
                <w:color w:val="000000" w:themeColor="text1"/>
                <w:highlight w:val="none"/>
                <w:lang w:eastAsia="zh-CN"/>
                <w14:textFill>
                  <w14:solidFill>
                    <w14:schemeClr w14:val="tx1"/>
                  </w14:solidFill>
                </w14:textFill>
              </w:rPr>
              <w:t>）煮制：将处理好的毛肚放入</w:t>
            </w:r>
            <w:r>
              <w:rPr>
                <w:rFonts w:hint="eastAsia"/>
                <w:color w:val="000000" w:themeColor="text1"/>
                <w:highlight w:val="none"/>
                <w:lang w:eastAsia="zh-CN"/>
                <w14:textFill>
                  <w14:solidFill>
                    <w14:schemeClr w14:val="tx1"/>
                  </w14:solidFill>
                </w14:textFill>
              </w:rPr>
              <w:t>蒸汽</w:t>
            </w:r>
            <w:r>
              <w:rPr>
                <w:rFonts w:hint="eastAsia" w:eastAsia="宋体"/>
                <w:color w:val="000000" w:themeColor="text1"/>
                <w:highlight w:val="none"/>
                <w:lang w:eastAsia="zh-CN"/>
                <w14:textFill>
                  <w14:solidFill>
                    <w14:schemeClr w14:val="tx1"/>
                  </w14:solidFill>
                </w14:textFill>
              </w:rPr>
              <w:t>煮</w:t>
            </w:r>
            <w:r>
              <w:rPr>
                <w:rFonts w:hint="eastAsia"/>
                <w:color w:val="000000" w:themeColor="text1"/>
                <w:highlight w:val="none"/>
                <w:lang w:val="en-US" w:eastAsia="zh-CN"/>
                <w14:textFill>
                  <w14:solidFill>
                    <w14:schemeClr w14:val="tx1"/>
                  </w14:solidFill>
                </w14:textFill>
              </w:rPr>
              <w:t>锅</w:t>
            </w:r>
            <w:r>
              <w:rPr>
                <w:rFonts w:hint="eastAsia" w:eastAsia="宋体"/>
                <w:color w:val="000000" w:themeColor="text1"/>
                <w:highlight w:val="none"/>
                <w:lang w:eastAsia="zh-CN"/>
                <w14:textFill>
                  <w14:solidFill>
                    <w14:schemeClr w14:val="tx1"/>
                  </w14:solidFill>
                </w14:textFill>
              </w:rPr>
              <w:t>煮制</w:t>
            </w:r>
            <w:r>
              <w:rPr>
                <w:rFonts w:hint="eastAsia"/>
                <w:color w:val="000000" w:themeColor="text1"/>
                <w:highlight w:val="none"/>
                <w:lang w:eastAsia="zh-CN"/>
                <w14:textFill>
                  <w14:solidFill>
                    <w14:schemeClr w14:val="tx1"/>
                  </w14:solidFill>
                </w14:textFill>
              </w:rPr>
              <w:t>（</w:t>
            </w:r>
            <w:r>
              <w:rPr>
                <w:rFonts w:hint="eastAsia" w:eastAsia="宋体"/>
                <w:color w:val="000000" w:themeColor="text1"/>
                <w:highlight w:val="none"/>
                <w:lang w:eastAsia="zh-CN"/>
                <w14:textFill>
                  <w14:solidFill>
                    <w14:schemeClr w14:val="tx1"/>
                  </w14:solidFill>
                </w14:textFill>
              </w:rPr>
              <w:t>煮</w:t>
            </w:r>
            <w:r>
              <w:rPr>
                <w:rFonts w:hint="eastAsia"/>
                <w:color w:val="000000" w:themeColor="text1"/>
                <w:highlight w:val="none"/>
                <w:lang w:val="en-US" w:eastAsia="zh-CN"/>
                <w14:textFill>
                  <w14:solidFill>
                    <w14:schemeClr w14:val="tx1"/>
                  </w14:solidFill>
                </w14:textFill>
              </w:rPr>
              <w:t>锅利用锅炉蒸汽间接加热</w:t>
            </w:r>
            <w:r>
              <w:rPr>
                <w:rFonts w:hint="eastAsia"/>
                <w:color w:val="000000" w:themeColor="text1"/>
                <w:highlight w:val="none"/>
                <w:lang w:eastAsia="zh-CN"/>
                <w14:textFill>
                  <w14:solidFill>
                    <w14:schemeClr w14:val="tx1"/>
                  </w14:solidFill>
                </w14:textFill>
              </w:rPr>
              <w:t>）</w:t>
            </w:r>
            <w:r>
              <w:rPr>
                <w:rFonts w:hint="eastAsia" w:eastAsia="宋体"/>
                <w:color w:val="000000" w:themeColor="text1"/>
                <w:highlight w:val="none"/>
                <w:lang w:eastAsia="zh-CN"/>
                <w14:textFill>
                  <w14:solidFill>
                    <w14:schemeClr w14:val="tx1"/>
                  </w14:solidFill>
                </w14:textFill>
              </w:rPr>
              <w:t>，加入</w:t>
            </w:r>
            <w:r>
              <w:rPr>
                <w:rFonts w:hint="eastAsia"/>
                <w:color w:val="000000" w:themeColor="text1"/>
                <w:highlight w:val="none"/>
                <w14:textFill>
                  <w14:solidFill>
                    <w14:schemeClr w14:val="tx1"/>
                  </w14:solidFill>
                </w14:textFill>
              </w:rPr>
              <w:t>溶解的</w:t>
            </w:r>
            <w:r>
              <w:rPr>
                <w:rFonts w:hint="eastAsia"/>
                <w:color w:val="000000" w:themeColor="text1"/>
                <w:highlight w:val="none"/>
                <w:lang w:eastAsia="zh-CN"/>
                <w14:textFill>
                  <w14:solidFill>
                    <w14:schemeClr w14:val="tx1"/>
                  </w14:solidFill>
                </w14:textFill>
              </w:rPr>
              <w:t>碳酸钠</w:t>
            </w:r>
            <w:r>
              <w:rPr>
                <w:rFonts w:hint="eastAsia" w:eastAsia="宋体"/>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煮制温度为80~90℃，</w:t>
            </w:r>
            <w:r>
              <w:rPr>
                <w:rFonts w:hint="eastAsia" w:cs="Times New Roman"/>
                <w:color w:val="000000" w:themeColor="text1"/>
                <w:sz w:val="24"/>
                <w:highlight w:val="none"/>
                <w:lang w:val="en-US" w:eastAsia="zh-CN"/>
                <w14:textFill>
                  <w14:solidFill>
                    <w14:schemeClr w14:val="tx1"/>
                  </w14:solidFill>
                </w14:textFill>
              </w:rPr>
              <w:t>煮制时间为4min，</w:t>
            </w:r>
            <w:r>
              <w:rPr>
                <w:rFonts w:hint="eastAsia" w:eastAsia="宋体"/>
                <w:color w:val="000000" w:themeColor="text1"/>
                <w:highlight w:val="none"/>
                <w:lang w:eastAsia="zh-CN"/>
                <w14:textFill>
                  <w14:solidFill>
                    <w14:schemeClr w14:val="tx1"/>
                  </w14:solidFill>
                </w14:textFill>
              </w:rPr>
              <w:t>煮</w:t>
            </w:r>
            <w:r>
              <w:rPr>
                <w:rFonts w:hint="eastAsia"/>
                <w:color w:val="000000" w:themeColor="text1"/>
                <w:highlight w:val="none"/>
                <w:lang w:val="en-US" w:eastAsia="zh-CN"/>
                <w14:textFill>
                  <w14:solidFill>
                    <w14:schemeClr w14:val="tx1"/>
                  </w14:solidFill>
                </w14:textFill>
              </w:rPr>
              <w:t>锅内的水可循环利用</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每天使用</w:t>
            </w:r>
            <w:r>
              <w:rPr>
                <w:rFonts w:hint="eastAsia" w:eastAsia="宋体"/>
                <w:color w:val="000000" w:themeColor="text1"/>
                <w:highlight w:val="none"/>
                <w:lang w:eastAsia="zh-CN"/>
                <w14:textFill>
                  <w14:solidFill>
                    <w14:schemeClr w14:val="tx1"/>
                  </w14:solidFill>
                </w14:textFill>
              </w:rPr>
              <w:t>煮</w:t>
            </w:r>
            <w:r>
              <w:rPr>
                <w:rFonts w:hint="eastAsia"/>
                <w:color w:val="000000" w:themeColor="text1"/>
                <w:highlight w:val="none"/>
                <w:lang w:val="en-US" w:eastAsia="zh-CN"/>
                <w14:textFill>
                  <w14:solidFill>
                    <w14:schemeClr w14:val="tx1"/>
                  </w14:solidFill>
                </w14:textFill>
              </w:rPr>
              <w:t>锅后</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，使用洗洁精及自来水清洗，</w:t>
            </w:r>
            <w:r>
              <w:rPr>
                <w:rFonts w:hint="eastAsia" w:eastAsia="宋体"/>
                <w:color w:val="000000" w:themeColor="text1"/>
                <w:highlight w:val="none"/>
                <w:lang w:eastAsia="zh-CN"/>
                <w14:textFill>
                  <w14:solidFill>
                    <w14:schemeClr w14:val="tx1"/>
                  </w14:solidFill>
                </w14:textFill>
              </w:rPr>
              <w:t>此过程产生锅炉废气</w:t>
            </w:r>
            <w:r>
              <w:rPr>
                <w:rFonts w:hint="eastAsia" w:eastAsia="宋体"/>
                <w:color w:val="000000" w:themeColor="text1"/>
                <w:highlight w:val="none"/>
                <w:lang w:val="en-US" w:eastAsia="zh-CN"/>
                <w14:textFill>
                  <w14:solidFill>
                    <w14:schemeClr w14:val="tx1"/>
                  </w14:solidFill>
                </w14:textFill>
              </w:rPr>
              <w:t>G1</w:t>
            </w:r>
            <w:r>
              <w:rPr>
                <w:rFonts w:hint="eastAsia" w:eastAsia="宋体"/>
                <w:color w:val="000000" w:themeColor="text1"/>
                <w:highlight w:val="none"/>
                <w:lang w:eastAsia="zh-CN"/>
                <w14:textFill>
                  <w14:solidFill>
                    <w14:schemeClr w14:val="tx1"/>
                  </w14:solidFill>
                </w14:textFill>
              </w:rPr>
              <w:t>和煮制废水</w:t>
            </w:r>
            <w:r>
              <w:rPr>
                <w:rFonts w:hint="eastAsia" w:eastAsia="宋体"/>
                <w:color w:val="000000" w:themeColor="text1"/>
                <w:highlight w:val="none"/>
                <w:lang w:val="en-US" w:eastAsia="zh-CN"/>
                <w14:textFill>
                  <w14:solidFill>
                    <w14:schemeClr w14:val="tx1"/>
                  </w14:solidFill>
                </w14:textFill>
              </w:rPr>
              <w:t>W</w:t>
            </w:r>
            <w:r>
              <w:rPr>
                <w:rFonts w:hint="eastAsia"/>
                <w:color w:val="000000" w:themeColor="text1"/>
                <w:highlight w:val="none"/>
                <w:lang w:val="en-US" w:eastAsia="zh-CN"/>
                <w14:textFill>
                  <w14:solidFill>
                    <w14:schemeClr w14:val="tx1"/>
                  </w14:solidFill>
                </w14:textFill>
              </w:rPr>
              <w:t>4</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eastAsia="zh-CN"/>
                <w14:textFill>
                  <w14:solidFill>
                    <w14:schemeClr w14:val="tx1"/>
                  </w14:solidFill>
                </w14:textFill>
              </w:rPr>
              <w:t>煮锅清洗废水</w:t>
            </w:r>
            <w:r>
              <w:rPr>
                <w:rFonts w:hint="eastAsia" w:ascii="Times New Roman" w:hAnsi="Times New Roman" w:cs="Times New Roman"/>
                <w:color w:val="000000" w:themeColor="text1"/>
                <w:sz w:val="24"/>
                <w:highlight w:val="none"/>
                <w:lang w:val="en-US" w:eastAsia="zh-CN"/>
                <w14:textFill>
                  <w14:solidFill>
                    <w14:schemeClr w14:val="tx1"/>
                  </w14:solidFill>
                </w14:textFill>
              </w:rPr>
              <w:t>W5</w:t>
            </w:r>
            <w:r>
              <w:rPr>
                <w:rFonts w:hint="eastAsia" w:eastAsia="宋体"/>
                <w:color w:val="000000" w:themeColor="text1"/>
                <w:highlight w:val="none"/>
                <w:lang w:eastAsia="zh-CN"/>
                <w14:textFill>
                  <w14:solidFill>
                    <w14:schemeClr w14:val="tx1"/>
                  </w14:solidFill>
                </w14:textFill>
              </w:rPr>
              <w:t>。</w:t>
            </w:r>
          </w:p>
          <w:p w14:paraId="53CACBF9">
            <w:pPr>
              <w:keepNext w:val="0"/>
              <w:keepLines w:val="0"/>
              <w:pageBreakBefore w:val="0"/>
              <w:kinsoku/>
              <w:wordWrap/>
              <w:overflowPunct/>
              <w:topLinePunct w:val="0"/>
              <w:autoSpaceDE/>
              <w:autoSpaceDN/>
              <w:bidi w:val="0"/>
              <w:spacing w:line="360" w:lineRule="auto"/>
              <w:ind w:firstLine="48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）冷却：</w:t>
            </w:r>
            <w:r>
              <w:rPr>
                <w:rFonts w:hint="eastAsia" w:eastAsia="宋体"/>
                <w:color w:val="000000" w:themeColor="text1"/>
                <w:highlight w:val="none"/>
                <w:lang w:eastAsia="zh-CN"/>
                <w14:textFill>
                  <w14:solidFill>
                    <w14:schemeClr w14:val="tx1"/>
                  </w14:solidFill>
                </w14:textFill>
              </w:rPr>
              <w:t>煮制后食材经工人捞出，浸泡在冷却</w:t>
            </w:r>
            <w:r>
              <w:rPr>
                <w:rFonts w:hint="eastAsia"/>
                <w:color w:val="000000" w:themeColor="text1"/>
                <w:highlight w:val="none"/>
                <w:lang w:eastAsia="zh-CN"/>
                <w14:textFill>
                  <w14:solidFill>
                    <w14:schemeClr w14:val="tx1"/>
                  </w14:solidFill>
                </w14:textFill>
              </w:rPr>
              <w:t>池</w:t>
            </w:r>
            <w:r>
              <w:rPr>
                <w:rFonts w:hint="eastAsia" w:eastAsia="宋体"/>
                <w:color w:val="000000" w:themeColor="text1"/>
                <w:highlight w:val="none"/>
                <w:lang w:eastAsia="zh-CN"/>
                <w14:textFill>
                  <w14:solidFill>
                    <w14:schemeClr w14:val="tx1"/>
                  </w14:solidFill>
                </w14:textFill>
              </w:rPr>
              <w:t>中进行冷却，</w:t>
            </w:r>
            <w:r>
              <w:rPr>
                <w:rFonts w:hint="eastAsia"/>
                <w:color w:val="000000" w:themeColor="text1"/>
                <w:highlight w:val="none"/>
                <w:lang w:val="en-US" w:eastAsia="zh-CN"/>
                <w14:textFill>
                  <w14:solidFill>
                    <w14:schemeClr w14:val="tx1"/>
                  </w14:solidFill>
                </w14:textFill>
              </w:rPr>
              <w:t>使毛肚冷却至常温，</w:t>
            </w:r>
            <w:r>
              <w:rPr>
                <w:rFonts w:hint="eastAsia" w:eastAsia="宋体"/>
                <w:color w:val="000000" w:themeColor="text1"/>
                <w:highlight w:val="none"/>
                <w:lang w:eastAsia="zh-CN"/>
                <w14:textFill>
                  <w14:solidFill>
                    <w14:schemeClr w14:val="tx1"/>
                  </w14:solidFill>
                </w14:textFill>
              </w:rPr>
              <w:t>冷却水每日更换</w:t>
            </w:r>
            <w:r>
              <w:rPr>
                <w:rFonts w:hint="eastAsia"/>
                <w:color w:val="000000" w:themeColor="text1"/>
                <w:highlight w:val="none"/>
                <w:lang w:eastAsia="zh-CN"/>
                <w14:textFill>
                  <w14:solidFill>
                    <w14:schemeClr w14:val="tx1"/>
                  </w14:solidFill>
                </w14:textFill>
              </w:rPr>
              <w:t>，</w:t>
            </w:r>
            <w:r>
              <w:rPr>
                <w:rFonts w:hint="default" w:eastAsia="宋体"/>
                <w:color w:val="000000" w:themeColor="text1"/>
                <w:highlight w:val="none"/>
                <w:lang w:eastAsia="zh-CN"/>
                <w14:textFill>
                  <w14:solidFill>
                    <w14:schemeClr w14:val="tx1"/>
                  </w14:solidFill>
                </w14:textFill>
              </w:rPr>
              <w:t>该工序主要产生</w:t>
            </w:r>
            <w:r>
              <w:rPr>
                <w:rFonts w:hint="eastAsia" w:eastAsia="宋体"/>
                <w:color w:val="000000" w:themeColor="text1"/>
                <w:highlight w:val="none"/>
                <w:lang w:eastAsia="zh-CN"/>
                <w14:textFill>
                  <w14:solidFill>
                    <w14:schemeClr w14:val="tx1"/>
                  </w14:solidFill>
                </w14:textFill>
              </w:rPr>
              <w:t>冷却废水</w:t>
            </w:r>
            <w:r>
              <w:rPr>
                <w:rFonts w:hint="eastAsia" w:eastAsia="宋体"/>
                <w:color w:val="000000" w:themeColor="text1"/>
                <w:highlight w:val="none"/>
                <w:lang w:val="en-US" w:eastAsia="zh-CN"/>
                <w14:textFill>
                  <w14:solidFill>
                    <w14:schemeClr w14:val="tx1"/>
                  </w14:solidFill>
                </w14:textFill>
              </w:rPr>
              <w:t>W6；</w:t>
            </w:r>
            <w:r>
              <w:rPr>
                <w:rFonts w:hint="eastAsia" w:eastAsia="宋体"/>
                <w:color w:val="000000" w:themeColor="text1"/>
                <w:highlight w:val="none"/>
                <w:lang w:eastAsia="zh-CN"/>
                <w14:textFill>
                  <w14:solidFill>
                    <w14:schemeClr w14:val="tx1"/>
                  </w14:solidFill>
                </w14:textFill>
              </w:rPr>
              <w:t>每日工作结束后清洗冷却</w:t>
            </w:r>
            <w:r>
              <w:rPr>
                <w:rFonts w:hint="eastAsia"/>
                <w:color w:val="000000" w:themeColor="text1"/>
                <w:highlight w:val="none"/>
                <w:lang w:eastAsia="zh-CN"/>
                <w14:textFill>
                  <w14:solidFill>
                    <w14:schemeClr w14:val="tx1"/>
                  </w14:solidFill>
                </w14:textFill>
              </w:rPr>
              <w:t>池</w:t>
            </w:r>
            <w:r>
              <w:rPr>
                <w:rFonts w:hint="eastAsia" w:eastAsia="宋体"/>
                <w:color w:val="000000" w:themeColor="text1"/>
                <w:highlight w:val="none"/>
                <w:lang w:eastAsia="zh-CN"/>
                <w14:textFill>
                  <w14:solidFill>
                    <w14:schemeClr w14:val="tx1"/>
                  </w14:solidFill>
                </w14:textFill>
              </w:rPr>
              <w:t>，产生冷却</w:t>
            </w:r>
            <w:r>
              <w:rPr>
                <w:rFonts w:hint="eastAsia"/>
                <w:color w:val="000000" w:themeColor="text1"/>
                <w:highlight w:val="none"/>
                <w:lang w:eastAsia="zh-CN"/>
                <w14:textFill>
                  <w14:solidFill>
                    <w14:schemeClr w14:val="tx1"/>
                  </w14:solidFill>
                </w14:textFill>
              </w:rPr>
              <w:t>池</w:t>
            </w:r>
            <w:r>
              <w:rPr>
                <w:rFonts w:hint="eastAsia" w:eastAsia="宋体"/>
                <w:color w:val="000000" w:themeColor="text1"/>
                <w:highlight w:val="none"/>
                <w:lang w:eastAsia="zh-CN"/>
                <w14:textFill>
                  <w14:solidFill>
                    <w14:schemeClr w14:val="tx1"/>
                  </w14:solidFill>
                </w14:textFill>
              </w:rPr>
              <w:t>清洗废水</w:t>
            </w:r>
            <w:r>
              <w:rPr>
                <w:rFonts w:hint="eastAsia" w:eastAsia="宋体"/>
                <w:color w:val="000000" w:themeColor="text1"/>
                <w:highlight w:val="none"/>
                <w:lang w:val="en-US" w:eastAsia="zh-CN"/>
                <w14:textFill>
                  <w14:solidFill>
                    <w14:schemeClr w14:val="tx1"/>
                  </w14:solidFill>
                </w14:textFill>
              </w:rPr>
              <w:t>W</w:t>
            </w:r>
            <w:r>
              <w:rPr>
                <w:rFonts w:hint="eastAsia"/>
                <w:color w:val="000000" w:themeColor="text1"/>
                <w:highlight w:val="none"/>
                <w:lang w:val="en-US" w:eastAsia="zh-CN"/>
                <w14:textFill>
                  <w14:solidFill>
                    <w14:schemeClr w14:val="tx1"/>
                  </w14:solidFill>
                </w14:textFill>
              </w:rPr>
              <w:t>7</w:t>
            </w:r>
            <w:r>
              <w:rPr>
                <w:rFonts w:hint="eastAsia" w:eastAsia="宋体"/>
                <w:color w:val="000000" w:themeColor="text1"/>
                <w:highlight w:val="none"/>
                <w:lang w:val="en-US" w:eastAsia="zh-CN"/>
                <w14:textFill>
                  <w14:solidFill>
                    <w14:schemeClr w14:val="tx1"/>
                  </w14:solidFill>
                </w14:textFill>
              </w:rPr>
              <w:t>。</w:t>
            </w:r>
          </w:p>
          <w:p w14:paraId="5C56357D">
            <w:pPr>
              <w:keepNext w:val="0"/>
              <w:keepLines w:val="0"/>
              <w:pageBreakBefore w:val="0"/>
              <w:kinsoku/>
              <w:wordWrap/>
              <w:overflowPunct/>
              <w:topLinePunct w:val="0"/>
              <w:autoSpaceDE/>
              <w:autoSpaceDN/>
              <w:bidi w:val="0"/>
              <w:spacing w:line="360" w:lineRule="auto"/>
              <w:ind w:firstLine="480"/>
              <w:textAlignment w:val="auto"/>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涨发</w:t>
            </w:r>
            <w:r>
              <w:rPr>
                <w:rFonts w:hint="eastAsia"/>
                <w:color w:val="000000" w:themeColor="text1"/>
                <w:highlight w:val="none"/>
                <w:lang w:eastAsia="zh-CN"/>
                <w14:textFill>
                  <w14:solidFill>
                    <w14:schemeClr w14:val="tx1"/>
                  </w14:solidFill>
                </w14:textFill>
              </w:rPr>
              <w:t>、漂洗</w:t>
            </w:r>
            <w:r>
              <w:rPr>
                <w:rFonts w:hint="eastAsia" w:eastAsia="宋体"/>
                <w:color w:val="000000" w:themeColor="text1"/>
                <w:highlight w:val="none"/>
                <w14:textFill>
                  <w14:solidFill>
                    <w14:schemeClr w14:val="tx1"/>
                  </w14:solidFill>
                </w14:textFill>
              </w:rPr>
              <w:t>：将黄喉、鹅肠、鸭肠、蹄筋、牛鞭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毛肚</w:t>
            </w:r>
            <w:r>
              <w:rPr>
                <w:rFonts w:hint="eastAsia" w:eastAsia="宋体"/>
                <w:color w:val="000000" w:themeColor="text1"/>
                <w:highlight w:val="none"/>
                <w14:textFill>
                  <w14:solidFill>
                    <w14:schemeClr w14:val="tx1"/>
                  </w14:solidFill>
                </w14:textFill>
              </w:rPr>
              <w:t>倒入</w:t>
            </w:r>
            <w:r>
              <w:rPr>
                <w:rFonts w:hint="eastAsia"/>
                <w:color w:val="000000" w:themeColor="text1"/>
                <w:highlight w:val="none"/>
                <w:lang w:eastAsia="zh-CN"/>
                <w14:textFill>
                  <w14:solidFill>
                    <w14:schemeClr w14:val="tx1"/>
                  </w14:solidFill>
                </w14:textFill>
              </w:rPr>
              <w:t>涨发桶</w:t>
            </w:r>
            <w:r>
              <w:rPr>
                <w:rFonts w:hint="eastAsia" w:eastAsia="宋体"/>
                <w:color w:val="000000" w:themeColor="text1"/>
                <w:highlight w:val="none"/>
                <w14:textFill>
                  <w14:solidFill>
                    <w14:schemeClr w14:val="tx1"/>
                  </w14:solidFill>
                </w14:textFill>
              </w:rPr>
              <w:t>内，加入</w:t>
            </w:r>
            <w:r>
              <w:rPr>
                <w:rFonts w:hint="eastAsia"/>
                <w:color w:val="000000" w:themeColor="text1"/>
                <w:highlight w:val="none"/>
                <w:lang w:val="en-US" w:eastAsia="zh-CN"/>
                <w14:textFill>
                  <w14:solidFill>
                    <w14:schemeClr w14:val="tx1"/>
                  </w14:solidFill>
                </w14:textFill>
              </w:rPr>
              <w:t>自来水</w:t>
            </w:r>
            <w:r>
              <w:rPr>
                <w:rFonts w:hint="eastAsia" w:eastAsia="宋体"/>
                <w:color w:val="000000" w:themeColor="text1"/>
                <w:highlight w:val="none"/>
                <w14:textFill>
                  <w14:solidFill>
                    <w14:schemeClr w14:val="tx1"/>
                  </w14:solidFill>
                </w14:textFill>
              </w:rPr>
              <w:t>将物料淹没，</w:t>
            </w:r>
            <w:r>
              <w:rPr>
                <w:rFonts w:hint="eastAsia"/>
                <w:color w:val="000000" w:themeColor="text1"/>
                <w:highlight w:val="none"/>
                <w:lang w:eastAsia="zh-CN"/>
                <w14:textFill>
                  <w14:solidFill>
                    <w14:schemeClr w14:val="tx1"/>
                  </w14:solidFill>
                </w14:textFill>
              </w:rPr>
              <w:t>根据经验</w:t>
            </w:r>
            <w:r>
              <w:rPr>
                <w:rFonts w:hint="eastAsia" w:eastAsia="宋体"/>
                <w:color w:val="000000" w:themeColor="text1"/>
                <w:highlight w:val="none"/>
                <w14:textFill>
                  <w14:solidFill>
                    <w14:schemeClr w14:val="tx1"/>
                  </w14:solidFill>
                </w14:textFill>
              </w:rPr>
              <w:t>加入</w:t>
            </w:r>
            <w:r>
              <w:rPr>
                <w:rFonts w:hint="eastAsia"/>
                <w:color w:val="000000" w:themeColor="text1"/>
                <w:highlight w:val="none"/>
                <w:lang w:eastAsia="zh-CN"/>
                <w14:textFill>
                  <w14:solidFill>
                    <w14:schemeClr w14:val="tx1"/>
                  </w14:solidFill>
                </w14:textFill>
              </w:rPr>
              <w:t>氢氧化</w:t>
            </w:r>
            <w:r>
              <w:rPr>
                <w:rFonts w:hint="eastAsia" w:eastAsia="宋体"/>
                <w:color w:val="000000" w:themeColor="text1"/>
                <w:highlight w:val="none"/>
                <w14:textFill>
                  <w14:solidFill>
                    <w14:schemeClr w14:val="tx1"/>
                  </w14:solidFill>
                </w14:textFill>
              </w:rPr>
              <w:t>钠至表面有滑手的感觉，搅拌均匀</w:t>
            </w:r>
            <w:r>
              <w:rPr>
                <w:rFonts w:hint="eastAsia"/>
                <w:color w:val="000000" w:themeColor="text1"/>
                <w:highlight w:val="none"/>
                <w:lang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浸泡1-2小时</w:t>
            </w:r>
            <w:r>
              <w:rPr>
                <w:rFonts w:hint="eastAsia"/>
                <w:color w:val="000000" w:themeColor="text1"/>
                <w:highlight w:val="none"/>
                <w:lang w:val="en-US" w:eastAsia="zh-CN"/>
                <w14:textFill>
                  <w14:solidFill>
                    <w14:schemeClr w14:val="tx1"/>
                  </w14:solidFill>
                </w14:textFill>
              </w:rPr>
              <w:t>，排尽</w:t>
            </w:r>
            <w:r>
              <w:rPr>
                <w:rFonts w:hint="eastAsia" w:eastAsia="宋体"/>
                <w:color w:val="000000" w:themeColor="text1"/>
                <w:highlight w:val="none"/>
                <w:lang w:eastAsia="zh-CN"/>
                <w14:textFill>
                  <w14:solidFill>
                    <w14:schemeClr w14:val="tx1"/>
                  </w14:solidFill>
                </w14:textFill>
              </w:rPr>
              <w:t>涨发废水</w:t>
            </w:r>
            <w:r>
              <w:rPr>
                <w:rFonts w:hint="eastAsia" w:eastAsia="宋体"/>
                <w:color w:val="000000" w:themeColor="text1"/>
                <w:highlight w:val="none"/>
                <w:lang w:val="en-US" w:eastAsia="zh-CN"/>
                <w14:textFill>
                  <w14:solidFill>
                    <w14:schemeClr w14:val="tx1"/>
                  </w14:solidFill>
                </w14:textFill>
              </w:rPr>
              <w:t>后</w:t>
            </w:r>
            <w:r>
              <w:rPr>
                <w:rFonts w:hint="eastAsia"/>
                <w:color w:val="000000" w:themeColor="text1"/>
                <w:highlight w:val="none"/>
                <w:lang w:val="en-US" w:eastAsia="zh-CN"/>
                <w14:textFill>
                  <w14:solidFill>
                    <w14:schemeClr w14:val="tx1"/>
                  </w14:solidFill>
                </w14:textFill>
              </w:rPr>
              <w:t>另外</w:t>
            </w:r>
            <w:r>
              <w:rPr>
                <w:rFonts w:hint="eastAsia" w:eastAsia="宋体"/>
                <w:color w:val="000000" w:themeColor="text1"/>
                <w:highlight w:val="none"/>
                <w14:textFill>
                  <w14:solidFill>
                    <w14:schemeClr w14:val="tx1"/>
                  </w14:solidFill>
                </w14:textFill>
              </w:rPr>
              <w:t>加入</w:t>
            </w:r>
            <w:r>
              <w:rPr>
                <w:rFonts w:hint="eastAsia"/>
                <w:color w:val="000000" w:themeColor="text1"/>
                <w:highlight w:val="none"/>
                <w:lang w:val="en-US" w:eastAsia="zh-CN"/>
                <w14:textFill>
                  <w14:solidFill>
                    <w14:schemeClr w14:val="tx1"/>
                  </w14:solidFill>
                </w14:textFill>
              </w:rPr>
              <w:t>自来</w:t>
            </w:r>
            <w:r>
              <w:rPr>
                <w:rFonts w:hint="eastAsia"/>
                <w:color w:val="000000" w:themeColor="text1"/>
                <w:highlight w:val="none"/>
                <w:lang w:eastAsia="zh-CN"/>
                <w14:textFill>
                  <w14:solidFill>
                    <w14:schemeClr w14:val="tx1"/>
                  </w14:solidFill>
                </w14:textFill>
              </w:rPr>
              <w:t>水</w:t>
            </w:r>
            <w:r>
              <w:rPr>
                <w:rFonts w:hint="eastAsia" w:eastAsia="宋体"/>
                <w:color w:val="000000" w:themeColor="text1"/>
                <w:highlight w:val="none"/>
                <w14:textFill>
                  <w14:solidFill>
                    <w14:schemeClr w14:val="tx1"/>
                  </w14:solidFill>
                </w14:textFill>
              </w:rPr>
              <w:t>浸泡</w:t>
            </w:r>
            <w:r>
              <w:rPr>
                <w:rFonts w:hint="eastAsia"/>
                <w:color w:val="000000" w:themeColor="text1"/>
                <w:highlight w:val="none"/>
                <w:lang w:val="en-US" w:eastAsia="zh-CN"/>
                <w14:textFill>
                  <w14:solidFill>
                    <w14:schemeClr w14:val="tx1"/>
                  </w14:solidFill>
                </w14:textFill>
              </w:rPr>
              <w:t>6-8</w:t>
            </w:r>
            <w:r>
              <w:rPr>
                <w:rFonts w:hint="eastAsia" w:eastAsia="宋体"/>
                <w:color w:val="000000" w:themeColor="text1"/>
                <w:highlight w:val="none"/>
                <w14:textFill>
                  <w14:solidFill>
                    <w14:schemeClr w14:val="tx1"/>
                  </w14:solidFill>
                </w14:textFill>
              </w:rPr>
              <w:t>小时，放水、换水，再浸泡，重复至黄喉、鹅肠、鸭肠、蹄筋、牛鞭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毛肚</w:t>
            </w:r>
            <w:r>
              <w:rPr>
                <w:rFonts w:hint="eastAsia" w:eastAsia="宋体"/>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pH值</w:t>
            </w:r>
            <w:r>
              <w:rPr>
                <w:rFonts w:hint="eastAsia" w:eastAsia="宋体"/>
                <w:color w:val="000000" w:themeColor="text1"/>
                <w:highlight w:val="none"/>
                <w14:textFill>
                  <w14:solidFill>
                    <w14:schemeClr w14:val="tx1"/>
                  </w14:solidFill>
                </w14:textFill>
              </w:rPr>
              <w:t>为10.5-11.5</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采用</w:t>
            </w:r>
            <w:r>
              <w:rPr>
                <w:rFonts w:hint="eastAsia"/>
                <w:color w:val="000000" w:themeColor="text1"/>
                <w:highlight w:val="none"/>
                <w:lang w:val="en-US" w:eastAsia="zh-CN"/>
                <w14:textFill>
                  <w14:solidFill>
                    <w14:schemeClr w14:val="tx1"/>
                  </w14:solidFill>
                </w14:textFill>
              </w:rPr>
              <w:t>PH计</w:t>
            </w:r>
            <w:r>
              <w:rPr>
                <w:rFonts w:hint="eastAsia" w:eastAsia="宋体"/>
                <w:color w:val="000000" w:themeColor="text1"/>
                <w:highlight w:val="none"/>
                <w:lang w:val="en-US" w:eastAsia="zh-CN"/>
                <w14:textFill>
                  <w14:solidFill>
                    <w14:schemeClr w14:val="tx1"/>
                  </w14:solidFill>
                </w14:textFill>
              </w:rPr>
              <w:t>测量</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14:textFill>
                  <w14:solidFill>
                    <w14:schemeClr w14:val="tx1"/>
                  </w14:solidFill>
                </w14:textFill>
              </w:rPr>
              <w:t>。</w:t>
            </w:r>
            <w:r>
              <w:rPr>
                <w:rFonts w:hint="eastAsia" w:eastAsia="宋体"/>
                <w:color w:val="000000" w:themeColor="text1"/>
                <w:highlight w:val="none"/>
                <w:lang w:eastAsia="zh-CN"/>
                <w14:textFill>
                  <w14:solidFill>
                    <w14:schemeClr w14:val="tx1"/>
                  </w14:solidFill>
                </w14:textFill>
              </w:rPr>
              <w:t>此过程产生涨发废水</w:t>
            </w:r>
            <w:r>
              <w:rPr>
                <w:rFonts w:hint="eastAsia" w:eastAsia="宋体"/>
                <w:color w:val="000000" w:themeColor="text1"/>
                <w:highlight w:val="none"/>
                <w:lang w:val="en-US" w:eastAsia="zh-CN"/>
                <w14:textFill>
                  <w14:solidFill>
                    <w14:schemeClr w14:val="tx1"/>
                  </w14:solidFill>
                </w14:textFill>
              </w:rPr>
              <w:t>W</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eastAsia="zh-CN"/>
                <w14:textFill>
                  <w14:solidFill>
                    <w14:schemeClr w14:val="tx1"/>
                  </w14:solidFill>
                </w14:textFill>
              </w:rPr>
              <w:t>涨发桶</w:t>
            </w:r>
            <w:r>
              <w:rPr>
                <w:rFonts w:hint="eastAsia" w:ascii="Times New Roman" w:hAnsi="Times New Roman" w:cs="Times New Roman"/>
                <w:color w:val="000000" w:themeColor="text1"/>
                <w:sz w:val="24"/>
                <w:highlight w:val="none"/>
                <w:lang w:eastAsia="zh-CN"/>
                <w14:textFill>
                  <w14:solidFill>
                    <w14:schemeClr w14:val="tx1"/>
                  </w14:solidFill>
                </w14:textFill>
              </w:rPr>
              <w:t>清洗废水</w:t>
            </w:r>
            <w:r>
              <w:rPr>
                <w:rFonts w:hint="eastAsia" w:ascii="Times New Roman" w:hAnsi="Times New Roman" w:cs="Times New Roman"/>
                <w:color w:val="000000" w:themeColor="text1"/>
                <w:sz w:val="24"/>
                <w:highlight w:val="none"/>
                <w:lang w:val="en-US" w:eastAsia="zh-CN"/>
                <w14:textFill>
                  <w14:solidFill>
                    <w14:schemeClr w14:val="tx1"/>
                  </w14:solidFill>
                </w14:textFill>
              </w:rPr>
              <w:t>W</w:t>
            </w:r>
            <w:r>
              <w:rPr>
                <w:rFonts w:hint="eastAsia" w:cs="Times New Roman"/>
                <w:color w:val="000000" w:themeColor="text1"/>
                <w:sz w:val="24"/>
                <w:highlight w:val="none"/>
                <w:lang w:val="en-US" w:eastAsia="zh-CN"/>
                <w14:textFill>
                  <w14:solidFill>
                    <w14:schemeClr w14:val="tx1"/>
                  </w14:solidFill>
                </w14:textFill>
              </w:rPr>
              <w:t>9、</w:t>
            </w:r>
            <w:r>
              <w:rPr>
                <w:rFonts w:hint="eastAsia" w:eastAsia="宋体"/>
                <w:color w:val="000000" w:themeColor="text1"/>
                <w:highlight w:val="none"/>
                <w:lang w:eastAsia="zh-CN"/>
                <w14:textFill>
                  <w14:solidFill>
                    <w14:schemeClr w14:val="tx1"/>
                  </w14:solidFill>
                </w14:textFill>
              </w:rPr>
              <w:t>漂洗废水</w:t>
            </w:r>
            <w:r>
              <w:rPr>
                <w:rFonts w:hint="eastAsia" w:eastAsia="宋体"/>
                <w:color w:val="000000" w:themeColor="text1"/>
                <w:highlight w:val="none"/>
                <w:lang w:val="en-US" w:eastAsia="zh-CN"/>
                <w14:textFill>
                  <w14:solidFill>
                    <w14:schemeClr w14:val="tx1"/>
                  </w14:solidFill>
                </w14:textFill>
              </w:rPr>
              <w:t>W</w:t>
            </w:r>
            <w:r>
              <w:rPr>
                <w:rFonts w:hint="eastAsia"/>
                <w:color w:val="000000" w:themeColor="text1"/>
                <w:highlight w:val="none"/>
                <w:lang w:val="en-US" w:eastAsia="zh-CN"/>
                <w14:textFill>
                  <w14:solidFill>
                    <w14:schemeClr w14:val="tx1"/>
                  </w14:solidFill>
                </w14:textFill>
              </w:rPr>
              <w:t>10</w:t>
            </w:r>
            <w:r>
              <w:rPr>
                <w:rFonts w:hint="eastAsia" w:eastAsia="宋体"/>
                <w:color w:val="000000" w:themeColor="text1"/>
                <w:highlight w:val="none"/>
                <w:lang w:eastAsia="zh-CN"/>
                <w14:textFill>
                  <w14:solidFill>
                    <w14:schemeClr w14:val="tx1"/>
                  </w14:solidFill>
                </w14:textFill>
              </w:rPr>
              <w:t>。</w:t>
            </w:r>
          </w:p>
          <w:p w14:paraId="78523A79">
            <w:pPr>
              <w:keepNext w:val="0"/>
              <w:keepLines w:val="0"/>
              <w:pageBreakBefore w:val="0"/>
              <w:kinsoku/>
              <w:wordWrap/>
              <w:overflowPunct/>
              <w:topLinePunct w:val="0"/>
              <w:autoSpaceDE/>
              <w:autoSpaceDN/>
              <w:bidi w:val="0"/>
              <w:spacing w:line="360" w:lineRule="auto"/>
              <w:ind w:firstLine="480"/>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rFonts w:hint="eastAsia" w:eastAsia="宋体"/>
                <w:color w:val="000000" w:themeColor="text1"/>
                <w:highlight w:val="none"/>
                <w:lang w:val="en-US" w:eastAsia="zh-CN"/>
                <w14:textFill>
                  <w14:solidFill>
                    <w14:schemeClr w14:val="tx1"/>
                  </w14:solidFill>
                </w14:textFill>
              </w:rPr>
              <w:t>）分割整形：将漂洗好的产品</w:t>
            </w:r>
            <w:r>
              <w:rPr>
                <w:rFonts w:hint="eastAsia"/>
                <w:color w:val="000000" w:themeColor="text1"/>
                <w:highlight w:val="none"/>
                <w:lang w:val="en-US" w:eastAsia="zh-CN"/>
                <w14:textFill>
                  <w14:solidFill>
                    <w14:schemeClr w14:val="tx1"/>
                  </w14:solidFill>
                </w14:textFill>
              </w:rPr>
              <w:t>按照客户要求运用切割机</w:t>
            </w:r>
            <w:r>
              <w:rPr>
                <w:rFonts w:hint="eastAsia" w:eastAsia="宋体"/>
                <w:color w:val="000000" w:themeColor="text1"/>
                <w:highlight w:val="none"/>
                <w:lang w:val="en-US" w:eastAsia="zh-CN"/>
                <w14:textFill>
                  <w14:solidFill>
                    <w14:schemeClr w14:val="tx1"/>
                  </w14:solidFill>
                </w14:textFill>
              </w:rPr>
              <w:t>进行分切，此过程产生少量的食材边角料S</w:t>
            </w:r>
            <w:r>
              <w:rPr>
                <w:rFonts w:hint="eastAsia"/>
                <w:color w:val="000000" w:themeColor="text1"/>
                <w:highlight w:val="none"/>
                <w:lang w:val="en-US" w:eastAsia="zh-CN"/>
                <w14:textFill>
                  <w14:solidFill>
                    <w14:schemeClr w14:val="tx1"/>
                  </w14:solidFill>
                </w14:textFill>
              </w:rPr>
              <w:t>2</w:t>
            </w:r>
            <w:r>
              <w:rPr>
                <w:rFonts w:hint="eastAsia" w:eastAsia="宋体"/>
                <w:color w:val="000000" w:themeColor="text1"/>
                <w:highlight w:val="none"/>
                <w:lang w:val="en-US" w:eastAsia="zh-CN"/>
                <w14:textFill>
                  <w14:solidFill>
                    <w14:schemeClr w14:val="tx1"/>
                  </w14:solidFill>
                </w14:textFill>
              </w:rPr>
              <w:t>。</w:t>
            </w:r>
          </w:p>
          <w:p w14:paraId="151D1963">
            <w:pPr>
              <w:keepNext w:val="0"/>
              <w:keepLines w:val="0"/>
              <w:pageBreakBefore w:val="0"/>
              <w:kinsoku/>
              <w:wordWrap/>
              <w:overflowPunct/>
              <w:topLinePunct w:val="0"/>
              <w:autoSpaceDE/>
              <w:autoSpaceDN/>
              <w:bidi w:val="0"/>
              <w:spacing w:line="360" w:lineRule="auto"/>
              <w:ind w:firstLine="480"/>
              <w:textAlignment w:val="auto"/>
              <w:rPr>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内</w:t>
            </w:r>
            <w:r>
              <w:rPr>
                <w:rFonts w:hint="eastAsia" w:eastAsia="宋体"/>
                <w:color w:val="000000" w:themeColor="text1"/>
                <w:highlight w:val="none"/>
                <w:lang w:val="en-US" w:eastAsia="zh-CN"/>
                <w14:textFill>
                  <w14:solidFill>
                    <w14:schemeClr w14:val="tx1"/>
                  </w14:solidFill>
                </w14:textFill>
              </w:rPr>
              <w:t>包装：</w:t>
            </w:r>
            <w:r>
              <w:rPr>
                <w:rFonts w:hint="eastAsia"/>
                <w:color w:val="000000" w:themeColor="text1"/>
                <w:highlight w:val="none"/>
                <w:lang w:val="en-US" w:eastAsia="zh-CN"/>
                <w14:textFill>
                  <w14:solidFill>
                    <w14:schemeClr w14:val="tx1"/>
                  </w14:solidFill>
                </w14:textFill>
              </w:rPr>
              <w:t>将</w:t>
            </w:r>
            <w:r>
              <w:rPr>
                <w:rFonts w:hint="eastAsia" w:eastAsia="宋体"/>
                <w:color w:val="000000" w:themeColor="text1"/>
                <w:highlight w:val="none"/>
                <w:lang w:val="en-US" w:eastAsia="zh-CN"/>
                <w14:textFill>
                  <w14:solidFill>
                    <w14:schemeClr w14:val="tx1"/>
                  </w14:solidFill>
                </w14:textFill>
              </w:rPr>
              <w:t>产品</w:t>
            </w:r>
            <w:r>
              <w:rPr>
                <w:rFonts w:hint="eastAsia"/>
                <w:color w:val="000000" w:themeColor="text1"/>
                <w:highlight w:val="none"/>
                <w:lang w:val="en-US" w:eastAsia="zh-CN"/>
                <w14:textFill>
                  <w14:solidFill>
                    <w14:schemeClr w14:val="tx1"/>
                  </w14:solidFill>
                </w14:textFill>
              </w:rPr>
              <w:t>加入净化水和适量氢氧化钠（pH值保持为9-12）</w:t>
            </w:r>
            <w:r>
              <w:rPr>
                <w:rFonts w:hint="eastAsia" w:eastAsia="宋体"/>
                <w:color w:val="000000" w:themeColor="text1"/>
                <w:highlight w:val="none"/>
                <w:lang w:val="en-US" w:eastAsia="zh-CN"/>
                <w14:textFill>
                  <w14:solidFill>
                    <w14:schemeClr w14:val="tx1"/>
                  </w14:solidFill>
                </w14:textFill>
              </w:rPr>
              <w:t>进行</w:t>
            </w:r>
            <w:r>
              <w:rPr>
                <w:rFonts w:hint="eastAsia"/>
                <w:color w:val="000000" w:themeColor="text1"/>
                <w:highlight w:val="none"/>
                <w:lang w:val="en-US" w:eastAsia="zh-CN"/>
                <w14:textFill>
                  <w14:solidFill>
                    <w14:schemeClr w14:val="tx1"/>
                  </w14:solidFill>
                </w14:textFill>
              </w:rPr>
              <w:t>真空</w:t>
            </w:r>
            <w:r>
              <w:rPr>
                <w:rFonts w:hint="eastAsia" w:eastAsia="宋体"/>
                <w:color w:val="000000" w:themeColor="text1"/>
                <w:highlight w:val="none"/>
                <w:lang w:val="en-US" w:eastAsia="zh-CN"/>
                <w14:textFill>
                  <w14:solidFill>
                    <w14:schemeClr w14:val="tx1"/>
                  </w14:solidFill>
                </w14:textFill>
              </w:rPr>
              <w:t>包装。此过程产生废包装材料S</w:t>
            </w:r>
            <w:r>
              <w:rPr>
                <w:rFonts w:hint="eastAsia"/>
                <w:color w:val="000000" w:themeColor="text1"/>
                <w:highlight w:val="none"/>
                <w:lang w:val="en-US" w:eastAsia="zh-CN"/>
                <w14:textFill>
                  <w14:solidFill>
                    <w14:schemeClr w14:val="tx1"/>
                  </w14:solidFill>
                </w14:textFill>
              </w:rPr>
              <w:t>3</w:t>
            </w:r>
            <w:r>
              <w:rPr>
                <w:rFonts w:hint="eastAsia" w:eastAsia="宋体"/>
                <w:color w:val="000000" w:themeColor="text1"/>
                <w:highlight w:val="none"/>
                <w:lang w:val="en-US" w:eastAsia="zh-CN"/>
                <w14:textFill>
                  <w14:solidFill>
                    <w14:schemeClr w14:val="tx1"/>
                  </w14:solidFill>
                </w14:textFill>
              </w:rPr>
              <w:t>。</w:t>
            </w:r>
          </w:p>
          <w:p w14:paraId="7092F96C">
            <w:pPr>
              <w:keepNext w:val="0"/>
              <w:keepLines w:val="0"/>
              <w:pageBreakBefore w:val="0"/>
              <w:kinsoku/>
              <w:wordWrap/>
              <w:overflowPunct/>
              <w:topLinePunct w:val="0"/>
              <w:autoSpaceDE/>
              <w:autoSpaceDN/>
              <w:bidi w:val="0"/>
              <w:spacing w:line="360" w:lineRule="auto"/>
              <w:ind w:firstLine="48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（10）打码：根据需要采用激光打码机在包装袋上打印生产日期。</w:t>
            </w:r>
          </w:p>
          <w:p w14:paraId="375DCE0D">
            <w:pPr>
              <w:keepNext w:val="0"/>
              <w:keepLines w:val="0"/>
              <w:pageBreakBefore w:val="0"/>
              <w:kinsoku/>
              <w:wordWrap/>
              <w:overflowPunct/>
              <w:topLinePunct w:val="0"/>
              <w:autoSpaceDE/>
              <w:autoSpaceDN/>
              <w:bidi w:val="0"/>
              <w:spacing w:line="360" w:lineRule="auto"/>
              <w:ind w:firstLine="48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（11）外包装：工人通过外观</w:t>
            </w:r>
            <w:r>
              <w:rPr>
                <w:rFonts w:hint="eastAsia" w:cs="Times New Roman"/>
                <w:color w:val="000000" w:themeColor="text1"/>
                <w:highlight w:val="none"/>
                <w:lang w:val="en-US" w:eastAsia="zh-CN"/>
                <w14:textFill>
                  <w14:solidFill>
                    <w14:schemeClr w14:val="tx1"/>
                  </w14:solidFill>
                </w14:textFill>
              </w:rPr>
              <w:t>（观察产品是否</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具有产品应有的状态，有无霉变，有无正常视力可见外来异物）和称重（判断产品是否符合相应规格）检验产品，检验合格的产品进行外包装，本项目加工后产品采用抽检方式。</w:t>
            </w:r>
            <w:r>
              <w:rPr>
                <w:rFonts w:hint="default" w:ascii="Times New Roman" w:hAnsi="Times New Roman" w:eastAsia="宋体" w:cs="Times New Roman"/>
                <w:color w:val="000000" w:themeColor="text1"/>
                <w:highlight w:val="none"/>
                <w:lang w:val="en-US" w:eastAsia="zh-CN"/>
                <w14:textFill>
                  <w14:solidFill>
                    <w14:schemeClr w14:val="tx1"/>
                  </w14:solidFill>
                </w14:textFill>
              </w:rPr>
              <w:t>该</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过程</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主要产生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废包装材料S4</w:t>
            </w:r>
            <w:r>
              <w:rPr>
                <w:rFonts w:hint="eastAsia" w:cs="Times New Roman"/>
                <w:color w:val="000000" w:themeColor="text1"/>
                <w:highlight w:val="none"/>
                <w:lang w:val="en-US" w:eastAsia="zh-CN"/>
                <w14:textFill>
                  <w14:solidFill>
                    <w14:schemeClr w14:val="tx1"/>
                  </w14:solidFill>
                </w14:textFill>
              </w:rPr>
              <w:t>、不合格产品S5、抽检样品S6</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706A5229">
            <w:pPr>
              <w:keepNext w:val="0"/>
              <w:keepLines w:val="0"/>
              <w:pageBreakBefore w:val="0"/>
              <w:kinsoku/>
              <w:wordWrap/>
              <w:overflowPunct/>
              <w:topLinePunct w:val="0"/>
              <w:autoSpaceDE/>
              <w:autoSpaceDN/>
              <w:bidi w:val="0"/>
              <w:spacing w:line="360" w:lineRule="auto"/>
              <w:ind w:firstLine="48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（12）成品贮存：</w:t>
            </w:r>
            <w:r>
              <w:rPr>
                <w:rFonts w:hint="eastAsia" w:cs="Times New Roman"/>
                <w:color w:val="000000" w:themeColor="text1"/>
                <w:highlight w:val="none"/>
                <w:lang w:val="en-US" w:eastAsia="zh-CN"/>
                <w14:textFill>
                  <w14:solidFill>
                    <w14:schemeClr w14:val="tx1"/>
                  </w14:solidFill>
                </w14:textFill>
              </w:rPr>
              <w:t>成品</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应贮存于1-4度冷库中，堆码应离地离墙，应分散堆放，单码间距不低于20厘米。</w:t>
            </w:r>
          </w:p>
          <w:p w14:paraId="3CE91B18">
            <w:pPr>
              <w:keepNext w:val="0"/>
              <w:keepLines w:val="0"/>
              <w:pageBreakBefore w:val="0"/>
              <w:kinsoku/>
              <w:wordWrap/>
              <w:overflowPunct/>
              <w:topLinePunct w:val="0"/>
              <w:autoSpaceDE/>
              <w:autoSpaceDN/>
              <w:bidi w:val="0"/>
              <w:spacing w:line="360" w:lineRule="auto"/>
              <w:ind w:firstLine="482"/>
              <w:textAlignment w:val="auto"/>
              <w:rPr>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2、</w:t>
            </w:r>
            <w:r>
              <w:rPr>
                <w:rFonts w:hint="eastAsia"/>
                <w:b/>
                <w:bCs/>
                <w:color w:val="000000" w:themeColor="text1"/>
                <w:szCs w:val="21"/>
                <w:highlight w:val="none"/>
                <w14:textFill>
                  <w14:solidFill>
                    <w14:schemeClr w14:val="tx1"/>
                  </w14:solidFill>
                </w14:textFill>
              </w:rPr>
              <w:t>其他</w:t>
            </w:r>
            <w:r>
              <w:rPr>
                <w:b/>
                <w:bCs/>
                <w:color w:val="000000" w:themeColor="text1"/>
                <w:szCs w:val="21"/>
                <w:highlight w:val="none"/>
                <w14:textFill>
                  <w14:solidFill>
                    <w14:schemeClr w14:val="tx1"/>
                  </w14:solidFill>
                </w14:textFill>
              </w:rPr>
              <w:t>产污</w:t>
            </w:r>
            <w:r>
              <w:rPr>
                <w:rFonts w:hint="eastAsia"/>
                <w:b/>
                <w:bCs/>
                <w:color w:val="000000" w:themeColor="text1"/>
                <w:szCs w:val="21"/>
                <w:highlight w:val="none"/>
                <w14:textFill>
                  <w14:solidFill>
                    <w14:schemeClr w14:val="tx1"/>
                  </w14:solidFill>
                </w14:textFill>
              </w:rPr>
              <w:t>环节</w:t>
            </w:r>
            <w:r>
              <w:rPr>
                <w:b/>
                <w:bCs/>
                <w:color w:val="000000" w:themeColor="text1"/>
                <w:szCs w:val="21"/>
                <w:highlight w:val="none"/>
                <w14:textFill>
                  <w14:solidFill>
                    <w14:schemeClr w14:val="tx1"/>
                  </w14:solidFill>
                </w14:textFill>
              </w:rPr>
              <w:t>：</w:t>
            </w:r>
          </w:p>
          <w:p w14:paraId="7E0A00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生活污水：本项目运营期员工在工作期间也将产生一定的生活污水W</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02568E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车间清洗：</w:t>
            </w:r>
            <w:r>
              <w:rPr>
                <w:rFonts w:hint="eastAsia" w:ascii="Times New Roman" w:hAnsi="Times New Roman" w:eastAsia="宋体" w:cs="Times New Roman"/>
                <w:bCs/>
                <w:color w:val="000000" w:themeColor="text1"/>
                <w:sz w:val="24"/>
                <w:szCs w:val="24"/>
                <w:highlight w:val="none"/>
                <w14:textFill>
                  <w14:solidFill>
                    <w14:schemeClr w14:val="tx1"/>
                  </w14:solidFill>
                </w14:textFill>
              </w:rPr>
              <w:t>生产厂房地面</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（包括车间加工区和办公区）</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每天均需要拖洗一次</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，产生</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车间清洗</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12。</w:t>
            </w:r>
          </w:p>
          <w:p w14:paraId="2609E9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t>（3）工具清洗间：</w:t>
            </w:r>
            <w:r>
              <w:rPr>
                <w:rFonts w:hint="eastAsia"/>
                <w:bCs/>
                <w:color w:val="000000" w:themeColor="text1"/>
                <w:sz w:val="24"/>
                <w:szCs w:val="24"/>
                <w:highlight w:val="none"/>
                <w:lang w:val="en-US" w:eastAsia="zh-CN"/>
                <w14:textFill>
                  <w14:solidFill>
                    <w14:schemeClr w14:val="tx1"/>
                  </w14:solidFill>
                </w14:textFill>
              </w:rPr>
              <w:t>7#车间</w:t>
            </w:r>
            <w:r>
              <w:rPr>
                <w:rFonts w:hint="eastAsia"/>
                <w:bCs/>
                <w:color w:val="000000" w:themeColor="text1"/>
                <w:sz w:val="24"/>
                <w:szCs w:val="24"/>
                <w:highlight w:val="none"/>
                <w:lang w:eastAsia="zh-CN"/>
                <w14:textFill>
                  <w14:solidFill>
                    <w14:schemeClr w14:val="tx1"/>
                  </w14:solidFill>
                </w14:textFill>
              </w:rPr>
              <w:t>设置</w:t>
            </w:r>
            <w:r>
              <w:rPr>
                <w:rFonts w:hint="eastAsia"/>
                <w:bCs/>
                <w:color w:val="000000" w:themeColor="text1"/>
                <w:sz w:val="24"/>
                <w:szCs w:val="24"/>
                <w:highlight w:val="none"/>
                <w:lang w:val="en-US" w:eastAsia="zh-CN"/>
                <w14:textFill>
                  <w14:solidFill>
                    <w14:schemeClr w14:val="tx1"/>
                  </w14:solidFill>
                </w14:textFill>
              </w:rPr>
              <w:t>了工具清洗间，用于清洗修理食材后工具，每日清洗用水</w:t>
            </w:r>
            <w:r>
              <w:rPr>
                <w:rFonts w:hint="eastAsia"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t>W13。</w:t>
            </w:r>
          </w:p>
          <w:p w14:paraId="5D9D8D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t>（4）</w:t>
            </w:r>
            <w:r>
              <w:rPr>
                <w:rFonts w:hint="eastAsia"/>
                <w:color w:val="000000" w:themeColor="text1"/>
                <w:highlight w:val="none"/>
                <w14:textFill>
                  <w14:solidFill>
                    <w14:schemeClr w14:val="tx1"/>
                  </w14:solidFill>
                </w14:textFill>
              </w:rPr>
              <w:t>食堂废水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本项目布设了食堂，产生食堂废水W14</w:t>
            </w:r>
            <w:r>
              <w:rPr>
                <w:rFonts w:hint="eastAsia"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t xml:space="preserve">。 </w:t>
            </w:r>
          </w:p>
          <w:p w14:paraId="27A656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（5）锅炉废水：本项目采用</w:t>
            </w:r>
            <w:r>
              <w:rPr>
                <w:rFonts w:hint="eastAsia" w:ascii="Times New Roman" w:hAnsi="Times New Roman" w:eastAsia="宋体" w:cs="Times New Roman"/>
                <w:color w:val="000000" w:themeColor="text1"/>
                <w:highlight w:val="none"/>
                <w14:textFill>
                  <w14:solidFill>
                    <w14:schemeClr w14:val="tx1"/>
                  </w14:solidFill>
                </w14:textFill>
              </w:rPr>
              <w:t>低氮燃烧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锅炉</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水蒸气</w:t>
            </w:r>
            <w:r>
              <w:rPr>
                <w:rFonts w:hint="eastAsia" w:ascii="Times New Roman" w:hAnsi="Times New Roman" w:eastAsia="宋体" w:cs="Times New Roman"/>
                <w:color w:val="000000" w:themeColor="text1"/>
                <w:highlight w:val="none"/>
                <w14:textFill>
                  <w14:solidFill>
                    <w14:schemeClr w14:val="tx1"/>
                  </w14:solidFill>
                </w14:textFill>
              </w:rPr>
              <w:t>循环使用，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产生锅炉废</w:t>
            </w:r>
            <w:r>
              <w:rPr>
                <w:rFonts w:hint="default" w:ascii="Times New Roman" w:hAnsi="Times New Roman" w:eastAsia="宋体" w:cs="Times New Roman"/>
                <w:color w:val="000000" w:themeColor="text1"/>
                <w:highlight w:val="none"/>
                <w14:textFill>
                  <w14:solidFill>
                    <w14:schemeClr w14:val="tx1"/>
                  </w14:solidFill>
                </w14:textFill>
              </w:rPr>
              <w:t>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W15。</w:t>
            </w:r>
          </w:p>
          <w:p w14:paraId="17971A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（6）研发废水：研发室产生的废水W16。</w:t>
            </w:r>
          </w:p>
          <w:p w14:paraId="71BBE1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cs="Times New Roman"/>
                <w:color w:val="000000" w:themeColor="text1"/>
                <w:highlight w:val="none"/>
                <w:lang w:val="en-US" w:eastAsia="zh-CN"/>
                <w14:textFill>
                  <w14:solidFill>
                    <w14:schemeClr w14:val="tx1"/>
                  </w14:solidFill>
                </w14:textFill>
              </w:rPr>
              <w:t>净水器废水：净水器产生的浓水和反冲洗水W17</w:t>
            </w:r>
          </w:p>
          <w:p w14:paraId="6FFF56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员工生活垃圾</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本项目运营期员工每天产生</w:t>
            </w:r>
            <w:r>
              <w:rPr>
                <w:rFonts w:hint="eastAsia" w:ascii="Times New Roman" w:hAnsi="Times New Roman" w:eastAsia="宋体" w:cs="Times New Roman"/>
                <w:color w:val="000000" w:themeColor="text1"/>
                <w:highlight w:val="none"/>
                <w14:textFill>
                  <w14:solidFill>
                    <w14:schemeClr w14:val="tx1"/>
                  </w14:solidFill>
                </w14:textFill>
              </w:rPr>
              <w:t>生活垃圾</w:t>
            </w:r>
            <w:r>
              <w:rPr>
                <w:rFonts w:hint="eastAsia" w:ascii="Times New Roman" w:hAnsi="Times New Roman" w:eastAsia="宋体" w:cs="Times New Roman"/>
                <w:color w:val="000000" w:themeColor="text1"/>
                <w:highlight w:val="none"/>
                <w:lang w:val="en-US" w:eastAsia="zh-CN"/>
                <w14:textFill>
                  <w14:solidFill>
                    <w14:schemeClr w14:val="tx1"/>
                  </w14:solidFill>
                </w14:textFill>
              </w:rPr>
              <w:t>S</w:t>
            </w:r>
            <w:r>
              <w:rPr>
                <w:rFonts w:hint="eastAsia"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6A64ED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食堂餐厨垃圾</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食堂产生的</w:t>
            </w:r>
            <w:r>
              <w:rPr>
                <w:rFonts w:hint="eastAsia" w:ascii="Times New Roman" w:hAnsi="Times New Roman" w:eastAsia="宋体" w:cs="Times New Roman"/>
                <w:color w:val="000000" w:themeColor="text1"/>
                <w:highlight w:val="none"/>
                <w14:textFill>
                  <w14:solidFill>
                    <w14:schemeClr w14:val="tx1"/>
                  </w14:solidFill>
                </w14:textFill>
              </w:rPr>
              <w:t>餐厨垃圾</w:t>
            </w:r>
            <w:r>
              <w:rPr>
                <w:rFonts w:hint="eastAsia" w:ascii="Times New Roman" w:hAnsi="Times New Roman" w:eastAsia="宋体" w:cs="Times New Roman"/>
                <w:color w:val="000000" w:themeColor="text1"/>
                <w:highlight w:val="none"/>
                <w:lang w:val="en-US" w:eastAsia="zh-CN"/>
                <w14:textFill>
                  <w14:solidFill>
                    <w14:schemeClr w14:val="tx1"/>
                  </w14:solidFill>
                </w14:textFill>
              </w:rPr>
              <w:t>S</w:t>
            </w:r>
            <w:r>
              <w:rPr>
                <w:rFonts w:hint="eastAsia" w:cs="Times New Roman"/>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29C7E1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14:textFill>
                  <w14:solidFill>
                    <w14:schemeClr w14:val="tx1"/>
                  </w14:solidFill>
                </w14:textFill>
              </w:rPr>
              <w:t>污水处理站污泥</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污水处理站产生的活性污泥S</w:t>
            </w:r>
            <w:r>
              <w:rPr>
                <w:rFonts w:hint="eastAsia" w:cs="Times New Roman"/>
                <w:color w:val="000000" w:themeColor="text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0BF445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）净水器产生的</w:t>
            </w:r>
            <w:r>
              <w:rPr>
                <w:rFonts w:hint="default" w:ascii="Times New Roman" w:hAnsi="Times New Roman" w:eastAsia="宋体" w:cs="Times New Roman"/>
                <w:color w:val="000000" w:themeColor="text1"/>
                <w:highlight w:val="none"/>
                <w:lang w:val="en-US" w:eastAsia="zh-CN"/>
                <w14:textFill>
                  <w14:solidFill>
                    <w14:schemeClr w14:val="tx1"/>
                  </w14:solidFill>
                </w14:textFill>
              </w:rPr>
              <w:t>离子交换</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树脂S1</w:t>
            </w:r>
            <w:r>
              <w:rPr>
                <w:rFonts w:hint="eastAsia" w:cs="Times New Roman"/>
                <w:color w:val="000000" w:themeColor="text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、反渗透膜S1</w:t>
            </w:r>
            <w:r>
              <w:rPr>
                <w:rFonts w:hint="eastAsia"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3E3654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车间杀菌消毒：项目车间安装紫外灯对生产区域进行消毒杀菌，紫外灯损坏或老旧时更换会产生少量废紫外灯S</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w:t>
            </w:r>
          </w:p>
          <w:p w14:paraId="04E16D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13</w:t>
            </w: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设备维修保养产生的废润滑油S</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13。</w:t>
            </w:r>
          </w:p>
          <w:p w14:paraId="401562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含油手套和含油棉纱S1</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4。</w:t>
            </w:r>
          </w:p>
          <w:p w14:paraId="6FC814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食堂油烟废气G2。</w:t>
            </w:r>
          </w:p>
          <w:p w14:paraId="489452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6</w:t>
            </w:r>
            <w:r>
              <w:rPr>
                <w:rFonts w:hint="eastAsia" w:ascii="Times New Roman" w:hAnsi="Times New Roman" w:cs="Times New Roman"/>
                <w:color w:val="000000" w:themeColor="text1"/>
                <w:highlight w:val="none"/>
                <w:lang w:val="en-US" w:eastAsia="zh-CN"/>
                <w14:textFill>
                  <w14:solidFill>
                    <w14:schemeClr w14:val="tx1"/>
                  </w14:solidFill>
                </w14:textFill>
              </w:rPr>
              <w:t>）发电机废气：</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项目设1台柴油发电机作备用电源。仅停电时使用。柴油发电机工作时由于柴油燃烧产生的少量废气</w:t>
            </w:r>
            <w:r>
              <w:rPr>
                <w:rFonts w:hint="eastAsia" w:ascii="Times New Roman" w:hAnsi="Times New Roman" w:cs="Times New Roman"/>
                <w:color w:val="000000" w:themeColor="text1"/>
                <w:highlight w:val="none"/>
                <w:lang w:val="en-US" w:eastAsia="zh-CN"/>
                <w14:textFill>
                  <w14:solidFill>
                    <w14:schemeClr w14:val="tx1"/>
                  </w14:solidFill>
                </w14:textFill>
              </w:rPr>
              <w:t>G3。</w:t>
            </w:r>
          </w:p>
          <w:p w14:paraId="01E7C9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）污水处理站臭气G4。</w:t>
            </w:r>
          </w:p>
          <w:p w14:paraId="0B17EE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18</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）车间异味G5。</w:t>
            </w:r>
          </w:p>
          <w:p w14:paraId="2613CB11">
            <w:pPr>
              <w:keepNext w:val="0"/>
              <w:keepLines w:val="0"/>
              <w:pageBreakBefore w:val="0"/>
              <w:kinsoku/>
              <w:wordWrap/>
              <w:overflowPunct/>
              <w:topLinePunct w:val="0"/>
              <w:autoSpaceDE/>
              <w:autoSpaceDN/>
              <w:bidi w:val="0"/>
              <w:spacing w:line="360" w:lineRule="auto"/>
              <w:ind w:firstLine="482"/>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3、产排污情况汇总</w:t>
            </w:r>
          </w:p>
          <w:p w14:paraId="2DC6AB00">
            <w:pPr>
              <w:keepNext w:val="0"/>
              <w:keepLines w:val="0"/>
              <w:pageBreakBefore w:val="0"/>
              <w:kinsoku/>
              <w:wordWrap/>
              <w:overflowPunct/>
              <w:topLinePunct w:val="0"/>
              <w:autoSpaceDE/>
              <w:autoSpaceDN/>
              <w:bidi w:val="0"/>
              <w:spacing w:line="360" w:lineRule="auto"/>
              <w:ind w:firstLine="480"/>
              <w:textAlignment w:val="auto"/>
              <w:rPr>
                <w:color w:val="000000" w:themeColor="text1"/>
                <w:highlight w:val="none"/>
                <w14:textFill>
                  <w14:solidFill>
                    <w14:schemeClr w14:val="tx1"/>
                  </w14:solidFill>
                </w14:textFill>
              </w:rPr>
            </w:pPr>
            <w:r>
              <w:rPr>
                <w:bCs/>
                <w:color w:val="000000" w:themeColor="text1"/>
                <w:szCs w:val="21"/>
                <w:highlight w:val="none"/>
                <w14:textFill>
                  <w14:solidFill>
                    <w14:schemeClr w14:val="tx1"/>
                  </w14:solidFill>
                </w14:textFill>
              </w:rPr>
              <w:t>项目产污情况详见表2</w:t>
            </w:r>
            <w:r>
              <w:rPr>
                <w:rFonts w:hint="eastAsia"/>
                <w:bCs/>
                <w:color w:val="000000" w:themeColor="text1"/>
                <w:szCs w:val="21"/>
                <w:highlight w:val="none"/>
                <w:lang w:val="en-US" w:eastAsia="zh-CN"/>
                <w14:textFill>
                  <w14:solidFill>
                    <w14:schemeClr w14:val="tx1"/>
                  </w14:solidFill>
                </w14:textFill>
              </w:rPr>
              <w:t>.10</w:t>
            </w:r>
            <w:r>
              <w:rPr>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1</w:t>
            </w:r>
            <w:r>
              <w:rPr>
                <w:bCs/>
                <w:color w:val="000000" w:themeColor="text1"/>
                <w:szCs w:val="21"/>
                <w:highlight w:val="none"/>
                <w14:textFill>
                  <w14:solidFill>
                    <w14:schemeClr w14:val="tx1"/>
                  </w14:solidFill>
                </w14:textFill>
              </w:rPr>
              <w:t>。</w:t>
            </w:r>
          </w:p>
          <w:p w14:paraId="0730A0D3">
            <w:pPr>
              <w:pStyle w:val="4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 xml:space="preserve">    项目产污环节一览表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3"/>
              <w:gridCol w:w="2375"/>
              <w:gridCol w:w="1298"/>
              <w:gridCol w:w="4745"/>
            </w:tblGrid>
            <w:tr w14:paraId="4D44BC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Align w:val="center"/>
                </w:tcPr>
                <w:p w14:paraId="08C735D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类型</w:t>
                  </w:r>
                </w:p>
              </w:tc>
              <w:tc>
                <w:tcPr>
                  <w:tcW w:w="2375" w:type="dxa"/>
                  <w:vAlign w:val="center"/>
                </w:tcPr>
                <w:p w14:paraId="0980AE5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编号</w:t>
                  </w:r>
                </w:p>
              </w:tc>
              <w:tc>
                <w:tcPr>
                  <w:tcW w:w="1298" w:type="dxa"/>
                  <w:vAlign w:val="center"/>
                </w:tcPr>
                <w:p w14:paraId="2788D86E">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工序</w:t>
                  </w:r>
                </w:p>
              </w:tc>
              <w:tc>
                <w:tcPr>
                  <w:tcW w:w="4745" w:type="dxa"/>
                  <w:vAlign w:val="center"/>
                </w:tcPr>
                <w:p w14:paraId="105FE412">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主要污染物</w:t>
                  </w:r>
                </w:p>
              </w:tc>
            </w:tr>
            <w:tr w14:paraId="59AB15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restart"/>
                  <w:vAlign w:val="center"/>
                </w:tcPr>
                <w:p w14:paraId="76847C0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2375" w:type="dxa"/>
                  <w:vAlign w:val="center"/>
                </w:tcPr>
                <w:p w14:paraId="062C71A9">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G1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锅炉</w:t>
                  </w: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1298" w:type="dxa"/>
                  <w:vAlign w:val="center"/>
                </w:tcPr>
                <w:p w14:paraId="4F4CA46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天然气燃烧</w:t>
                  </w:r>
                </w:p>
              </w:tc>
              <w:tc>
                <w:tcPr>
                  <w:tcW w:w="4745" w:type="dxa"/>
                  <w:vAlign w:val="center"/>
                </w:tcPr>
                <w:p w14:paraId="5F8BFDE8">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二氧化硫、氮氧化物、颗粒物</w:t>
                  </w:r>
                </w:p>
              </w:tc>
            </w:tr>
            <w:tr w14:paraId="66D1BF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70FA6A5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07782204">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G</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食堂油烟废气</w:t>
                  </w:r>
                </w:p>
              </w:tc>
              <w:tc>
                <w:tcPr>
                  <w:tcW w:w="1298" w:type="dxa"/>
                  <w:vAlign w:val="center"/>
                </w:tcPr>
                <w:p w14:paraId="423D566F">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食堂</w:t>
                  </w:r>
                </w:p>
              </w:tc>
              <w:tc>
                <w:tcPr>
                  <w:tcW w:w="4745" w:type="dxa"/>
                  <w:vAlign w:val="center"/>
                </w:tcPr>
                <w:p w14:paraId="269E2A74">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油烟、非甲烷总烃</w:t>
                  </w:r>
                </w:p>
              </w:tc>
            </w:tr>
            <w:tr w14:paraId="3766E3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48599DE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44D953D8">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G3发电机废气</w:t>
                  </w:r>
                </w:p>
              </w:tc>
              <w:tc>
                <w:tcPr>
                  <w:tcW w:w="1298" w:type="dxa"/>
                  <w:shd w:val="clear" w:color="auto" w:fill="auto"/>
                  <w:vAlign w:val="center"/>
                </w:tcPr>
                <w:p w14:paraId="256AF96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发电机</w:t>
                  </w:r>
                </w:p>
              </w:tc>
              <w:tc>
                <w:tcPr>
                  <w:tcW w:w="4745" w:type="dxa"/>
                  <w:shd w:val="clear" w:color="auto" w:fill="auto"/>
                  <w:vAlign w:val="center"/>
                </w:tcPr>
                <w:p w14:paraId="6A63A43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HC、CO、NO</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x</w:t>
                  </w:r>
                  <w:r>
                    <w:rPr>
                      <w:rFonts w:hint="default" w:ascii="Times New Roman" w:hAnsi="Times New Roman" w:cs="Times New Roman"/>
                      <w:bCs/>
                      <w:color w:val="000000" w:themeColor="text1"/>
                      <w:sz w:val="21"/>
                      <w:szCs w:val="21"/>
                      <w:highlight w:val="none"/>
                      <w14:textFill>
                        <w14:solidFill>
                          <w14:schemeClr w14:val="tx1"/>
                        </w14:solidFill>
                      </w14:textFill>
                    </w:rPr>
                    <w:t>、SO</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2</w:t>
                  </w:r>
                </w:p>
              </w:tc>
            </w:tr>
            <w:tr w14:paraId="01A06F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5AEF8ADB">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27DF55EF">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G4污水处理站臭气</w:t>
                  </w:r>
                </w:p>
              </w:tc>
              <w:tc>
                <w:tcPr>
                  <w:tcW w:w="1298" w:type="dxa"/>
                  <w:shd w:val="clear" w:color="auto" w:fill="auto"/>
                  <w:vAlign w:val="center"/>
                </w:tcPr>
                <w:p w14:paraId="32185E9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p>
              </w:tc>
              <w:tc>
                <w:tcPr>
                  <w:tcW w:w="4745" w:type="dxa"/>
                  <w:shd w:val="clear" w:color="auto" w:fill="auto"/>
                  <w:vAlign w:val="center"/>
                </w:tcPr>
                <w:p w14:paraId="38CF1F5D">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臭气浓度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硫化氢</w:t>
                  </w:r>
                </w:p>
              </w:tc>
            </w:tr>
            <w:tr w14:paraId="465424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6543628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77714343">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G5车间异味</w:t>
                  </w:r>
                </w:p>
              </w:tc>
              <w:tc>
                <w:tcPr>
                  <w:tcW w:w="1298" w:type="dxa"/>
                  <w:vAlign w:val="center"/>
                </w:tcPr>
                <w:p w14:paraId="6E956BC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车间生产</w:t>
                  </w:r>
                </w:p>
              </w:tc>
              <w:tc>
                <w:tcPr>
                  <w:tcW w:w="4745" w:type="dxa"/>
                  <w:vAlign w:val="center"/>
                </w:tcPr>
                <w:p w14:paraId="531CAA46">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color w:val="000000" w:themeColor="text1"/>
                      <w:szCs w:val="21"/>
                      <w:highlight w:val="none"/>
                      <w14:textFill>
                        <w14:solidFill>
                          <w14:schemeClr w14:val="tx1"/>
                        </w14:solidFill>
                      </w14:textFill>
                    </w:rPr>
                    <w:t>臭气浓度</w:t>
                  </w:r>
                </w:p>
              </w:tc>
            </w:tr>
            <w:tr w14:paraId="1AEE3A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restart"/>
                  <w:vAlign w:val="center"/>
                </w:tcPr>
                <w:p w14:paraId="349EF33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废水</w:t>
                  </w:r>
                </w:p>
              </w:tc>
              <w:tc>
                <w:tcPr>
                  <w:tcW w:w="2375" w:type="dxa"/>
                  <w:vAlign w:val="center"/>
                </w:tcPr>
                <w:p w14:paraId="4E73093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W1~W10</w:t>
                  </w:r>
                  <w:r>
                    <w:rPr>
                      <w:rFonts w:hint="default" w:ascii="Times New Roman" w:hAnsi="Times New Roman" w:cs="Times New Roman"/>
                      <w:color w:val="000000" w:themeColor="text1"/>
                      <w:sz w:val="21"/>
                      <w:szCs w:val="21"/>
                      <w:highlight w:val="none"/>
                      <w14:textFill>
                        <w14:solidFill>
                          <w14:schemeClr w14:val="tx1"/>
                        </w14:solidFill>
                      </w14:textFill>
                    </w:rPr>
                    <w:t>生产废水</w:t>
                  </w:r>
                </w:p>
              </w:tc>
              <w:tc>
                <w:tcPr>
                  <w:tcW w:w="1298" w:type="dxa"/>
                  <w:vAlign w:val="center"/>
                </w:tcPr>
                <w:p w14:paraId="5D4F2853">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车间生产</w:t>
                  </w:r>
                </w:p>
              </w:tc>
              <w:tc>
                <w:tcPr>
                  <w:tcW w:w="4745" w:type="dxa"/>
                  <w:vAlign w:val="center"/>
                </w:tcPr>
                <w:p w14:paraId="2BCD5C0A">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PH、</w:t>
                  </w:r>
                  <w:r>
                    <w:rPr>
                      <w:rFonts w:hint="default" w:ascii="Times New Roman" w:hAnsi="Times New Roman" w:cs="Times New Roman"/>
                      <w:color w:val="000000" w:themeColor="text1"/>
                      <w:sz w:val="21"/>
                      <w:szCs w:val="21"/>
                      <w:highlight w:val="none"/>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-N、动植物油、TN</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TP、LAS</w:t>
                  </w:r>
                </w:p>
              </w:tc>
            </w:tr>
            <w:tr w14:paraId="470B79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6D57779E">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114788D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W11</w:t>
                  </w:r>
                  <w:r>
                    <w:rPr>
                      <w:rFonts w:hint="default" w:ascii="Times New Roman" w:hAnsi="Times New Roman" w:cs="Times New Roman"/>
                      <w:color w:val="000000" w:themeColor="text1"/>
                      <w:sz w:val="21"/>
                      <w:szCs w:val="21"/>
                      <w:highlight w:val="none"/>
                      <w14:textFill>
                        <w14:solidFill>
                          <w14:schemeClr w14:val="tx1"/>
                        </w14:solidFill>
                      </w14:textFill>
                    </w:rPr>
                    <w:t>生活污水</w:t>
                  </w:r>
                </w:p>
              </w:tc>
              <w:tc>
                <w:tcPr>
                  <w:tcW w:w="1298" w:type="dxa"/>
                  <w:vAlign w:val="center"/>
                </w:tcPr>
                <w:p w14:paraId="7200A4C6">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员工生活</w:t>
                  </w:r>
                </w:p>
              </w:tc>
              <w:tc>
                <w:tcPr>
                  <w:tcW w:w="4745" w:type="dxa"/>
                  <w:vAlign w:val="center"/>
                </w:tcPr>
                <w:p w14:paraId="066E32A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TP</w:t>
                  </w:r>
                </w:p>
              </w:tc>
            </w:tr>
            <w:tr w14:paraId="5F5E28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707A9AC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718075D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W12</w:t>
                  </w:r>
                  <w:r>
                    <w:rPr>
                      <w:rFonts w:hint="default" w:ascii="Times New Roman" w:hAnsi="Times New Roman" w:eastAsia="宋体" w:cs="Times New Roman"/>
                      <w:bCs/>
                      <w:color w:val="000000" w:themeColor="text1"/>
                      <w:sz w:val="21"/>
                      <w:szCs w:val="21"/>
                      <w:highlight w:val="none"/>
                      <w14:textFill>
                        <w14:solidFill>
                          <w14:schemeClr w14:val="tx1"/>
                        </w14:solidFill>
                      </w14:textFill>
                    </w:rPr>
                    <w:t>车间清洗</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bCs/>
                      <w:color w:val="000000" w:themeColor="text1"/>
                      <w:sz w:val="21"/>
                      <w:szCs w:val="21"/>
                      <w:highlight w:val="none"/>
                      <w14:textFill>
                        <w14:solidFill>
                          <w14:schemeClr w14:val="tx1"/>
                        </w14:solidFill>
                      </w14:textFill>
                    </w:rPr>
                    <w:t>水</w:t>
                  </w:r>
                </w:p>
              </w:tc>
              <w:tc>
                <w:tcPr>
                  <w:tcW w:w="1298" w:type="dxa"/>
                  <w:vAlign w:val="center"/>
                </w:tcPr>
                <w:p w14:paraId="18DC698A">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车间清洗</w:t>
                  </w:r>
                </w:p>
              </w:tc>
              <w:tc>
                <w:tcPr>
                  <w:tcW w:w="4745" w:type="dxa"/>
                  <w:vAlign w:val="center"/>
                </w:tcPr>
                <w:p w14:paraId="3C408DF9">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LAS</w:t>
                  </w:r>
                </w:p>
              </w:tc>
            </w:tr>
            <w:tr w14:paraId="4E3516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4B6EE1B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28AF452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W13</w:t>
                  </w:r>
                  <w:r>
                    <w:rPr>
                      <w:rFonts w:hint="default" w:ascii="Times New Roman" w:hAnsi="Times New Roman" w:cs="Times New Roman"/>
                      <w:color w:val="000000" w:themeColor="text1"/>
                      <w:sz w:val="21"/>
                      <w:szCs w:val="21"/>
                      <w:highlight w:val="none"/>
                      <w:lang w:eastAsia="zh-CN"/>
                      <w14:textFill>
                        <w14:solidFill>
                          <w14:schemeClr w14:val="tx1"/>
                        </w14:solidFill>
                      </w14:textFill>
                    </w:rPr>
                    <w:t>工具清洗</w:t>
                  </w:r>
                  <w:r>
                    <w:rPr>
                      <w:rFonts w:hint="default" w:ascii="Times New Roman" w:hAnsi="Times New Roman" w:cs="Times New Roman"/>
                      <w:color w:val="000000" w:themeColor="text1"/>
                      <w:sz w:val="21"/>
                      <w:szCs w:val="21"/>
                      <w:highlight w:val="none"/>
                      <w14:textFill>
                        <w14:solidFill>
                          <w14:schemeClr w14:val="tx1"/>
                        </w14:solidFill>
                      </w14:textFill>
                    </w:rPr>
                    <w:t>废水</w:t>
                  </w:r>
                </w:p>
              </w:tc>
              <w:tc>
                <w:tcPr>
                  <w:tcW w:w="1298" w:type="dxa"/>
                  <w:vAlign w:val="center"/>
                </w:tcPr>
                <w:p w14:paraId="62500DB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工具清洗</w:t>
                  </w:r>
                </w:p>
              </w:tc>
              <w:tc>
                <w:tcPr>
                  <w:tcW w:w="4745" w:type="dxa"/>
                  <w:vAlign w:val="center"/>
                </w:tcPr>
                <w:p w14:paraId="1EE7C96F">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-N、动植物油、TN</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LAS</w:t>
                  </w:r>
                </w:p>
              </w:tc>
            </w:tr>
            <w:tr w14:paraId="0315A8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2D0D6F46">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4DDFC658">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W14</w:t>
                  </w:r>
                  <w:r>
                    <w:rPr>
                      <w:rFonts w:hint="default" w:ascii="Times New Roman" w:hAnsi="Times New Roman" w:cs="Times New Roman"/>
                      <w:color w:val="000000" w:themeColor="text1"/>
                      <w:sz w:val="21"/>
                      <w:szCs w:val="21"/>
                      <w:highlight w:val="none"/>
                      <w14:textFill>
                        <w14:solidFill>
                          <w14:schemeClr w14:val="tx1"/>
                        </w14:solidFill>
                      </w14:textFill>
                    </w:rPr>
                    <w:t>食堂废水</w:t>
                  </w:r>
                </w:p>
              </w:tc>
              <w:tc>
                <w:tcPr>
                  <w:tcW w:w="1298" w:type="dxa"/>
                  <w:vAlign w:val="center"/>
                </w:tcPr>
                <w:p w14:paraId="257EC5D9">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食堂</w:t>
                  </w:r>
                </w:p>
              </w:tc>
              <w:tc>
                <w:tcPr>
                  <w:tcW w:w="4745" w:type="dxa"/>
                  <w:vAlign w:val="center"/>
                </w:tcPr>
                <w:p w14:paraId="78E57A54">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-N、动植物油</w:t>
                  </w:r>
                </w:p>
              </w:tc>
            </w:tr>
            <w:tr w14:paraId="45E8B9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68F4B57A">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306A879A">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W15</w:t>
                  </w:r>
                  <w:r>
                    <w:rPr>
                      <w:rFonts w:hint="default" w:ascii="Times New Roman" w:hAnsi="Times New Roman" w:cs="Times New Roman"/>
                      <w:color w:val="000000" w:themeColor="text1"/>
                      <w:sz w:val="21"/>
                      <w:szCs w:val="21"/>
                      <w:highlight w:val="none"/>
                      <w14:textFill>
                        <w14:solidFill>
                          <w14:schemeClr w14:val="tx1"/>
                        </w14:solidFill>
                      </w14:textFill>
                    </w:rPr>
                    <w:t>锅炉废水</w:t>
                  </w:r>
                </w:p>
              </w:tc>
              <w:tc>
                <w:tcPr>
                  <w:tcW w:w="1298" w:type="dxa"/>
                  <w:vAlign w:val="center"/>
                </w:tcPr>
                <w:p w14:paraId="5C02F37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w:t>
                  </w:r>
                </w:p>
              </w:tc>
              <w:tc>
                <w:tcPr>
                  <w:tcW w:w="4745" w:type="dxa"/>
                  <w:vAlign w:val="center"/>
                </w:tcPr>
                <w:p w14:paraId="2BFAF28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COD、SS</w:t>
                  </w:r>
                </w:p>
              </w:tc>
            </w:tr>
            <w:tr w14:paraId="2ED912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35AE4136">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5BF5888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研发废水</w:t>
                  </w:r>
                </w:p>
              </w:tc>
              <w:tc>
                <w:tcPr>
                  <w:tcW w:w="1298" w:type="dxa"/>
                  <w:shd w:val="clear" w:color="auto" w:fill="auto"/>
                  <w:vAlign w:val="center"/>
                </w:tcPr>
                <w:p w14:paraId="01A66C8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研发室</w:t>
                  </w:r>
                </w:p>
              </w:tc>
              <w:tc>
                <w:tcPr>
                  <w:tcW w:w="4745" w:type="dxa"/>
                  <w:shd w:val="clear" w:color="auto" w:fill="auto"/>
                  <w:vAlign w:val="center"/>
                </w:tcPr>
                <w:p w14:paraId="40EEB22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PH、</w:t>
                  </w:r>
                  <w:r>
                    <w:rPr>
                      <w:rFonts w:hint="default" w:ascii="Times New Roman" w:hAnsi="Times New Roman" w:cs="Times New Roman"/>
                      <w:color w:val="000000" w:themeColor="text1"/>
                      <w:sz w:val="21"/>
                      <w:szCs w:val="21"/>
                      <w:highlight w:val="none"/>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-N、动植物油、TN</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TP、LAS</w:t>
                  </w:r>
                </w:p>
              </w:tc>
            </w:tr>
            <w:tr w14:paraId="431127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1E6A9C2E">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18B5B08A">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w:t>
                  </w:r>
                  <w:r>
                    <w:rPr>
                      <w:rFonts w:hint="eastAsia" w:cs="Times New Roman"/>
                      <w:color w:val="000000" w:themeColor="text1"/>
                      <w:sz w:val="21"/>
                      <w:szCs w:val="21"/>
                      <w:highlight w:val="none"/>
                      <w:lang w:val="en-US" w:eastAsia="zh-CN"/>
                      <w14:textFill>
                        <w14:solidFill>
                          <w14:schemeClr w14:val="tx1"/>
                        </w14:solidFill>
                      </w14:textFill>
                    </w:rPr>
                    <w:t>7净水器废水</w:t>
                  </w:r>
                </w:p>
              </w:tc>
              <w:tc>
                <w:tcPr>
                  <w:tcW w:w="1298" w:type="dxa"/>
                  <w:vAlign w:val="center"/>
                </w:tcPr>
                <w:p w14:paraId="5B87E5B9">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净水器</w:t>
                  </w:r>
                </w:p>
              </w:tc>
              <w:tc>
                <w:tcPr>
                  <w:tcW w:w="4745" w:type="dxa"/>
                  <w:vAlign w:val="center"/>
                </w:tcPr>
                <w:p w14:paraId="4D9D889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w:t>
                  </w:r>
                </w:p>
              </w:tc>
            </w:tr>
            <w:tr w14:paraId="10EE91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Align w:val="center"/>
                </w:tcPr>
                <w:p w14:paraId="7E49BD2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w:t>
                  </w:r>
                </w:p>
              </w:tc>
              <w:tc>
                <w:tcPr>
                  <w:tcW w:w="2375" w:type="dxa"/>
                  <w:vAlign w:val="center"/>
                </w:tcPr>
                <w:p w14:paraId="357CDADE">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w:t>
                  </w:r>
                </w:p>
              </w:tc>
              <w:tc>
                <w:tcPr>
                  <w:tcW w:w="1298" w:type="dxa"/>
                  <w:vAlign w:val="center"/>
                </w:tcPr>
                <w:p w14:paraId="6973E48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设备噪声</w:t>
                  </w:r>
                </w:p>
              </w:tc>
              <w:tc>
                <w:tcPr>
                  <w:tcW w:w="4745" w:type="dxa"/>
                  <w:vAlign w:val="center"/>
                </w:tcPr>
                <w:p w14:paraId="169884A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主要噪声源为生产设备、生产辅助设备（风机等）</w:t>
                  </w:r>
                </w:p>
              </w:tc>
            </w:tr>
            <w:tr w14:paraId="32CCEB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restart"/>
                  <w:vAlign w:val="center"/>
                </w:tcPr>
                <w:p w14:paraId="5FB08DDF">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w:t>
                  </w:r>
                </w:p>
              </w:tc>
              <w:tc>
                <w:tcPr>
                  <w:tcW w:w="2375" w:type="dxa"/>
                  <w:vAlign w:val="center"/>
                </w:tcPr>
                <w:p w14:paraId="1EACA1B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S1原料</w:t>
                  </w:r>
                  <w:r>
                    <w:rPr>
                      <w:rFonts w:hint="default" w:ascii="Times New Roman" w:hAnsi="Times New Roman" w:cs="Times New Roman"/>
                      <w:color w:val="000000" w:themeColor="text1"/>
                      <w:sz w:val="21"/>
                      <w:szCs w:val="21"/>
                      <w:highlight w:val="none"/>
                      <w14:textFill>
                        <w14:solidFill>
                          <w14:schemeClr w14:val="tx1"/>
                        </w14:solidFill>
                      </w14:textFill>
                    </w:rPr>
                    <w:t>边角料</w:t>
                  </w:r>
                </w:p>
              </w:tc>
              <w:tc>
                <w:tcPr>
                  <w:tcW w:w="1298" w:type="dxa"/>
                  <w:vAlign w:val="center"/>
                </w:tcPr>
                <w:p w14:paraId="000D306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车间生产</w:t>
                  </w:r>
                </w:p>
              </w:tc>
              <w:tc>
                <w:tcPr>
                  <w:tcW w:w="4745" w:type="dxa"/>
                  <w:vAlign w:val="center"/>
                </w:tcPr>
                <w:p w14:paraId="7F07822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原料</w:t>
                  </w:r>
                  <w:r>
                    <w:rPr>
                      <w:rFonts w:hint="default" w:ascii="Times New Roman" w:hAnsi="Times New Roman" w:cs="Times New Roman"/>
                      <w:color w:val="000000" w:themeColor="text1"/>
                      <w:sz w:val="21"/>
                      <w:szCs w:val="21"/>
                      <w:highlight w:val="none"/>
                      <w14:textFill>
                        <w14:solidFill>
                          <w14:schemeClr w14:val="tx1"/>
                        </w14:solidFill>
                      </w14:textFill>
                    </w:rPr>
                    <w:t>边角料</w:t>
                  </w:r>
                </w:p>
              </w:tc>
            </w:tr>
            <w:tr w14:paraId="370210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560B8C3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369F2605">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S2</w:t>
                  </w:r>
                  <w:r>
                    <w:rPr>
                      <w:rFonts w:hint="default" w:ascii="Times New Roman" w:hAnsi="Times New Roman" w:cs="Times New Roman"/>
                      <w:color w:val="000000" w:themeColor="text1"/>
                      <w:sz w:val="21"/>
                      <w:szCs w:val="21"/>
                      <w:highlight w:val="none"/>
                      <w14:textFill>
                        <w14:solidFill>
                          <w14:schemeClr w14:val="tx1"/>
                        </w14:solidFill>
                      </w14:textFill>
                    </w:rPr>
                    <w:t>食材边角料</w:t>
                  </w:r>
                </w:p>
              </w:tc>
              <w:tc>
                <w:tcPr>
                  <w:tcW w:w="1298" w:type="dxa"/>
                  <w:vAlign w:val="center"/>
                </w:tcPr>
                <w:p w14:paraId="0EA1D692">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车间生产</w:t>
                  </w:r>
                </w:p>
              </w:tc>
              <w:tc>
                <w:tcPr>
                  <w:tcW w:w="4745" w:type="dxa"/>
                  <w:vAlign w:val="center"/>
                </w:tcPr>
                <w:p w14:paraId="3D35CC2A">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食材边角料</w:t>
                  </w:r>
                </w:p>
              </w:tc>
            </w:tr>
            <w:tr w14:paraId="1A496C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1743117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02A5B23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S3</w:t>
                  </w:r>
                  <w:r>
                    <w:rPr>
                      <w:rFonts w:hint="default" w:ascii="Times New Roman" w:hAnsi="Times New Roman" w:cs="Times New Roman"/>
                      <w:color w:val="000000" w:themeColor="text1"/>
                      <w:sz w:val="21"/>
                      <w:szCs w:val="21"/>
                      <w:highlight w:val="none"/>
                      <w14:textFill>
                        <w14:solidFill>
                          <w14:schemeClr w14:val="tx1"/>
                        </w14:solidFill>
                      </w14:textFill>
                    </w:rPr>
                    <w:t>废包装</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材料</w:t>
                  </w:r>
                </w:p>
              </w:tc>
              <w:tc>
                <w:tcPr>
                  <w:tcW w:w="1298" w:type="dxa"/>
                  <w:vAlign w:val="center"/>
                </w:tcPr>
                <w:p w14:paraId="2DA318F7">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车间生产</w:t>
                  </w:r>
                </w:p>
              </w:tc>
              <w:tc>
                <w:tcPr>
                  <w:tcW w:w="4745" w:type="dxa"/>
                  <w:vAlign w:val="center"/>
                </w:tcPr>
                <w:p w14:paraId="55CC3667">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废包装材料</w:t>
                  </w:r>
                </w:p>
              </w:tc>
            </w:tr>
            <w:tr w14:paraId="100A7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4267F084">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015DC3BB">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S4</w:t>
                  </w:r>
                  <w:r>
                    <w:rPr>
                      <w:rFonts w:hint="default" w:ascii="Times New Roman" w:hAnsi="Times New Roman" w:cs="Times New Roman"/>
                      <w:color w:val="000000" w:themeColor="text1"/>
                      <w:sz w:val="21"/>
                      <w:szCs w:val="21"/>
                      <w:highlight w:val="none"/>
                      <w14:textFill>
                        <w14:solidFill>
                          <w14:schemeClr w14:val="tx1"/>
                        </w14:solidFill>
                      </w14:textFill>
                    </w:rPr>
                    <w:t>废包装</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材料</w:t>
                  </w:r>
                </w:p>
              </w:tc>
              <w:tc>
                <w:tcPr>
                  <w:tcW w:w="1298" w:type="dxa"/>
                  <w:vAlign w:val="center"/>
                </w:tcPr>
                <w:p w14:paraId="13960098">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车间生产</w:t>
                  </w:r>
                </w:p>
              </w:tc>
              <w:tc>
                <w:tcPr>
                  <w:tcW w:w="4745" w:type="dxa"/>
                  <w:vAlign w:val="center"/>
                </w:tcPr>
                <w:p w14:paraId="19FFFCD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废包装材料</w:t>
                  </w:r>
                </w:p>
              </w:tc>
            </w:tr>
            <w:tr w14:paraId="68D618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15E2AE8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vAlign w:val="center"/>
                </w:tcPr>
                <w:p w14:paraId="0D84395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S5不合格产品</w:t>
                  </w:r>
                </w:p>
              </w:tc>
              <w:tc>
                <w:tcPr>
                  <w:tcW w:w="1298" w:type="dxa"/>
                  <w:vAlign w:val="center"/>
                </w:tcPr>
                <w:p w14:paraId="1366921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车间生产</w:t>
                  </w:r>
                </w:p>
              </w:tc>
              <w:tc>
                <w:tcPr>
                  <w:tcW w:w="4745" w:type="dxa"/>
                  <w:vAlign w:val="center"/>
                </w:tcPr>
                <w:p w14:paraId="43F25E8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不合格产品</w:t>
                  </w:r>
                </w:p>
              </w:tc>
            </w:tr>
            <w:tr w14:paraId="2FAB69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64A7B06C">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2F91CDDC">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S6</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抽</w:t>
                  </w:r>
                  <w:r>
                    <w:rPr>
                      <w:rFonts w:hint="eastAsia" w:cs="Times New Roman"/>
                      <w:color w:val="000000" w:themeColor="text1"/>
                      <w:sz w:val="21"/>
                      <w:szCs w:val="21"/>
                      <w:highlight w:val="none"/>
                      <w:lang w:val="en-US" w:eastAsia="zh-CN"/>
                      <w14:textFill>
                        <w14:solidFill>
                          <w14:schemeClr w14:val="tx1"/>
                        </w14:solidFill>
                      </w14:textFill>
                    </w:rPr>
                    <w:t>检</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样品</w:t>
                  </w:r>
                </w:p>
              </w:tc>
              <w:tc>
                <w:tcPr>
                  <w:tcW w:w="1298" w:type="dxa"/>
                  <w:shd w:val="clear" w:color="auto" w:fill="auto"/>
                  <w:vAlign w:val="center"/>
                </w:tcPr>
                <w:p w14:paraId="6E2C025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检验室</w:t>
                  </w:r>
                </w:p>
              </w:tc>
              <w:tc>
                <w:tcPr>
                  <w:tcW w:w="4745" w:type="dxa"/>
                  <w:shd w:val="clear" w:color="auto" w:fill="auto"/>
                  <w:vAlign w:val="center"/>
                </w:tcPr>
                <w:p w14:paraId="0BD3C800">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检验样品</w:t>
                  </w:r>
                </w:p>
              </w:tc>
            </w:tr>
            <w:tr w14:paraId="51E9E5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24E8B28A">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0E7E9B74">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S7</w:t>
                  </w: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1298" w:type="dxa"/>
                  <w:shd w:val="clear" w:color="auto" w:fill="auto"/>
                  <w:vAlign w:val="center"/>
                </w:tcPr>
                <w:p w14:paraId="66805733">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员工生活</w:t>
                  </w:r>
                </w:p>
              </w:tc>
              <w:tc>
                <w:tcPr>
                  <w:tcW w:w="4745" w:type="dxa"/>
                  <w:vAlign w:val="center"/>
                </w:tcPr>
                <w:p w14:paraId="1DC2186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7BAB15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493742F4">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7CE86DA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S8</w:t>
                  </w:r>
                  <w:r>
                    <w:rPr>
                      <w:rFonts w:hint="default" w:ascii="Times New Roman" w:hAnsi="Times New Roman" w:cs="Times New Roman"/>
                      <w:color w:val="000000" w:themeColor="text1"/>
                      <w:sz w:val="21"/>
                      <w:szCs w:val="21"/>
                      <w:highlight w:val="none"/>
                      <w14:textFill>
                        <w14:solidFill>
                          <w14:schemeClr w14:val="tx1"/>
                        </w14:solidFill>
                      </w14:textFill>
                    </w:rPr>
                    <w:t>食堂</w:t>
                  </w:r>
                  <w:r>
                    <w:rPr>
                      <w:rFonts w:hint="default" w:ascii="Times New Roman" w:hAnsi="Times New Roman" w:eastAsia="宋体" w:cs="Times New Roman"/>
                      <w:color w:val="000000" w:themeColor="text1"/>
                      <w:sz w:val="21"/>
                      <w:szCs w:val="21"/>
                      <w:highlight w:val="none"/>
                      <w14:textFill>
                        <w14:solidFill>
                          <w14:schemeClr w14:val="tx1"/>
                        </w14:solidFill>
                      </w14:textFill>
                    </w:rPr>
                    <w:t>餐厨</w:t>
                  </w:r>
                  <w:r>
                    <w:rPr>
                      <w:rFonts w:hint="default" w:ascii="Times New Roman" w:hAnsi="Times New Roman" w:cs="Times New Roman"/>
                      <w:color w:val="000000" w:themeColor="text1"/>
                      <w:sz w:val="21"/>
                      <w:szCs w:val="21"/>
                      <w:highlight w:val="none"/>
                      <w14:textFill>
                        <w14:solidFill>
                          <w14:schemeClr w14:val="tx1"/>
                        </w14:solidFill>
                      </w14:textFill>
                    </w:rPr>
                    <w:t>垃圾</w:t>
                  </w:r>
                </w:p>
              </w:tc>
              <w:tc>
                <w:tcPr>
                  <w:tcW w:w="1298" w:type="dxa"/>
                  <w:shd w:val="clear" w:color="auto" w:fill="auto"/>
                  <w:vAlign w:val="center"/>
                </w:tcPr>
                <w:p w14:paraId="20799222">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食堂</w:t>
                  </w:r>
                </w:p>
              </w:tc>
              <w:tc>
                <w:tcPr>
                  <w:tcW w:w="4745" w:type="dxa"/>
                  <w:vAlign w:val="center"/>
                </w:tcPr>
                <w:p w14:paraId="74ACD12F">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0ABC7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21009AB1">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1D26F0F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S9</w:t>
                  </w:r>
                  <w:r>
                    <w:rPr>
                      <w:rFonts w:hint="default" w:ascii="Times New Roman" w:hAnsi="Times New Roman" w:cs="Times New Roman"/>
                      <w:color w:val="000000" w:themeColor="text1"/>
                      <w:sz w:val="21"/>
                      <w:szCs w:val="21"/>
                      <w:highlight w:val="none"/>
                      <w14:textFill>
                        <w14:solidFill>
                          <w14:schemeClr w14:val="tx1"/>
                        </w14:solidFill>
                      </w14:textFill>
                    </w:rPr>
                    <w:t>污泥</w:t>
                  </w:r>
                </w:p>
              </w:tc>
              <w:tc>
                <w:tcPr>
                  <w:tcW w:w="1298" w:type="dxa"/>
                  <w:shd w:val="clear" w:color="auto" w:fill="auto"/>
                  <w:vAlign w:val="center"/>
                </w:tcPr>
                <w:p w14:paraId="700F8594">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污水处理</w:t>
                  </w:r>
                </w:p>
              </w:tc>
              <w:tc>
                <w:tcPr>
                  <w:tcW w:w="4745" w:type="dxa"/>
                  <w:vAlign w:val="center"/>
                </w:tcPr>
                <w:p w14:paraId="54076AF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2C2F68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3E9AD490">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3F95B62B">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离子交换</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树脂</w:t>
                  </w:r>
                </w:p>
              </w:tc>
              <w:tc>
                <w:tcPr>
                  <w:tcW w:w="1298" w:type="dxa"/>
                  <w:shd w:val="clear" w:color="auto" w:fill="auto"/>
                  <w:vAlign w:val="center"/>
                </w:tcPr>
                <w:p w14:paraId="761354BD">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净水器</w:t>
                  </w:r>
                </w:p>
              </w:tc>
              <w:tc>
                <w:tcPr>
                  <w:tcW w:w="4745" w:type="dxa"/>
                  <w:vAlign w:val="center"/>
                </w:tcPr>
                <w:p w14:paraId="719C68B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树脂</w:t>
                  </w:r>
                </w:p>
              </w:tc>
            </w:tr>
            <w:tr w14:paraId="2AC6CB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4C46530D">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430F1439">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废反渗透膜</w:t>
                  </w:r>
                </w:p>
              </w:tc>
              <w:tc>
                <w:tcPr>
                  <w:tcW w:w="1298" w:type="dxa"/>
                  <w:shd w:val="clear" w:color="auto" w:fill="auto"/>
                  <w:vAlign w:val="center"/>
                </w:tcPr>
                <w:p w14:paraId="2D223380">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净水器</w:t>
                  </w:r>
                </w:p>
              </w:tc>
              <w:tc>
                <w:tcPr>
                  <w:tcW w:w="4745" w:type="dxa"/>
                  <w:vAlign w:val="center"/>
                </w:tcPr>
                <w:p w14:paraId="3278773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反渗透膜</w:t>
                  </w:r>
                </w:p>
              </w:tc>
            </w:tr>
            <w:tr w14:paraId="213929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5F8FA3FE">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3BF43520">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废紫外灯</w:t>
                  </w:r>
                </w:p>
              </w:tc>
              <w:tc>
                <w:tcPr>
                  <w:tcW w:w="1298" w:type="dxa"/>
                  <w:shd w:val="clear" w:color="auto" w:fill="auto"/>
                  <w:vAlign w:val="center"/>
                </w:tcPr>
                <w:p w14:paraId="7B73888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车间消毒</w:t>
                  </w:r>
                </w:p>
              </w:tc>
              <w:tc>
                <w:tcPr>
                  <w:tcW w:w="4745" w:type="dxa"/>
                  <w:vAlign w:val="center"/>
                </w:tcPr>
                <w:p w14:paraId="42B8FA47">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含汞废物</w:t>
                  </w:r>
                </w:p>
              </w:tc>
            </w:tr>
            <w:tr w14:paraId="473BA9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5D0865A3">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270B93C6">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废润滑油</w:t>
                  </w:r>
                </w:p>
              </w:tc>
              <w:tc>
                <w:tcPr>
                  <w:tcW w:w="1298" w:type="dxa"/>
                  <w:shd w:val="clear" w:color="auto" w:fill="auto"/>
                  <w:vAlign w:val="center"/>
                </w:tcPr>
                <w:p w14:paraId="244F891E">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设备维修</w:t>
                  </w:r>
                </w:p>
              </w:tc>
              <w:tc>
                <w:tcPr>
                  <w:tcW w:w="4745" w:type="dxa"/>
                  <w:vAlign w:val="center"/>
                </w:tcPr>
                <w:p w14:paraId="332CE09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含油废液</w:t>
                  </w:r>
                </w:p>
              </w:tc>
            </w:tr>
            <w:tr w14:paraId="3A8BE4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3" w:type="dxa"/>
                  <w:vMerge w:val="continue"/>
                  <w:vAlign w:val="center"/>
                </w:tcPr>
                <w:p w14:paraId="02A145C7">
                  <w:pPr>
                    <w:pStyle w:val="4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75" w:type="dxa"/>
                  <w:shd w:val="clear" w:color="auto" w:fill="auto"/>
                  <w:vAlign w:val="center"/>
                </w:tcPr>
                <w:p w14:paraId="37F2EE6A">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含油手套和含油棉纱</w:t>
                  </w:r>
                </w:p>
              </w:tc>
              <w:tc>
                <w:tcPr>
                  <w:tcW w:w="1298" w:type="dxa"/>
                  <w:shd w:val="clear" w:color="auto" w:fill="auto"/>
                  <w:vAlign w:val="center"/>
                </w:tcPr>
                <w:p w14:paraId="04780732">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设备维修</w:t>
                  </w:r>
                </w:p>
              </w:tc>
              <w:tc>
                <w:tcPr>
                  <w:tcW w:w="4745" w:type="dxa"/>
                  <w:vAlign w:val="center"/>
                </w:tcPr>
                <w:p w14:paraId="2052B594">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含油手套和含油棉纱</w:t>
                  </w:r>
                </w:p>
              </w:tc>
            </w:tr>
          </w:tbl>
          <w:p w14:paraId="6357C0EB">
            <w:pPr>
              <w:pStyle w:val="52"/>
              <w:keepNext w:val="0"/>
              <w:keepLines w:val="0"/>
              <w:pageBreakBefore w:val="0"/>
              <w:kinsoku/>
              <w:wordWrap/>
              <w:overflowPunct/>
              <w:topLinePunct w:val="0"/>
              <w:autoSpaceDE/>
              <w:autoSpaceDN/>
              <w:bidi w:val="0"/>
              <w:spacing w:before="0" w:beforeLines="0" w:after="0" w:afterLines="0" w:line="360" w:lineRule="auto"/>
              <w:textAlignment w:val="auto"/>
              <w:rPr>
                <w:b w:val="0"/>
                <w:color w:val="000000" w:themeColor="text1"/>
                <w:highlight w:val="none"/>
                <w:u w:val="none"/>
                <w14:textFill>
                  <w14:solidFill>
                    <w14:schemeClr w14:val="tx1"/>
                  </w14:solidFill>
                </w14:textFill>
              </w:rPr>
            </w:pPr>
          </w:p>
        </w:tc>
      </w:tr>
      <w:tr w14:paraId="1AAD4E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7" w:hRule="atLeast"/>
          <w:jc w:val="center"/>
        </w:trPr>
        <w:tc>
          <w:tcPr>
            <w:tcW w:w="949" w:type="dxa"/>
            <w:gridSpan w:val="2"/>
            <w:vAlign w:val="center"/>
          </w:tcPr>
          <w:p w14:paraId="4B92C3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与项目有关的原有环境污染问题</w:t>
            </w:r>
          </w:p>
        </w:tc>
        <w:tc>
          <w:tcPr>
            <w:tcW w:w="9013" w:type="dxa"/>
            <w:tcBorders>
              <w:bottom w:val="single" w:color="auto" w:sz="4" w:space="0"/>
            </w:tcBorders>
            <w:vAlign w:val="center"/>
          </w:tcPr>
          <w:p w14:paraId="2790B324">
            <w:pPr>
              <w:pStyle w:val="15"/>
              <w:rPr>
                <w:rFonts w:hint="eastAsia"/>
                <w:bCs/>
                <w:color w:val="000000" w:themeColor="text1"/>
                <w:sz w:val="24"/>
                <w:szCs w:val="21"/>
                <w:highlight w:val="none"/>
                <w14:textFill>
                  <w14:solidFill>
                    <w14:schemeClr w14:val="tx1"/>
                  </w14:solidFill>
                </w14:textFill>
              </w:rPr>
            </w:pPr>
            <w:r>
              <w:rPr>
                <w:rFonts w:hint="eastAsia"/>
                <w:bCs/>
                <w:color w:val="000000" w:themeColor="text1"/>
                <w:sz w:val="24"/>
                <w:szCs w:val="21"/>
                <w:highlight w:val="none"/>
                <w14:textFill>
                  <w14:solidFill>
                    <w14:schemeClr w14:val="tx1"/>
                  </w14:solidFill>
                </w14:textFill>
              </w:rPr>
              <w:t>拟建项目购买</w:t>
            </w:r>
            <w:r>
              <w:rPr>
                <w:rFonts w:hint="eastAsia"/>
                <w:color w:val="000000" w:themeColor="text1"/>
                <w:highlight w:val="none"/>
                <w:lang w:eastAsia="zh-CN"/>
                <w14:textFill>
                  <w14:solidFill>
                    <w14:schemeClr w14:val="tx1"/>
                  </w14:solidFill>
                </w14:textFill>
              </w:rPr>
              <w:t>合川区工业园区核心区</w:t>
            </w:r>
            <w:r>
              <w:rPr>
                <w:rFonts w:hint="eastAsia"/>
                <w:color w:val="000000" w:themeColor="text1"/>
                <w:highlight w:val="none"/>
                <w:lang w:val="en-US" w:eastAsia="zh-CN"/>
                <w14:textFill>
                  <w14:solidFill>
                    <w14:schemeClr w14:val="tx1"/>
                  </w14:solidFill>
                </w14:textFill>
              </w:rPr>
              <w:t>HC23-003-1</w:t>
            </w:r>
            <w:r>
              <w:rPr>
                <w:rFonts w:hint="eastAsia"/>
                <w:bCs/>
                <w:color w:val="000000" w:themeColor="text1"/>
                <w:sz w:val="24"/>
                <w:szCs w:val="21"/>
                <w:highlight w:val="none"/>
                <w14:textFill>
                  <w14:solidFill>
                    <w14:schemeClr w14:val="tx1"/>
                  </w14:solidFill>
                </w14:textFill>
              </w:rPr>
              <w:t>工业用地</w:t>
            </w:r>
            <w:r>
              <w:rPr>
                <w:rFonts w:hint="eastAsia"/>
                <w:bCs/>
                <w:color w:val="000000" w:themeColor="text1"/>
                <w:sz w:val="24"/>
                <w:szCs w:val="21"/>
                <w:highlight w:val="none"/>
                <w:lang w:eastAsia="zh-CN"/>
                <w14:textFill>
                  <w14:solidFill>
                    <w14:schemeClr w14:val="tx1"/>
                  </w14:solidFill>
                </w14:textFill>
              </w:rPr>
              <w:t>新建项目</w:t>
            </w:r>
            <w:r>
              <w:rPr>
                <w:rFonts w:hint="eastAsia"/>
                <w:bCs/>
                <w:color w:val="000000" w:themeColor="text1"/>
                <w:sz w:val="24"/>
                <w:szCs w:val="21"/>
                <w:highlight w:val="none"/>
                <w14:textFill>
                  <w14:solidFill>
                    <w14:schemeClr w14:val="tx1"/>
                  </w14:solidFill>
                </w14:textFill>
              </w:rPr>
              <w:t>，该地块</w:t>
            </w:r>
            <w:r>
              <w:rPr>
                <w:rFonts w:hint="eastAsia"/>
                <w:bCs/>
                <w:color w:val="000000" w:themeColor="text1"/>
                <w:sz w:val="24"/>
                <w:szCs w:val="21"/>
                <w:highlight w:val="none"/>
                <w:lang w:eastAsia="zh-CN"/>
                <w14:textFill>
                  <w14:solidFill>
                    <w14:schemeClr w14:val="tx1"/>
                  </w14:solidFill>
                </w14:textFill>
              </w:rPr>
              <w:t>属于园区待开发用地</w:t>
            </w:r>
            <w:r>
              <w:rPr>
                <w:rFonts w:hint="eastAsia"/>
                <w:bCs/>
                <w:color w:val="000000" w:themeColor="text1"/>
                <w:sz w:val="24"/>
                <w:szCs w:val="21"/>
                <w:highlight w:val="none"/>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场地已由园区平整完毕，</w:t>
            </w:r>
            <w:r>
              <w:rPr>
                <w:rFonts w:hint="eastAsia"/>
                <w:bCs/>
                <w:color w:val="000000" w:themeColor="text1"/>
                <w:sz w:val="24"/>
                <w:szCs w:val="21"/>
                <w:highlight w:val="none"/>
                <w14:textFill>
                  <w14:solidFill>
                    <w14:schemeClr w14:val="tx1"/>
                  </w14:solidFill>
                </w14:textFill>
              </w:rPr>
              <w:t>现场无历史遗留问题，不存在与项目有关的环境问题。</w:t>
            </w:r>
          </w:p>
          <w:p w14:paraId="74C96F80">
            <w:pPr>
              <w:ind w:left="0" w:leftChars="0" w:firstLine="0" w:firstLineChars="0"/>
              <w:jc w:val="both"/>
              <w:rPr>
                <w:b w:val="0"/>
                <w:color w:val="000000" w:themeColor="text1"/>
                <w:highlight w:val="none"/>
                <w:u w:val="none"/>
                <w14:textFill>
                  <w14:solidFill>
                    <w14:schemeClr w14:val="tx1"/>
                  </w14:solidFill>
                </w14:textFill>
              </w:rPr>
            </w:pPr>
          </w:p>
        </w:tc>
      </w:tr>
    </w:tbl>
    <w:p w14:paraId="15993909">
      <w:pPr>
        <w:ind w:firstLine="0" w:firstLineChars="0"/>
        <w:rPr>
          <w:snapToGrid w:val="0"/>
          <w:color w:val="000000" w:themeColor="text1"/>
          <w:sz w:val="36"/>
          <w:szCs w:val="36"/>
          <w:highlight w:val="none"/>
          <w14:textFill>
            <w14:solidFill>
              <w14:schemeClr w14:val="tx1"/>
            </w14:solidFill>
          </w14:textFill>
        </w:rPr>
        <w:sectPr>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54F66D18">
      <w:pPr>
        <w:ind w:firstLine="600"/>
        <w:jc w:val="center"/>
        <w:outlineLvl w:val="0"/>
        <w:rPr>
          <w:snapToGrid w:val="0"/>
          <w:color w:val="000000" w:themeColor="text1"/>
          <w:sz w:val="30"/>
          <w:szCs w:val="30"/>
          <w:highlight w:val="none"/>
          <w14:textFill>
            <w14:solidFill>
              <w14:schemeClr w14:val="tx1"/>
            </w14:solidFill>
          </w14:textFill>
        </w:rPr>
      </w:pPr>
      <w:r>
        <w:rPr>
          <w:b/>
          <w:bCs/>
          <w:snapToGrid w:val="0"/>
          <w:color w:val="000000" w:themeColor="text1"/>
          <w:sz w:val="30"/>
          <w:szCs w:val="30"/>
          <w:highlight w:val="none"/>
          <w14:textFill>
            <w14:solidFill>
              <w14:schemeClr w14:val="tx1"/>
            </w14:solidFill>
          </w14:textFill>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9284"/>
      </w:tblGrid>
      <w:tr w14:paraId="44780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57" w:type="dxa"/>
            <w:vAlign w:val="center"/>
          </w:tcPr>
          <w:p w14:paraId="286E6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区域环境质量现状</w:t>
            </w:r>
          </w:p>
        </w:tc>
        <w:tc>
          <w:tcPr>
            <w:tcW w:w="9170" w:type="dxa"/>
            <w:vAlign w:val="center"/>
          </w:tcPr>
          <w:p w14:paraId="25A5B71D">
            <w:pPr>
              <w:keepNext w:val="0"/>
              <w:keepLines w:val="0"/>
              <w:pageBreakBefore w:val="0"/>
              <w:widowControl w:val="0"/>
              <w:kinsoku/>
              <w:wordWrap/>
              <w:overflowPunct/>
              <w:topLinePunct w:val="0"/>
              <w:autoSpaceDE/>
              <w:autoSpaceDN/>
              <w:bidi w:val="0"/>
              <w:adjustRightInd/>
              <w:snapToGrid w:val="0"/>
              <w:spacing w:before="120" w:beforeLines="50" w:line="360" w:lineRule="auto"/>
              <w:ind w:left="0" w:leftChars="0" w:firstLine="0" w:firstLineChars="0"/>
              <w:textAlignment w:val="auto"/>
              <w:rPr>
                <w:rFonts w:ascii="Times New Roman" w:hAnsi="Times New Roman" w:cs="Times New Roman"/>
                <w:b/>
                <w:color w:val="000000" w:themeColor="text1"/>
                <w:sz w:val="26"/>
                <w:szCs w:val="26"/>
                <w:highlight w:val="none"/>
                <w14:textFill>
                  <w14:solidFill>
                    <w14:schemeClr w14:val="tx1"/>
                  </w14:solidFill>
                </w14:textFill>
              </w:rPr>
            </w:pPr>
            <w:r>
              <w:rPr>
                <w:rFonts w:ascii="Times New Roman" w:hAnsi="Times New Roman" w:cs="Times New Roman"/>
                <w:b/>
                <w:color w:val="000000" w:themeColor="text1"/>
                <w:sz w:val="26"/>
                <w:szCs w:val="26"/>
                <w:highlight w:val="none"/>
                <w14:textFill>
                  <w14:solidFill>
                    <w14:schemeClr w14:val="tx1"/>
                  </w14:solidFill>
                </w14:textFill>
              </w:rPr>
              <w:t>3.1环境空气</w:t>
            </w:r>
          </w:p>
          <w:p w14:paraId="4CB931C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根据重庆市人民政府渝府发〔2016〕19号文，拟建项目所在区域属环境空气质量二类功能区，执行《环境空气质量标准》（GB3095-2012）二级标准。</w:t>
            </w:r>
          </w:p>
          <w:p w14:paraId="4AB0682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000000" w:themeColor="text1"/>
                <w:sz w:val="26"/>
                <w:szCs w:val="26"/>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本次评价引用重庆市生态环境局发布的《2023年重庆市生态环境状况公报》中合川区环境空气质量状况数据对区域达标情况进行判定</w:t>
            </w:r>
            <w:r>
              <w:rPr>
                <w:rFonts w:hint="default" w:ascii="Times New Roman" w:hAnsi="Times New Roman" w:cs="Times New Roman"/>
                <w:color w:val="000000" w:themeColor="text1"/>
                <w:sz w:val="26"/>
                <w:szCs w:val="26"/>
                <w:highlight w:val="none"/>
                <w14:textFill>
                  <w14:solidFill>
                    <w14:schemeClr w14:val="tx1"/>
                  </w14:solidFill>
                </w14:textFill>
              </w:rPr>
              <w:t>。</w:t>
            </w:r>
          </w:p>
          <w:p w14:paraId="3ADD6A41">
            <w:pPr>
              <w:keepNext w:val="0"/>
              <w:keepLines w:val="0"/>
              <w:pageBreakBefore w:val="0"/>
              <w:widowControl w:val="0"/>
              <w:kinsoku/>
              <w:wordWrap/>
              <w:overflowPunct/>
              <w:topLinePunct w:val="0"/>
              <w:autoSpaceDE/>
              <w:autoSpaceDN/>
              <w:bidi w:val="0"/>
              <w:adjustRightInd/>
              <w:snapToGrid w:val="0"/>
              <w:spacing w:line="240" w:lineRule="auto"/>
              <w:ind w:firstLine="482" w:firstLineChars="200"/>
              <w:jc w:val="center"/>
              <w:textAlignment w:val="auto"/>
              <w:rPr>
                <w:rFonts w:ascii="Times New Roman" w:hAnsi="Times New Roman" w:cs="Times New Roman"/>
                <w:b/>
                <w:bCs/>
                <w:color w:val="000000" w:themeColor="text1"/>
                <w:sz w:val="24"/>
                <w:szCs w:val="24"/>
                <w:highlight w:val="none"/>
                <w14:textFill>
                  <w14:solidFill>
                    <w14:schemeClr w14:val="tx1"/>
                  </w14:solidFill>
                </w14:textFill>
              </w:rPr>
            </w:pPr>
            <w:r>
              <w:rPr>
                <w:rFonts w:ascii="Times New Roman" w:hAnsi="Times New Roman" w:cs="Times New Roman"/>
                <w:b/>
                <w:bCs/>
                <w:color w:val="000000" w:themeColor="text1"/>
                <w:sz w:val="24"/>
                <w:szCs w:val="24"/>
                <w:highlight w:val="none"/>
                <w14:textFill>
                  <w14:solidFill>
                    <w14:schemeClr w14:val="tx1"/>
                  </w14:solidFill>
                </w14:textFill>
              </w:rPr>
              <w:t>表3.1-1  区域环境空气质量现状评价表</w:t>
            </w:r>
          </w:p>
          <w:tbl>
            <w:tblPr>
              <w:tblStyle w:val="28"/>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54"/>
              <w:gridCol w:w="2469"/>
              <w:gridCol w:w="1281"/>
              <w:gridCol w:w="1641"/>
              <w:gridCol w:w="1614"/>
              <w:gridCol w:w="1007"/>
            </w:tblGrid>
            <w:tr w14:paraId="7853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5" w:type="dxa"/>
                  <w:tcBorders>
                    <w:top w:val="single" w:color="000000" w:sz="4" w:space="0"/>
                    <w:left w:val="single" w:color="000000" w:sz="4" w:space="0"/>
                    <w:bottom w:val="single" w:color="000000" w:sz="4" w:space="0"/>
                    <w:right w:val="single" w:color="000000" w:sz="4" w:space="0"/>
                  </w:tcBorders>
                  <w:noWrap w:val="0"/>
                  <w:vAlign w:val="center"/>
                </w:tcPr>
                <w:p w14:paraId="265A81F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w:t>
                  </w:r>
                </w:p>
              </w:tc>
              <w:tc>
                <w:tcPr>
                  <w:tcW w:w="2469" w:type="dxa"/>
                  <w:tcBorders>
                    <w:top w:val="single" w:color="000000" w:sz="4" w:space="0"/>
                    <w:left w:val="single" w:color="000000" w:sz="4" w:space="0"/>
                    <w:bottom w:val="single" w:color="000000" w:sz="4" w:space="0"/>
                    <w:right w:val="single" w:color="000000" w:sz="4" w:space="0"/>
                  </w:tcBorders>
                  <w:noWrap w:val="0"/>
                  <w:vAlign w:val="center"/>
                </w:tcPr>
                <w:p w14:paraId="5AB7EE4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年度</w:t>
                  </w:r>
                  <w:r>
                    <w:rPr>
                      <w:rFonts w:hint="default" w:ascii="Times New Roman" w:hAnsi="Times New Roman" w:cs="Times New Roman"/>
                      <w:b/>
                      <w:bCs/>
                      <w:color w:val="000000" w:themeColor="text1"/>
                      <w:sz w:val="21"/>
                      <w:szCs w:val="21"/>
                      <w:highlight w:val="none"/>
                      <w14:textFill>
                        <w14:solidFill>
                          <w14:schemeClr w14:val="tx1"/>
                        </w14:solidFill>
                      </w14:textFill>
                    </w:rPr>
                    <w:t>评价指标</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14:paraId="0A5D430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现状浓度（μg/m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14:paraId="77EBD30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标准值（μg/m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1614" w:type="dxa"/>
                  <w:tcBorders>
                    <w:top w:val="single" w:color="000000" w:sz="4" w:space="0"/>
                    <w:left w:val="single" w:color="000000" w:sz="4" w:space="0"/>
                    <w:bottom w:val="single" w:color="000000" w:sz="4" w:space="0"/>
                    <w:right w:val="single" w:color="auto" w:sz="4" w:space="0"/>
                  </w:tcBorders>
                  <w:noWrap w:val="0"/>
                  <w:vAlign w:val="center"/>
                </w:tcPr>
                <w:p w14:paraId="7EC7DE3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占标率（%）</w:t>
                  </w:r>
                </w:p>
              </w:tc>
              <w:tc>
                <w:tcPr>
                  <w:tcW w:w="1007" w:type="dxa"/>
                  <w:tcBorders>
                    <w:top w:val="single" w:color="000000" w:sz="4" w:space="0"/>
                    <w:left w:val="single" w:color="000000" w:sz="4" w:space="0"/>
                    <w:bottom w:val="single" w:color="000000" w:sz="4" w:space="0"/>
                    <w:right w:val="single" w:color="auto" w:sz="4" w:space="0"/>
                  </w:tcBorders>
                  <w:noWrap w:val="0"/>
                  <w:vAlign w:val="center"/>
                </w:tcPr>
                <w:p w14:paraId="65943A7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达标情况</w:t>
                  </w:r>
                </w:p>
              </w:tc>
            </w:tr>
            <w:tr w14:paraId="4E54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5" w:type="dxa"/>
                  <w:tcBorders>
                    <w:top w:val="single" w:color="000000" w:sz="4" w:space="0"/>
                    <w:left w:val="single" w:color="000000" w:sz="4" w:space="0"/>
                    <w:bottom w:val="single" w:color="000000" w:sz="4" w:space="0"/>
                    <w:right w:val="single" w:color="000000" w:sz="4" w:space="0"/>
                  </w:tcBorders>
                  <w:noWrap w:val="0"/>
                  <w:vAlign w:val="center"/>
                </w:tcPr>
                <w:p w14:paraId="634FB98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2469" w:type="dxa"/>
                  <w:tcBorders>
                    <w:top w:val="single" w:color="000000" w:sz="4" w:space="0"/>
                    <w:left w:val="single" w:color="000000" w:sz="4" w:space="0"/>
                    <w:bottom w:val="single" w:color="000000" w:sz="4" w:space="0"/>
                    <w:right w:val="single" w:color="000000" w:sz="4" w:space="0"/>
                  </w:tcBorders>
                  <w:noWrap w:val="0"/>
                  <w:vAlign w:val="center"/>
                </w:tcPr>
                <w:p w14:paraId="51FE8F5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14:paraId="7ABA7A4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10</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14:paraId="52DB76E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60</w:t>
                  </w:r>
                </w:p>
              </w:tc>
              <w:tc>
                <w:tcPr>
                  <w:tcW w:w="1614" w:type="dxa"/>
                  <w:tcBorders>
                    <w:top w:val="single" w:color="000000" w:sz="4" w:space="0"/>
                    <w:left w:val="single" w:color="000000" w:sz="4" w:space="0"/>
                    <w:bottom w:val="single" w:color="000000" w:sz="4" w:space="0"/>
                    <w:right w:val="single" w:color="auto" w:sz="4" w:space="0"/>
                  </w:tcBorders>
                  <w:noWrap w:val="0"/>
                  <w:vAlign w:val="center"/>
                </w:tcPr>
                <w:p w14:paraId="330249C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16.7</w:t>
                  </w:r>
                </w:p>
              </w:tc>
              <w:tc>
                <w:tcPr>
                  <w:tcW w:w="1007" w:type="dxa"/>
                  <w:tcBorders>
                    <w:top w:val="single" w:color="000000" w:sz="4" w:space="0"/>
                    <w:left w:val="single" w:color="000000" w:sz="4" w:space="0"/>
                    <w:bottom w:val="single" w:color="000000" w:sz="4" w:space="0"/>
                    <w:right w:val="single" w:color="auto" w:sz="4" w:space="0"/>
                  </w:tcBorders>
                  <w:noWrap w:val="0"/>
                  <w:vAlign w:val="center"/>
                </w:tcPr>
                <w:p w14:paraId="0B5CA58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14:paraId="3F81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5" w:type="dxa"/>
                  <w:tcBorders>
                    <w:top w:val="single" w:color="000000" w:sz="4" w:space="0"/>
                    <w:left w:val="single" w:color="000000" w:sz="4" w:space="0"/>
                    <w:bottom w:val="single" w:color="000000" w:sz="4" w:space="0"/>
                    <w:right w:val="single" w:color="000000" w:sz="4" w:space="0"/>
                  </w:tcBorders>
                  <w:noWrap w:val="0"/>
                  <w:vAlign w:val="center"/>
                </w:tcPr>
                <w:p w14:paraId="189B611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2469" w:type="dxa"/>
                  <w:tcBorders>
                    <w:top w:val="single" w:color="000000" w:sz="4" w:space="0"/>
                    <w:left w:val="single" w:color="000000" w:sz="4" w:space="0"/>
                    <w:bottom w:val="single" w:color="000000" w:sz="4" w:space="0"/>
                    <w:right w:val="single" w:color="000000" w:sz="4" w:space="0"/>
                  </w:tcBorders>
                  <w:noWrap w:val="0"/>
                  <w:vAlign w:val="center"/>
                </w:tcPr>
                <w:p w14:paraId="599846A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14:paraId="5326C8D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26</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14:paraId="7173C33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40</w:t>
                  </w:r>
                </w:p>
              </w:tc>
              <w:tc>
                <w:tcPr>
                  <w:tcW w:w="1614" w:type="dxa"/>
                  <w:tcBorders>
                    <w:top w:val="single" w:color="000000" w:sz="4" w:space="0"/>
                    <w:left w:val="single" w:color="000000" w:sz="4" w:space="0"/>
                    <w:bottom w:val="single" w:color="000000" w:sz="4" w:space="0"/>
                    <w:right w:val="single" w:color="auto" w:sz="4" w:space="0"/>
                  </w:tcBorders>
                  <w:noWrap w:val="0"/>
                  <w:vAlign w:val="center"/>
                </w:tcPr>
                <w:p w14:paraId="4F32173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65</w:t>
                  </w:r>
                </w:p>
              </w:tc>
              <w:tc>
                <w:tcPr>
                  <w:tcW w:w="1007" w:type="dxa"/>
                  <w:tcBorders>
                    <w:top w:val="single" w:color="000000" w:sz="4" w:space="0"/>
                    <w:left w:val="single" w:color="000000" w:sz="4" w:space="0"/>
                    <w:bottom w:val="single" w:color="000000" w:sz="4" w:space="0"/>
                    <w:right w:val="single" w:color="auto" w:sz="4" w:space="0"/>
                  </w:tcBorders>
                  <w:noWrap w:val="0"/>
                  <w:vAlign w:val="center"/>
                </w:tcPr>
                <w:p w14:paraId="483F7D1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14:paraId="3D42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5" w:type="dxa"/>
                  <w:tcBorders>
                    <w:top w:val="single" w:color="000000" w:sz="4" w:space="0"/>
                    <w:left w:val="single" w:color="000000" w:sz="4" w:space="0"/>
                    <w:bottom w:val="single" w:color="000000" w:sz="4" w:space="0"/>
                    <w:right w:val="single" w:color="000000" w:sz="4" w:space="0"/>
                  </w:tcBorders>
                  <w:noWrap w:val="0"/>
                  <w:vAlign w:val="center"/>
                </w:tcPr>
                <w:p w14:paraId="48976F5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10</w:t>
                  </w:r>
                </w:p>
              </w:tc>
              <w:tc>
                <w:tcPr>
                  <w:tcW w:w="2469" w:type="dxa"/>
                  <w:tcBorders>
                    <w:top w:val="single" w:color="000000" w:sz="4" w:space="0"/>
                    <w:left w:val="single" w:color="000000" w:sz="4" w:space="0"/>
                    <w:bottom w:val="single" w:color="000000" w:sz="4" w:space="0"/>
                    <w:right w:val="single" w:color="000000" w:sz="4" w:space="0"/>
                  </w:tcBorders>
                  <w:noWrap w:val="0"/>
                  <w:vAlign w:val="center"/>
                </w:tcPr>
                <w:p w14:paraId="6E83D8F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14:paraId="0C78761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58</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14:paraId="0C78D4E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70</w:t>
                  </w:r>
                </w:p>
              </w:tc>
              <w:tc>
                <w:tcPr>
                  <w:tcW w:w="1614" w:type="dxa"/>
                  <w:tcBorders>
                    <w:top w:val="single" w:color="000000" w:sz="4" w:space="0"/>
                    <w:left w:val="single" w:color="000000" w:sz="4" w:space="0"/>
                    <w:bottom w:val="single" w:color="000000" w:sz="4" w:space="0"/>
                    <w:right w:val="single" w:color="auto" w:sz="4" w:space="0"/>
                  </w:tcBorders>
                  <w:noWrap w:val="0"/>
                  <w:vAlign w:val="center"/>
                </w:tcPr>
                <w:p w14:paraId="11B032A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82.</w:t>
                  </w:r>
                  <w:r>
                    <w:rPr>
                      <w:rFonts w:hint="eastAsia" w:cs="Times New Roman"/>
                      <w:color w:val="000000" w:themeColor="text1"/>
                      <w:kern w:val="2"/>
                      <w:sz w:val="21"/>
                      <w:szCs w:val="21"/>
                      <w:highlight w:val="none"/>
                      <w:lang w:val="en-US" w:eastAsia="zh-CN"/>
                      <w14:textFill>
                        <w14:solidFill>
                          <w14:schemeClr w14:val="tx1"/>
                        </w14:solidFill>
                      </w14:textFill>
                    </w:rPr>
                    <w:t>9</w:t>
                  </w:r>
                </w:p>
              </w:tc>
              <w:tc>
                <w:tcPr>
                  <w:tcW w:w="1007" w:type="dxa"/>
                  <w:tcBorders>
                    <w:top w:val="single" w:color="000000" w:sz="4" w:space="0"/>
                    <w:left w:val="single" w:color="000000" w:sz="4" w:space="0"/>
                    <w:bottom w:val="single" w:color="000000" w:sz="4" w:space="0"/>
                    <w:right w:val="single" w:color="auto" w:sz="4" w:space="0"/>
                  </w:tcBorders>
                  <w:noWrap w:val="0"/>
                  <w:vAlign w:val="center"/>
                </w:tcPr>
                <w:p w14:paraId="66025EE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14:paraId="3EB4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5" w:type="dxa"/>
                  <w:tcBorders>
                    <w:top w:val="single" w:color="000000" w:sz="4" w:space="0"/>
                    <w:left w:val="single" w:color="000000" w:sz="4" w:space="0"/>
                    <w:bottom w:val="single" w:color="000000" w:sz="4" w:space="0"/>
                    <w:right w:val="single" w:color="000000" w:sz="4" w:space="0"/>
                  </w:tcBorders>
                  <w:noWrap w:val="0"/>
                  <w:vAlign w:val="center"/>
                </w:tcPr>
                <w:p w14:paraId="3121353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p>
              </w:tc>
              <w:tc>
                <w:tcPr>
                  <w:tcW w:w="2469" w:type="dxa"/>
                  <w:tcBorders>
                    <w:top w:val="single" w:color="000000" w:sz="4" w:space="0"/>
                    <w:left w:val="single" w:color="000000" w:sz="4" w:space="0"/>
                    <w:bottom w:val="single" w:color="000000" w:sz="4" w:space="0"/>
                    <w:right w:val="single" w:color="000000" w:sz="4" w:space="0"/>
                  </w:tcBorders>
                  <w:noWrap w:val="0"/>
                  <w:vAlign w:val="center"/>
                </w:tcPr>
                <w:p w14:paraId="3713B22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年平均质量浓度</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14:paraId="41D7753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47</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14:paraId="4C3A832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35</w:t>
                  </w:r>
                </w:p>
              </w:tc>
              <w:tc>
                <w:tcPr>
                  <w:tcW w:w="1614" w:type="dxa"/>
                  <w:tcBorders>
                    <w:top w:val="single" w:color="000000" w:sz="4" w:space="0"/>
                    <w:left w:val="single" w:color="000000" w:sz="4" w:space="0"/>
                    <w:bottom w:val="single" w:color="000000" w:sz="4" w:space="0"/>
                    <w:right w:val="single" w:color="auto" w:sz="4" w:space="0"/>
                  </w:tcBorders>
                  <w:noWrap w:val="0"/>
                  <w:vAlign w:val="center"/>
                </w:tcPr>
                <w:p w14:paraId="3617C5B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134.3</w:t>
                  </w:r>
                </w:p>
              </w:tc>
              <w:tc>
                <w:tcPr>
                  <w:tcW w:w="1007" w:type="dxa"/>
                  <w:tcBorders>
                    <w:top w:val="single" w:color="000000" w:sz="4" w:space="0"/>
                    <w:left w:val="single" w:color="000000" w:sz="4" w:space="0"/>
                    <w:bottom w:val="single" w:color="000000" w:sz="4" w:space="0"/>
                    <w:right w:val="single" w:color="auto" w:sz="4" w:space="0"/>
                  </w:tcBorders>
                  <w:noWrap w:val="0"/>
                  <w:vAlign w:val="center"/>
                </w:tcPr>
                <w:p w14:paraId="3ACE276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eastAsia="zh-CN"/>
                      <w14:textFill>
                        <w14:solidFill>
                          <w14:schemeClr w14:val="tx1"/>
                        </w14:solidFill>
                      </w14:textFill>
                    </w:rPr>
                    <w:t>超</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标</w:t>
                  </w:r>
                </w:p>
              </w:tc>
            </w:tr>
            <w:tr w14:paraId="23E7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5" w:type="dxa"/>
                  <w:tcBorders>
                    <w:top w:val="single" w:color="000000" w:sz="4" w:space="0"/>
                    <w:left w:val="single" w:color="000000" w:sz="4" w:space="0"/>
                    <w:bottom w:val="single" w:color="000000" w:sz="4" w:space="0"/>
                    <w:right w:val="single" w:color="000000" w:sz="4" w:space="0"/>
                  </w:tcBorders>
                  <w:noWrap w:val="0"/>
                  <w:vAlign w:val="center"/>
                </w:tcPr>
                <w:p w14:paraId="63BD229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p>
              </w:tc>
              <w:tc>
                <w:tcPr>
                  <w:tcW w:w="2469" w:type="dxa"/>
                  <w:tcBorders>
                    <w:top w:val="single" w:color="000000" w:sz="4" w:space="0"/>
                    <w:left w:val="single" w:color="000000" w:sz="4" w:space="0"/>
                    <w:bottom w:val="single" w:color="000000" w:sz="4" w:space="0"/>
                    <w:right w:val="single" w:color="000000" w:sz="4" w:space="0"/>
                  </w:tcBorders>
                  <w:noWrap w:val="0"/>
                  <w:vAlign w:val="center"/>
                </w:tcPr>
                <w:p w14:paraId="076EDB6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日最大8h滑动平均质量浓度第90百分位数</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14:paraId="2123D43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158</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14:paraId="261C4D0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160</w:t>
                  </w:r>
                </w:p>
              </w:tc>
              <w:tc>
                <w:tcPr>
                  <w:tcW w:w="1614" w:type="dxa"/>
                  <w:tcBorders>
                    <w:top w:val="single" w:color="000000" w:sz="4" w:space="0"/>
                    <w:left w:val="single" w:color="000000" w:sz="4" w:space="0"/>
                    <w:bottom w:val="single" w:color="000000" w:sz="4" w:space="0"/>
                    <w:right w:val="single" w:color="auto" w:sz="4" w:space="0"/>
                  </w:tcBorders>
                  <w:noWrap w:val="0"/>
                  <w:vAlign w:val="center"/>
                </w:tcPr>
                <w:p w14:paraId="76FD760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98.</w:t>
                  </w:r>
                  <w:r>
                    <w:rPr>
                      <w:rFonts w:hint="eastAsia" w:cs="Times New Roman"/>
                      <w:color w:val="000000" w:themeColor="text1"/>
                      <w:kern w:val="2"/>
                      <w:sz w:val="21"/>
                      <w:szCs w:val="21"/>
                      <w:highlight w:val="none"/>
                      <w:lang w:val="en-US" w:eastAsia="zh-CN"/>
                      <w14:textFill>
                        <w14:solidFill>
                          <w14:schemeClr w14:val="tx1"/>
                        </w14:solidFill>
                      </w14:textFill>
                    </w:rPr>
                    <w:t>8</w:t>
                  </w:r>
                </w:p>
              </w:tc>
              <w:tc>
                <w:tcPr>
                  <w:tcW w:w="1007" w:type="dxa"/>
                  <w:tcBorders>
                    <w:top w:val="single" w:color="000000" w:sz="4" w:space="0"/>
                    <w:left w:val="single" w:color="000000" w:sz="4" w:space="0"/>
                    <w:bottom w:val="single" w:color="000000" w:sz="4" w:space="0"/>
                    <w:right w:val="single" w:color="auto" w:sz="4" w:space="0"/>
                  </w:tcBorders>
                  <w:noWrap w:val="0"/>
                  <w:vAlign w:val="center"/>
                </w:tcPr>
                <w:p w14:paraId="3F13A7B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66B2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0" w:hRule="atLeast"/>
                <w:jc w:val="center"/>
              </w:trPr>
              <w:tc>
                <w:tcPr>
                  <w:tcW w:w="955" w:type="dxa"/>
                  <w:tcBorders>
                    <w:top w:val="single" w:color="000000" w:sz="4" w:space="0"/>
                    <w:left w:val="single" w:color="000000" w:sz="4" w:space="0"/>
                    <w:bottom w:val="single" w:color="000000" w:sz="4" w:space="0"/>
                    <w:right w:val="single" w:color="000000" w:sz="4" w:space="0"/>
                  </w:tcBorders>
                  <w:noWrap w:val="0"/>
                  <w:vAlign w:val="center"/>
                </w:tcPr>
                <w:p w14:paraId="5506ACD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w:t>
                  </w:r>
                </w:p>
              </w:tc>
              <w:tc>
                <w:tcPr>
                  <w:tcW w:w="2469" w:type="dxa"/>
                  <w:tcBorders>
                    <w:top w:val="single" w:color="000000" w:sz="4" w:space="0"/>
                    <w:left w:val="single" w:color="000000" w:sz="4" w:space="0"/>
                    <w:bottom w:val="single" w:color="000000" w:sz="4" w:space="0"/>
                    <w:right w:val="single" w:color="000000" w:sz="4" w:space="0"/>
                  </w:tcBorders>
                  <w:noWrap w:val="0"/>
                  <w:vAlign w:val="center"/>
                </w:tcPr>
                <w:p w14:paraId="30221A2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24小时平均第95百分位数</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14:paraId="42F8A61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w:t>
                  </w: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1641" w:type="dxa"/>
                  <w:tcBorders>
                    <w:top w:val="single" w:color="000000" w:sz="4" w:space="0"/>
                    <w:left w:val="single" w:color="000000" w:sz="4" w:space="0"/>
                    <w:bottom w:val="single" w:color="000000" w:sz="4" w:space="0"/>
                    <w:right w:val="single" w:color="000000" w:sz="4" w:space="0"/>
                  </w:tcBorders>
                  <w:noWrap w:val="0"/>
                  <w:vAlign w:val="center"/>
                </w:tcPr>
                <w:p w14:paraId="3B0B8D2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w:t>
                  </w:r>
                  <w:r>
                    <w:rPr>
                      <w:color w:val="000000" w:themeColor="text1"/>
                      <w:szCs w:val="21"/>
                      <w:highlight w:val="none"/>
                      <w14:textFill>
                        <w14:solidFill>
                          <w14:schemeClr w14:val="tx1"/>
                        </w14:solidFill>
                      </w14:textFill>
                    </w:rPr>
                    <w:t>（mg/m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1614" w:type="dxa"/>
                  <w:tcBorders>
                    <w:top w:val="single" w:color="000000" w:sz="4" w:space="0"/>
                    <w:left w:val="single" w:color="000000" w:sz="4" w:space="0"/>
                    <w:bottom w:val="single" w:color="000000" w:sz="4" w:space="0"/>
                    <w:right w:val="single" w:color="auto" w:sz="4" w:space="0"/>
                  </w:tcBorders>
                  <w:noWrap w:val="0"/>
                  <w:vAlign w:val="center"/>
                </w:tcPr>
                <w:p w14:paraId="28A5451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25</w:t>
                  </w:r>
                </w:p>
              </w:tc>
              <w:tc>
                <w:tcPr>
                  <w:tcW w:w="1007" w:type="dxa"/>
                  <w:tcBorders>
                    <w:top w:val="single" w:color="000000" w:sz="4" w:space="0"/>
                    <w:left w:val="single" w:color="000000" w:sz="4" w:space="0"/>
                    <w:bottom w:val="single" w:color="000000" w:sz="4" w:space="0"/>
                    <w:right w:val="single" w:color="auto" w:sz="4" w:space="0"/>
                  </w:tcBorders>
                  <w:noWrap w:val="0"/>
                  <w:vAlign w:val="center"/>
                </w:tcPr>
                <w:p w14:paraId="335CA06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bl>
          <w:p w14:paraId="5950A820">
            <w:pPr>
              <w:keepNext w:val="0"/>
              <w:keepLines w:val="0"/>
              <w:pageBreakBefore w:val="0"/>
              <w:widowControl w:val="0"/>
              <w:kinsoku/>
              <w:wordWrap/>
              <w:overflowPunct/>
              <w:topLinePunct w:val="0"/>
              <w:bidi w:val="0"/>
              <w:snapToGrid w:val="0"/>
              <w:spacing w:line="360" w:lineRule="auto"/>
              <w:ind w:firstLine="480" w:firstLineChars="200"/>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根据上表，项目所在区域</w:t>
            </w:r>
            <w:r>
              <w:rPr>
                <w:rFonts w:ascii="Times New Roman" w:hAnsi="Times New Roman" w:cs="Times New Roman"/>
                <w:bCs/>
                <w:color w:val="000000" w:themeColor="text1"/>
                <w:sz w:val="24"/>
                <w:szCs w:val="24"/>
                <w:highlight w:val="none"/>
                <w14:textFill>
                  <w14:solidFill>
                    <w14:schemeClr w14:val="tx1"/>
                  </w14:solidFill>
                </w14:textFill>
              </w:rPr>
              <w:t>SO</w:t>
            </w:r>
            <w:r>
              <w:rPr>
                <w:rFonts w:ascii="Times New Roman" w:hAnsi="Times New Roman" w:cs="Times New Roman"/>
                <w:bCs/>
                <w:color w:val="000000" w:themeColor="text1"/>
                <w:sz w:val="24"/>
                <w:szCs w:val="24"/>
                <w:highlight w:val="none"/>
                <w:vertAlign w:val="subscript"/>
                <w14:textFill>
                  <w14:solidFill>
                    <w14:schemeClr w14:val="tx1"/>
                  </w14:solidFill>
                </w14:textFill>
              </w:rPr>
              <w:t>2</w:t>
            </w:r>
            <w:r>
              <w:rPr>
                <w:rFonts w:ascii="Times New Roman" w:hAnsi="Times New Roman" w:cs="Times New Roman"/>
                <w:bCs/>
                <w:color w:val="000000" w:themeColor="text1"/>
                <w:sz w:val="24"/>
                <w:szCs w:val="24"/>
                <w:highlight w:val="none"/>
                <w14:textFill>
                  <w14:solidFill>
                    <w14:schemeClr w14:val="tx1"/>
                  </w14:solidFill>
                </w14:textFill>
              </w:rPr>
              <w:t>、NO</w:t>
            </w:r>
            <w:r>
              <w:rPr>
                <w:rFonts w:ascii="Times New Roman" w:hAnsi="Times New Roman" w:cs="Times New Roman"/>
                <w:bCs/>
                <w:color w:val="000000" w:themeColor="text1"/>
                <w:sz w:val="24"/>
                <w:szCs w:val="24"/>
                <w:highlight w:val="none"/>
                <w:vertAlign w:val="subscript"/>
                <w14:textFill>
                  <w14:solidFill>
                    <w14:schemeClr w14:val="tx1"/>
                  </w14:solidFill>
                </w14:textFill>
              </w:rPr>
              <w:t>2</w:t>
            </w:r>
            <w:r>
              <w:rPr>
                <w:rFonts w:ascii="Times New Roman" w:hAnsi="Times New Roman" w:cs="Times New Roman"/>
                <w:bCs/>
                <w:color w:val="000000" w:themeColor="text1"/>
                <w:sz w:val="24"/>
                <w:szCs w:val="24"/>
                <w:highlight w:val="none"/>
                <w14:textFill>
                  <w14:solidFill>
                    <w14:schemeClr w14:val="tx1"/>
                  </w14:solidFill>
                </w14:textFill>
              </w:rPr>
              <w:t>、PM</w:t>
            </w:r>
            <w:r>
              <w:rPr>
                <w:rFonts w:ascii="Times New Roman" w:hAnsi="Times New Roman" w:cs="Times New Roman"/>
                <w:bCs/>
                <w:color w:val="000000" w:themeColor="text1"/>
                <w:sz w:val="24"/>
                <w:szCs w:val="24"/>
                <w:highlight w:val="none"/>
                <w:vertAlign w:val="subscript"/>
                <w14:textFill>
                  <w14:solidFill>
                    <w14:schemeClr w14:val="tx1"/>
                  </w14:solidFill>
                </w14:textFill>
              </w:rPr>
              <w:t>10</w:t>
            </w:r>
            <w:r>
              <w:rPr>
                <w:rFonts w:ascii="Times New Roman" w:hAnsi="Times New Roman" w:cs="Times New Roman"/>
                <w:bCs/>
                <w:color w:val="000000" w:themeColor="text1"/>
                <w:sz w:val="24"/>
                <w:szCs w:val="24"/>
                <w:highlight w:val="none"/>
                <w14:textFill>
                  <w14:solidFill>
                    <w14:schemeClr w14:val="tx1"/>
                  </w14:solidFill>
                </w14:textFill>
              </w:rPr>
              <w:t>、CO、O</w:t>
            </w:r>
            <w:r>
              <w:rPr>
                <w:rFonts w:ascii="Times New Roman" w:hAnsi="Times New Roman" w:cs="Times New Roman"/>
                <w:bCs/>
                <w:color w:val="000000" w:themeColor="text1"/>
                <w:sz w:val="24"/>
                <w:szCs w:val="24"/>
                <w:highlight w:val="none"/>
                <w:vertAlign w:val="subscript"/>
                <w14:textFill>
                  <w14:solidFill>
                    <w14:schemeClr w14:val="tx1"/>
                  </w14:solidFill>
                </w14:textFill>
              </w:rPr>
              <w:t>3</w:t>
            </w:r>
            <w:r>
              <w:rPr>
                <w:rFonts w:ascii="Times New Roman" w:hAnsi="Times New Roman" w:cs="Times New Roman"/>
                <w:bCs/>
                <w:color w:val="000000" w:themeColor="text1"/>
                <w:sz w:val="24"/>
                <w:szCs w:val="24"/>
                <w:highlight w:val="none"/>
                <w14:textFill>
                  <w14:solidFill>
                    <w14:schemeClr w14:val="tx1"/>
                  </w14:solidFill>
                </w14:textFill>
              </w:rPr>
              <w:t>均满足《环境空气质量标准》（GB3095-2012）二级标准</w:t>
            </w:r>
            <w:r>
              <w:rPr>
                <w:rFonts w:ascii="Times New Roman" w:hAnsi="Times New Roman" w:cs="Times New Roman"/>
                <w:color w:val="000000" w:themeColor="text1"/>
                <w:sz w:val="24"/>
                <w:szCs w:val="24"/>
                <w:highlight w:val="none"/>
                <w14:textFill>
                  <w14:solidFill>
                    <w14:schemeClr w14:val="tx1"/>
                  </w14:solidFill>
                </w14:textFill>
              </w:rPr>
              <w:t>，</w:t>
            </w:r>
            <w:r>
              <w:rPr>
                <w:rFonts w:ascii="Times New Roman" w:hAnsi="Times New Roman" w:cs="Times New Roman"/>
                <w:bCs/>
                <w:color w:val="000000" w:themeColor="text1"/>
                <w:sz w:val="24"/>
                <w:szCs w:val="24"/>
                <w:highlight w:val="none"/>
                <w14:textFill>
                  <w14:solidFill>
                    <w14:schemeClr w14:val="tx1"/>
                  </w14:solidFill>
                </w14:textFill>
              </w:rPr>
              <w:t>PM</w:t>
            </w:r>
            <w:r>
              <w:rPr>
                <w:rFonts w:ascii="Times New Roman" w:hAnsi="Times New Roman" w:cs="Times New Roman"/>
                <w:bCs/>
                <w:color w:val="000000" w:themeColor="text1"/>
                <w:sz w:val="24"/>
                <w:szCs w:val="24"/>
                <w:highlight w:val="none"/>
                <w:vertAlign w:val="subscript"/>
                <w14:textFill>
                  <w14:solidFill>
                    <w14:schemeClr w14:val="tx1"/>
                  </w14:solidFill>
                </w14:textFill>
              </w:rPr>
              <w:t>2.5</w:t>
            </w:r>
            <w:r>
              <w:rPr>
                <w:rFonts w:hint="eastAsia" w:cs="Times New Roman"/>
                <w:color w:val="000000" w:themeColor="text1"/>
                <w:sz w:val="24"/>
                <w:szCs w:val="24"/>
                <w:highlight w:val="none"/>
                <w:lang w:eastAsia="zh-CN"/>
                <w14:textFill>
                  <w14:solidFill>
                    <w14:schemeClr w14:val="tx1"/>
                  </w14:solidFill>
                </w14:textFill>
              </w:rPr>
              <w:t>超</w:t>
            </w:r>
            <w:r>
              <w:rPr>
                <w:rFonts w:ascii="Times New Roman" w:hAnsi="Times New Roman" w:cs="Times New Roman"/>
                <w:color w:val="000000" w:themeColor="text1"/>
                <w:sz w:val="24"/>
                <w:szCs w:val="24"/>
                <w:highlight w:val="none"/>
                <w14:textFill>
                  <w14:solidFill>
                    <w14:schemeClr w14:val="tx1"/>
                  </w14:solidFill>
                </w14:textFill>
              </w:rPr>
              <w:t>标。因此所在区域属于不达标区。</w:t>
            </w:r>
          </w:p>
          <w:p w14:paraId="7CB3DC88">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根据《合川区大气环境质量限期达标规划》</w:t>
            </w:r>
            <w:r>
              <w:rPr>
                <w:rFonts w:hint="eastAsia"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2019年</w:t>
            </w:r>
            <w:r>
              <w:rPr>
                <w:rFonts w:hint="eastAsia"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中“五、主要任务与措施”中明确的减缓方案如下：</w:t>
            </w:r>
          </w:p>
          <w:p w14:paraId="735AD955">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①提高能源效率，优化能源结构：控制煤炭消费总量；提升能源利用效率；加快清洁能源替代利用；推进建筑节能和绿色建筑。</w:t>
            </w:r>
          </w:p>
          <w:p w14:paraId="661B3FDD">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②优化产业布局，推进绿色发展：优化产业布局；严格环保准入；优化工业结构；推进绿色发展。</w:t>
            </w:r>
          </w:p>
          <w:p w14:paraId="69BCC452">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③加大防治力度，控制工业污染：推进燃煤电厂超低排放改造；强化工业废气综合治理；深化工业源挥发性有机物污染防治；加快推进“散乱污”企业综合整治；实施企业错峰生产；加强污染源监督监测。</w:t>
            </w:r>
          </w:p>
          <w:p w14:paraId="75D0177C">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④强化监督管理，控制交通污染：强化在用机动车监管；加强机动车环保达标监管；加强车用燃油品质达标监管；强化成品油储运系统油气排放污染控制；强化非道路移动机械和船舶污染控制；大力发展新能源汽车。</w:t>
            </w:r>
          </w:p>
          <w:p w14:paraId="019179C8">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⑤提升管理水平，严格控制扬尘：强化道路扬尘防治；严格施工扬尘管理；加强生产经营过程的扬尘控制；开展重点扬尘污染源在线监控；加强城市裸露土地管理。</w:t>
            </w:r>
          </w:p>
          <w:p w14:paraId="23D662FE">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⑥加大治理力度，控制生活污染：巩固和扩大高污染燃料禁燃区；加强餐饮油烟污染治理；控制生活类挥发性有机物污染；加强露天烧烤和烟熏腊肉综合防治；严控露天焚烧行为。</w:t>
            </w:r>
          </w:p>
          <w:p w14:paraId="4E239833">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⑦加强综合利用，控制农业污染：加强生物质燃烧管理；减少化肥使用过程氨排放；控制畜禽养殖氨污染。</w:t>
            </w:r>
          </w:p>
          <w:p w14:paraId="6198E7EB">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⑧落实法规制度，增强监管能力：贯彻落实相关法规政策；强化应急预警机制；强化环保</w:t>
            </w:r>
            <w:r>
              <w:rPr>
                <w:rFonts w:ascii="Helvetica" w:hAnsi="Helvetica" w:eastAsia="Helvetica" w:cs="Helvetica"/>
                <w:i w:val="0"/>
                <w:iCs w:val="0"/>
                <w:caps w:val="0"/>
                <w:color w:val="000000" w:themeColor="text1"/>
                <w:spacing w:val="0"/>
                <w:sz w:val="24"/>
                <w:szCs w:val="24"/>
                <w:highlight w:val="none"/>
                <w:shd w:val="clear" w:color="auto" w:fill="FFFFFF"/>
                <w14:textFill>
                  <w14:solidFill>
                    <w14:schemeClr w14:val="tx1"/>
                  </w14:solidFill>
                </w14:textFill>
              </w:rPr>
              <w:t>督察</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考核机制；提高环境监管能力；加大环保执法力度；实施环境信息公开。</w:t>
            </w:r>
          </w:p>
          <w:p w14:paraId="67049FFD">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⑨深化区域协作，提升科研支撑：加强污染区域联防联控；加强大气环境监测能力；建立空气质量管理辅助决策支撑系统；强化大气环境科研支撑作用。</w:t>
            </w:r>
          </w:p>
          <w:p w14:paraId="0C874821">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⑩加强宣传教育，推动全民参与：加大宣传教育力度；实行环境信息公开；健全公众参与机制。</w:t>
            </w:r>
          </w:p>
          <w:p w14:paraId="4CB489E2">
            <w:pPr>
              <w:keepNext w:val="0"/>
              <w:keepLines w:val="0"/>
              <w:pageBreakBefore w:val="0"/>
              <w:widowControl w:val="0"/>
              <w:kinsoku/>
              <w:wordWrap/>
              <w:overflowPunct/>
              <w:topLinePunct w:val="0"/>
              <w:autoSpaceDE/>
              <w:autoSpaceDN/>
              <w:bidi w:val="0"/>
              <w:adjustRightInd/>
              <w:snapToGrid/>
              <w:spacing w:line="360" w:lineRule="auto"/>
              <w:ind w:firstLine="482"/>
              <w:rPr>
                <w:rFonts w:ascii="Times New Roman" w:hAnsi="宋体"/>
                <w:color w:val="000000" w:themeColor="text1"/>
                <w:sz w:val="24"/>
                <w:highlight w:val="none"/>
                <w14:textFill>
                  <w14:solidFill>
                    <w14:schemeClr w14:val="tx1"/>
                  </w14:solidFill>
                </w14:textFill>
              </w:rPr>
            </w:pPr>
            <w:r>
              <w:rPr>
                <w:rFonts w:hint="eastAsia" w:ascii="Times New Roman" w:hAnsi="宋体"/>
                <w:color w:val="000000" w:themeColor="text1"/>
                <w:sz w:val="24"/>
                <w:highlight w:val="none"/>
                <w14:textFill>
                  <w14:solidFill>
                    <w14:schemeClr w14:val="tx1"/>
                  </w14:solidFill>
                </w14:textFill>
              </w:rPr>
              <w:t>在合川区范围内执行相应的整治措施后，可改善区域环境质量达标情况。</w:t>
            </w:r>
          </w:p>
          <w:p w14:paraId="3F5BD560">
            <w:pPr>
              <w:keepNext w:val="0"/>
              <w:keepLines w:val="0"/>
              <w:pageBreakBefore w:val="0"/>
              <w:widowControl w:val="0"/>
              <w:kinsoku/>
              <w:wordWrap/>
              <w:overflowPunct/>
              <w:topLinePunct w:val="0"/>
              <w:autoSpaceDE/>
              <w:autoSpaceDN/>
              <w:bidi w:val="0"/>
              <w:adjustRightInd/>
              <w:snapToGrid/>
              <w:spacing w:line="360" w:lineRule="auto"/>
              <w:ind w:firstLine="482"/>
              <w:rPr>
                <w:rFonts w:hint="eastAsia" w:ascii="Times New Roman" w:hAnsi="宋体"/>
                <w:b/>
                <w:bCs/>
                <w:color w:val="000000" w:themeColor="text1"/>
                <w:sz w:val="24"/>
                <w:highlight w:val="none"/>
                <w14:textFill>
                  <w14:solidFill>
                    <w14:schemeClr w14:val="tx1"/>
                  </w14:solidFill>
                </w14:textFill>
              </w:rPr>
            </w:pPr>
            <w:r>
              <w:rPr>
                <w:rFonts w:hint="eastAsia" w:ascii="Times New Roman" w:hAnsi="宋体"/>
                <w:b/>
                <w:bCs/>
                <w:color w:val="000000" w:themeColor="text1"/>
                <w:sz w:val="24"/>
                <w:highlight w:val="none"/>
                <w14:textFill>
                  <w14:solidFill>
                    <w14:schemeClr w14:val="tx1"/>
                  </w14:solidFill>
                </w14:textFill>
              </w:rPr>
              <w:t>（2）其他污染物环境空气质量现状</w:t>
            </w:r>
          </w:p>
          <w:p w14:paraId="5B24408F">
            <w:pPr>
              <w:keepNext w:val="0"/>
              <w:keepLines w:val="0"/>
              <w:pageBreakBefore w:val="0"/>
              <w:widowControl w:val="0"/>
              <w:kinsoku/>
              <w:wordWrap/>
              <w:overflowPunct/>
              <w:topLinePunct w:val="0"/>
              <w:autoSpaceDE/>
              <w:autoSpaceDN/>
              <w:bidi w:val="0"/>
              <w:adjustRightInd/>
              <w:snapToGrid/>
              <w:spacing w:line="360" w:lineRule="auto"/>
              <w:ind w:firstLine="482"/>
              <w:rPr>
                <w:rFonts w:ascii="Times New Roman" w:hAnsi="Times New Roman"/>
                <w:color w:val="000000" w:themeColor="text1"/>
                <w:sz w:val="24"/>
                <w:highlight w:val="none"/>
                <w14:textFill>
                  <w14:solidFill>
                    <w14:schemeClr w14:val="tx1"/>
                  </w14:solidFill>
                </w14:textFill>
              </w:rPr>
            </w:pPr>
            <w:r>
              <w:rPr>
                <w:rFonts w:hint="eastAsia" w:ascii="Times New Roman" w:hAnsi="宋体"/>
                <w:color w:val="000000" w:themeColor="text1"/>
                <w:sz w:val="24"/>
                <w:highlight w:val="none"/>
                <w14:textFill>
                  <w14:solidFill>
                    <w14:schemeClr w14:val="tx1"/>
                  </w14:solidFill>
                </w14:textFill>
              </w:rPr>
              <w:t>为了解本项目所在地的环境空气质量，本</w:t>
            </w:r>
            <w:r>
              <w:rPr>
                <w:rFonts w:ascii="Times New Roman" w:hAnsi="Times New Roman"/>
                <w:color w:val="000000" w:themeColor="text1"/>
                <w:sz w:val="24"/>
                <w:highlight w:val="none"/>
                <w14:textFill>
                  <w14:solidFill>
                    <w14:schemeClr w14:val="tx1"/>
                  </w14:solidFill>
                </w14:textFill>
              </w:rPr>
              <w:t>项目评价</w:t>
            </w:r>
            <w:r>
              <w:rPr>
                <w:rFonts w:hint="eastAsia" w:ascii="Times New Roman" w:hAnsi="Times New Roman"/>
                <w:color w:val="000000" w:themeColor="text1"/>
                <w:sz w:val="24"/>
                <w:highlight w:val="none"/>
                <w14:textFill>
                  <w14:solidFill>
                    <w14:schemeClr w14:val="tx1"/>
                  </w14:solidFill>
                </w14:textFill>
              </w:rPr>
              <w:t>非甲烷总烃、</w:t>
            </w:r>
            <w:r>
              <w:rPr>
                <w:rFonts w:hint="eastAsia" w:ascii="Times New Roman" w:hAnsi="Times New Roman"/>
                <w:color w:val="000000" w:themeColor="text1"/>
                <w:sz w:val="24"/>
                <w:highlight w:val="none"/>
                <w:lang w:eastAsia="zh-CN"/>
                <w14:textFill>
                  <w14:solidFill>
                    <w14:schemeClr w14:val="tx1"/>
                  </w14:solidFill>
                </w14:textFill>
              </w:rPr>
              <w:t>氨</w:t>
            </w:r>
            <w:r>
              <w:rPr>
                <w:rFonts w:hint="eastAsia" w:ascii="Times New Roman" w:hAnsi="Times New Roman"/>
                <w:color w:val="000000" w:themeColor="text1"/>
                <w:sz w:val="24"/>
                <w:highlight w:val="none"/>
                <w14:textFill>
                  <w14:solidFill>
                    <w14:schemeClr w14:val="tx1"/>
                  </w14:solidFill>
                </w14:textFill>
              </w:rPr>
              <w:t>、</w:t>
            </w:r>
            <w:r>
              <w:rPr>
                <w:rFonts w:hint="eastAsia" w:ascii="Times New Roman" w:hAnsi="Times New Roman"/>
                <w:color w:val="000000" w:themeColor="text1"/>
                <w:sz w:val="24"/>
                <w:highlight w:val="none"/>
                <w:lang w:eastAsia="zh-CN"/>
                <w14:textFill>
                  <w14:solidFill>
                    <w14:schemeClr w14:val="tx1"/>
                  </w14:solidFill>
                </w14:textFill>
              </w:rPr>
              <w:t>硫化氢</w:t>
            </w:r>
            <w:r>
              <w:rPr>
                <w:rFonts w:ascii="Times New Roman" w:hAnsi="Times New Roman"/>
                <w:color w:val="000000" w:themeColor="text1"/>
                <w:sz w:val="24"/>
                <w:highlight w:val="none"/>
                <w14:textFill>
                  <w14:solidFill>
                    <w14:schemeClr w14:val="tx1"/>
                  </w14:solidFill>
                </w14:textFill>
              </w:rPr>
              <w:t>引用</w:t>
            </w:r>
            <w:r>
              <w:rPr>
                <w:rFonts w:hint="eastAsia" w:ascii="Times New Roman" w:hAnsi="Times New Roman"/>
                <w:color w:val="000000" w:themeColor="text1"/>
                <w:sz w:val="24"/>
                <w:highlight w:val="none"/>
                <w14:textFill>
                  <w14:solidFill>
                    <w14:schemeClr w14:val="tx1"/>
                  </w14:solidFill>
                </w14:textFill>
              </w:rPr>
              <w:t>合川区工业园区环境监测报告</w:t>
            </w:r>
            <w:r>
              <w:rPr>
                <w:rFonts w:ascii="Times New Roman" w:hAnsi="Times New Roman"/>
                <w:color w:val="000000" w:themeColor="text1"/>
                <w:sz w:val="24"/>
                <w:highlight w:val="none"/>
                <w14:textFill>
                  <w14:solidFill>
                    <w14:schemeClr w14:val="tx1"/>
                  </w14:solidFill>
                </w14:textFill>
              </w:rPr>
              <w:t>（报告编号：</w:t>
            </w:r>
            <w:r>
              <w:rPr>
                <w:rFonts w:hint="eastAsia" w:ascii="Times New Roman" w:hAnsi="Times New Roman"/>
                <w:color w:val="000000" w:themeColor="text1"/>
                <w:sz w:val="24"/>
                <w:highlight w:val="none"/>
                <w14:textFill>
                  <w14:solidFill>
                    <w14:schemeClr w14:val="tx1"/>
                  </w14:solidFill>
                </w14:textFill>
              </w:rPr>
              <w:t>合环（监）字[2023]</w:t>
            </w:r>
            <w:r>
              <w:rPr>
                <w:rFonts w:ascii="Times New Roman" w:hAnsi="Times New Roman"/>
                <w:color w:val="000000" w:themeColor="text1"/>
                <w:sz w:val="24"/>
                <w:highlight w:val="none"/>
                <w14:textFill>
                  <w14:solidFill>
                    <w14:schemeClr w14:val="tx1"/>
                  </w14:solidFill>
                </w14:textFill>
              </w:rPr>
              <w:t>第</w:t>
            </w:r>
            <w:r>
              <w:rPr>
                <w:rFonts w:hint="eastAsia" w:ascii="Times New Roman" w:hAnsi="Times New Roman"/>
                <w:color w:val="000000" w:themeColor="text1"/>
                <w:sz w:val="24"/>
                <w:highlight w:val="none"/>
                <w14:textFill>
                  <w14:solidFill>
                    <w14:schemeClr w14:val="tx1"/>
                  </w14:solidFill>
                </w14:textFill>
              </w:rPr>
              <w:t>HJ001</w:t>
            </w:r>
            <w:r>
              <w:rPr>
                <w:rFonts w:ascii="Times New Roman" w:hAnsi="Times New Roman"/>
                <w:color w:val="000000" w:themeColor="text1"/>
                <w:sz w:val="24"/>
                <w:highlight w:val="none"/>
                <w14:textFill>
                  <w14:solidFill>
                    <w14:schemeClr w14:val="tx1"/>
                  </w14:solidFill>
                </w14:textFill>
              </w:rPr>
              <w:t>号）中的监测数据进行评价。</w:t>
            </w:r>
          </w:p>
          <w:p w14:paraId="7854992D">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引用监测点“南溪核心区区域下风向”位于本项目</w:t>
            </w:r>
            <w:r>
              <w:rPr>
                <w:rFonts w:hint="eastAsia" w:ascii="Times New Roman" w:hAnsi="Times New Roman"/>
                <w:color w:val="000000" w:themeColor="text1"/>
                <w:sz w:val="24"/>
                <w:highlight w:val="none"/>
                <w:lang w:eastAsia="zh-CN"/>
                <w14:textFill>
                  <w14:solidFill>
                    <w14:schemeClr w14:val="tx1"/>
                  </w14:solidFill>
                </w14:textFill>
              </w:rPr>
              <w:t>东</w:t>
            </w:r>
            <w:r>
              <w:rPr>
                <w:rFonts w:hint="eastAsia" w:ascii="Times New Roman" w:hAnsi="Times New Roman"/>
                <w:color w:val="000000" w:themeColor="text1"/>
                <w:sz w:val="24"/>
                <w:highlight w:val="none"/>
                <w14:textFill>
                  <w14:solidFill>
                    <w14:schemeClr w14:val="tx1"/>
                  </w14:solidFill>
                </w14:textFill>
              </w:rPr>
              <w:t>南侧</w:t>
            </w:r>
            <w:r>
              <w:rPr>
                <w:rFonts w:hint="eastAsia" w:ascii="Times New Roman" w:hAnsi="Times New Roman"/>
                <w:color w:val="000000" w:themeColor="text1"/>
                <w:sz w:val="24"/>
                <w:highlight w:val="none"/>
                <w:lang w:val="en-US" w:eastAsia="zh-CN"/>
                <w14:textFill>
                  <w14:solidFill>
                    <w14:schemeClr w14:val="tx1"/>
                  </w14:solidFill>
                </w14:textFill>
              </w:rPr>
              <w:t>30</w:t>
            </w:r>
            <w:r>
              <w:rPr>
                <w:rFonts w:hint="eastAsia" w:ascii="Times New Roman" w:hAnsi="Times New Roman"/>
                <w:color w:val="000000" w:themeColor="text1"/>
                <w:sz w:val="24"/>
                <w:highlight w:val="none"/>
                <w14:textFill>
                  <w14:solidFill>
                    <w14:schemeClr w14:val="tx1"/>
                  </w14:solidFill>
                </w14:textFill>
              </w:rPr>
              <w:t>5</w:t>
            </w:r>
            <w:r>
              <w:rPr>
                <w:rFonts w:hint="eastAsia" w:ascii="Times New Roman" w:hAnsi="Times New Roman"/>
                <w:color w:val="000000" w:themeColor="text1"/>
                <w:sz w:val="24"/>
                <w:highlight w:val="none"/>
                <w:lang w:val="en-US" w:eastAsia="zh-CN"/>
                <w14:textFill>
                  <w14:solidFill>
                    <w14:schemeClr w14:val="tx1"/>
                  </w14:solidFill>
                </w14:textFill>
              </w:rPr>
              <w:t>6</w:t>
            </w:r>
            <w:r>
              <w:rPr>
                <w:rFonts w:ascii="Times New Roman" w:hAnsi="Times New Roman"/>
                <w:color w:val="000000" w:themeColor="text1"/>
                <w:sz w:val="24"/>
                <w:highlight w:val="none"/>
                <w14:textFill>
                  <w14:solidFill>
                    <w14:schemeClr w14:val="tx1"/>
                  </w14:solidFill>
                </w14:textFill>
              </w:rPr>
              <w:t>m处，监测点与</w:t>
            </w:r>
            <w:r>
              <w:rPr>
                <w:rFonts w:hint="eastAsia" w:ascii="Times New Roman" w:hAnsi="Times New Roman"/>
                <w:color w:val="000000" w:themeColor="text1"/>
                <w:sz w:val="24"/>
                <w:highlight w:val="none"/>
                <w14:textFill>
                  <w14:solidFill>
                    <w14:schemeClr w14:val="tx1"/>
                  </w14:solidFill>
                </w14:textFill>
              </w:rPr>
              <w:t>本</w:t>
            </w:r>
            <w:r>
              <w:rPr>
                <w:rFonts w:ascii="Times New Roman" w:hAnsi="Times New Roman"/>
                <w:color w:val="000000" w:themeColor="text1"/>
                <w:sz w:val="24"/>
                <w:highlight w:val="none"/>
                <w14:textFill>
                  <w14:solidFill>
                    <w14:schemeClr w14:val="tx1"/>
                  </w14:solidFill>
                </w14:textFill>
              </w:rPr>
              <w:t>项目距离满足报告表编制指南中“项目周边5km范围内”的要求，监测因子也能够满足本次评价要求，且</w:t>
            </w:r>
            <w:r>
              <w:rPr>
                <w:rFonts w:hint="eastAsia" w:ascii="Times New Roman" w:hAnsi="Times New Roman"/>
                <w:color w:val="000000" w:themeColor="text1"/>
                <w:sz w:val="24"/>
                <w:highlight w:val="none"/>
                <w14:textFill>
                  <w14:solidFill>
                    <w14:schemeClr w14:val="tx1"/>
                  </w14:solidFill>
                </w14:textFill>
              </w:rPr>
              <w:t>引用监测数据在3年有效时间内，</w:t>
            </w:r>
            <w:r>
              <w:rPr>
                <w:rFonts w:ascii="Times New Roman" w:hAnsi="Times New Roman"/>
                <w:color w:val="000000" w:themeColor="text1"/>
                <w:sz w:val="24"/>
                <w:highlight w:val="none"/>
                <w14:textFill>
                  <w14:solidFill>
                    <w14:schemeClr w14:val="tx1"/>
                  </w14:solidFill>
                </w14:textFill>
              </w:rPr>
              <w:t>因此，本次评价引用的监测数据是合理可行的。</w:t>
            </w:r>
          </w:p>
          <w:p w14:paraId="79364ECC">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Times New Roman" w:hAnsi="Times New Roman" w:eastAsia="宋体"/>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①监测项目：非甲烷总烃</w:t>
            </w:r>
            <w:r>
              <w:rPr>
                <w:rFonts w:hint="eastAsia" w:ascii="Times New Roman" w:hAnsi="Times New Roman"/>
                <w:color w:val="000000" w:themeColor="text1"/>
                <w:sz w:val="24"/>
                <w:highlight w:val="none"/>
                <w14:textFill>
                  <w14:solidFill>
                    <w14:schemeClr w14:val="tx1"/>
                  </w14:solidFill>
                </w14:textFill>
              </w:rPr>
              <w:t>、</w:t>
            </w:r>
            <w:r>
              <w:rPr>
                <w:rFonts w:hint="eastAsia" w:ascii="Times New Roman" w:hAnsi="Times New Roman"/>
                <w:color w:val="000000" w:themeColor="text1"/>
                <w:sz w:val="24"/>
                <w:highlight w:val="none"/>
                <w:lang w:eastAsia="zh-CN"/>
                <w14:textFill>
                  <w14:solidFill>
                    <w14:schemeClr w14:val="tx1"/>
                  </w14:solidFill>
                </w14:textFill>
              </w:rPr>
              <w:t>氨</w:t>
            </w:r>
            <w:r>
              <w:rPr>
                <w:rFonts w:hint="eastAsia" w:ascii="Times New Roman" w:hAnsi="Times New Roman"/>
                <w:color w:val="000000" w:themeColor="text1"/>
                <w:sz w:val="24"/>
                <w:highlight w:val="none"/>
                <w14:textFill>
                  <w14:solidFill>
                    <w14:schemeClr w14:val="tx1"/>
                  </w14:solidFill>
                </w14:textFill>
              </w:rPr>
              <w:t>、</w:t>
            </w:r>
            <w:r>
              <w:rPr>
                <w:rFonts w:hint="eastAsia" w:ascii="Times New Roman" w:hAnsi="Times New Roman"/>
                <w:color w:val="000000" w:themeColor="text1"/>
                <w:sz w:val="24"/>
                <w:highlight w:val="none"/>
                <w:lang w:eastAsia="zh-CN"/>
                <w14:textFill>
                  <w14:solidFill>
                    <w14:schemeClr w14:val="tx1"/>
                  </w14:solidFill>
                </w14:textFill>
              </w:rPr>
              <w:t>硫化氢</w:t>
            </w:r>
          </w:p>
          <w:p w14:paraId="7D72EACD">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w:t>
            </w:r>
            <w:r>
              <w:rPr>
                <w:rFonts w:hint="eastAsia" w:ascii="Times New Roman" w:hAnsi="Times New Roman"/>
                <w:color w:val="000000" w:themeColor="text1"/>
                <w:sz w:val="24"/>
                <w:highlight w:val="none"/>
                <w14:textFill>
                  <w14:solidFill>
                    <w14:schemeClr w14:val="tx1"/>
                  </w14:solidFill>
                </w14:textFill>
              </w:rPr>
              <w:t>监测点位：南溪核心区区域下风向</w:t>
            </w:r>
          </w:p>
          <w:p w14:paraId="77D16012">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w:t>
            </w:r>
            <w:r>
              <w:rPr>
                <w:rFonts w:hint="eastAsia" w:ascii="Times New Roman" w:hAnsi="Times New Roman"/>
                <w:color w:val="000000" w:themeColor="text1"/>
                <w:sz w:val="24"/>
                <w:highlight w:val="none"/>
                <w14:textFill>
                  <w14:solidFill>
                    <w14:schemeClr w14:val="tx1"/>
                  </w14:solidFill>
                </w14:textFill>
              </w:rPr>
              <w:t>监测时间及频率：2023年7月15日</w:t>
            </w:r>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14:textFill>
                  <w14:solidFill>
                    <w14:schemeClr w14:val="tx1"/>
                  </w14:solidFill>
                </w14:textFill>
              </w:rPr>
              <w:t>7月21日，连续监测7天；</w:t>
            </w:r>
          </w:p>
          <w:p w14:paraId="0A12A0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rPr>
                <w:rFonts w:hint="eastAsia" w:ascii="Times New Roman" w:hAnsi="Times New Roman"/>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④</w:t>
            </w:r>
            <w:r>
              <w:rPr>
                <w:rFonts w:hint="eastAsia" w:ascii="Times New Roman" w:hAnsi="Times New Roman"/>
                <w:color w:val="000000" w:themeColor="text1"/>
                <w:sz w:val="24"/>
                <w:highlight w:val="none"/>
                <w14:textFill>
                  <w14:solidFill>
                    <w14:schemeClr w14:val="tx1"/>
                  </w14:solidFill>
                </w14:textFill>
              </w:rPr>
              <w:t>评价方法</w:t>
            </w:r>
          </w:p>
          <w:p w14:paraId="62B98E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根据《环境影响评价技术导则-大气环境》（HJ2.2-2018），环境空气质量现状评价通过计算取值时间最大浓度值占相应标准浓度限值的百分比和超标率，来分析其达标情况，当取值时间最大浓度值占相应标准浓度限值的百分比大于或等于100%时，表明环境空气质量超标。计算公式如下：</w:t>
            </w:r>
          </w:p>
          <w:p w14:paraId="08BDD1E4">
            <w:pPr>
              <w:spacing w:line="360" w:lineRule="auto"/>
              <w:ind w:firstLine="480" w:firstLineChars="200"/>
              <w:jc w:val="center"/>
              <w:textAlignment w:val="center"/>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position w:val="-24"/>
                <w:sz w:val="24"/>
                <w:highlight w:val="none"/>
                <w14:textFill>
                  <w14:solidFill>
                    <w14:schemeClr w14:val="tx1"/>
                  </w14:solidFill>
                </w14:textFill>
              </w:rPr>
              <w:object>
                <v:shape id="_x0000_i1027" o:spt="75" type="#_x0000_t75" style="height:31pt;width:78.95pt;" o:ole="t" filled="f" o:preferrelative="t" stroked="f" coordsize="21600,21600">
                  <v:path/>
                  <v:fill on="f" focussize="0,0"/>
                  <v:stroke on="f"/>
                  <v:imagedata r:id="rId17" o:title=""/>
                  <o:lock v:ext="edit" aspectratio="t"/>
                  <w10:wrap type="none"/>
                  <w10:anchorlock/>
                </v:shape>
                <o:OLEObject Type="Embed" ProgID="Equation.KSEE3" ShapeID="_x0000_i1027" DrawAspect="Content" ObjectID="_1468075727" r:id="rId16">
                  <o:LockedField>false</o:LockedField>
                </o:OLEObject>
              </w:object>
            </w:r>
          </w:p>
          <w:p w14:paraId="25AF3FAB">
            <w:pPr>
              <w:spacing w:line="360" w:lineRule="auto"/>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式中：P——第i个污染物的监测最大浓度占相应标准浓度限值的百分比，%；</w:t>
            </w:r>
          </w:p>
          <w:p w14:paraId="64907884">
            <w:pPr>
              <w:spacing w:line="360" w:lineRule="auto"/>
              <w:ind w:firstLine="1200" w:firstLineChars="5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C</w:t>
            </w:r>
            <w:r>
              <w:rPr>
                <w:rFonts w:ascii="Times New Roman" w:hAnsi="Times New Roman"/>
                <w:color w:val="000000" w:themeColor="text1"/>
                <w:sz w:val="24"/>
                <w:highlight w:val="none"/>
                <w:vertAlign w:val="subscript"/>
                <w14:textFill>
                  <w14:solidFill>
                    <w14:schemeClr w14:val="tx1"/>
                  </w14:solidFill>
                </w14:textFill>
              </w:rPr>
              <w:t>i</w:t>
            </w:r>
            <w:r>
              <w:rPr>
                <w:rFonts w:ascii="Times New Roman" w:hAnsi="Times New Roman"/>
                <w:color w:val="000000" w:themeColor="text1"/>
                <w:sz w:val="24"/>
                <w:highlight w:val="none"/>
                <w14:textFill>
                  <w14:solidFill>
                    <w14:schemeClr w14:val="tx1"/>
                  </w14:solidFill>
                </w14:textFill>
              </w:rPr>
              <w:t>—第i个污染物的监测浓度值，mg/m</w:t>
            </w:r>
            <w:r>
              <w:rPr>
                <w:rFonts w:ascii="Times New Roman" w:hAnsi="Times New Roman"/>
                <w:color w:val="000000" w:themeColor="text1"/>
                <w:sz w:val="24"/>
                <w:highlight w:val="none"/>
                <w:vertAlign w:val="superscript"/>
                <w14:textFill>
                  <w14:solidFill>
                    <w14:schemeClr w14:val="tx1"/>
                  </w14:solidFill>
                </w14:textFill>
              </w:rPr>
              <w:t>3</w:t>
            </w:r>
            <w:r>
              <w:rPr>
                <w:rFonts w:ascii="Times New Roman" w:hAnsi="Times New Roman"/>
                <w:color w:val="000000" w:themeColor="text1"/>
                <w:sz w:val="24"/>
                <w:highlight w:val="none"/>
                <w14:textFill>
                  <w14:solidFill>
                    <w14:schemeClr w14:val="tx1"/>
                  </w14:solidFill>
                </w14:textFill>
              </w:rPr>
              <w:t>；</w:t>
            </w:r>
          </w:p>
          <w:p w14:paraId="25DFD2D0">
            <w:pPr>
              <w:spacing w:line="360" w:lineRule="auto"/>
              <w:ind w:firstLine="1200" w:firstLineChars="5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C</w:t>
            </w:r>
            <w:r>
              <w:rPr>
                <w:rFonts w:ascii="Times New Roman" w:hAnsi="Times New Roman"/>
                <w:color w:val="000000" w:themeColor="text1"/>
                <w:sz w:val="24"/>
                <w:highlight w:val="none"/>
                <w:vertAlign w:val="subscript"/>
                <w14:textFill>
                  <w14:solidFill>
                    <w14:schemeClr w14:val="tx1"/>
                  </w14:solidFill>
                </w14:textFill>
              </w:rPr>
              <w:t>0i</w:t>
            </w:r>
            <w:r>
              <w:rPr>
                <w:rFonts w:ascii="Times New Roman" w:hAnsi="Times New Roman"/>
                <w:color w:val="000000" w:themeColor="text1"/>
                <w:sz w:val="24"/>
                <w:highlight w:val="none"/>
                <w14:textFill>
                  <w14:solidFill>
                    <w14:schemeClr w14:val="tx1"/>
                  </w14:solidFill>
                </w14:textFill>
              </w:rPr>
              <w:t>——第i个污染物的环境空气质量标准，mg/m</w:t>
            </w:r>
            <w:r>
              <w:rPr>
                <w:rFonts w:ascii="Times New Roman" w:hAnsi="Times New Roman"/>
                <w:color w:val="000000" w:themeColor="text1"/>
                <w:sz w:val="24"/>
                <w:highlight w:val="none"/>
                <w:vertAlign w:val="superscript"/>
                <w14:textFill>
                  <w14:solidFill>
                    <w14:schemeClr w14:val="tx1"/>
                  </w14:solidFill>
                </w14:textFill>
              </w:rPr>
              <w:t>3</w:t>
            </w:r>
            <w:r>
              <w:rPr>
                <w:rFonts w:ascii="Times New Roman" w:hAnsi="Times New Roman"/>
                <w:color w:val="000000" w:themeColor="text1"/>
                <w:sz w:val="24"/>
                <w:highlight w:val="none"/>
                <w14:textFill>
                  <w14:solidFill>
                    <w14:schemeClr w14:val="tx1"/>
                  </w14:solidFill>
                </w14:textFill>
              </w:rPr>
              <w:t>。</w:t>
            </w:r>
          </w:p>
          <w:p w14:paraId="709DF12D">
            <w:pPr>
              <w:spacing w:line="360" w:lineRule="auto"/>
              <w:ind w:firstLine="480" w:firstLineChars="200"/>
              <w:rPr>
                <w:rFonts w:ascii="Times New Roman" w:hAnsi="Times New Roman"/>
                <w:color w:val="000000" w:themeColor="text1"/>
                <w:kern w:val="0"/>
                <w:sz w:val="24"/>
                <w:highlight w:val="none"/>
                <w14:textFill>
                  <w14:solidFill>
                    <w14:schemeClr w14:val="tx1"/>
                  </w14:solidFill>
                </w14:textFill>
              </w:rPr>
            </w:pPr>
            <w:r>
              <w:rPr>
                <w:rFonts w:ascii="Times New Roman" w:hAnsi="Times New Roman"/>
                <w:color w:val="000000" w:themeColor="text1"/>
                <w:kern w:val="0"/>
                <w:sz w:val="24"/>
                <w:highlight w:val="none"/>
                <w14:textFill>
                  <w14:solidFill>
                    <w14:schemeClr w14:val="tx1"/>
                  </w14:solidFill>
                </w14:textFill>
              </w:rPr>
              <w:t>⑤监测结果及分析</w:t>
            </w:r>
          </w:p>
          <w:p w14:paraId="5F469FB7">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其他</w:t>
            </w:r>
            <w:r>
              <w:rPr>
                <w:rFonts w:ascii="Times New Roman" w:hAnsi="Times New Roman"/>
                <w:color w:val="000000" w:themeColor="text1"/>
                <w:sz w:val="24"/>
                <w:highlight w:val="none"/>
                <w14:textFill>
                  <w14:solidFill>
                    <w14:schemeClr w14:val="tx1"/>
                  </w14:solidFill>
                </w14:textFill>
              </w:rPr>
              <w:t>污染物现状监测结果及评价见表3</w:t>
            </w:r>
            <w:r>
              <w:rPr>
                <w:rFonts w:hint="eastAsia" w:ascii="Times New Roman" w:hAnsi="Times New Roman"/>
                <w:color w:val="000000" w:themeColor="text1"/>
                <w:sz w:val="24"/>
                <w:highlight w:val="none"/>
                <w:lang w:val="en-US" w:eastAsia="zh-CN"/>
                <w14:textFill>
                  <w14:solidFill>
                    <w14:schemeClr w14:val="tx1"/>
                  </w14:solidFill>
                </w14:textFill>
              </w:rPr>
              <w:t>.1</w:t>
            </w:r>
            <w:r>
              <w:rPr>
                <w:rFonts w:ascii="Times New Roman" w:hAnsi="Times New Roman"/>
                <w:color w:val="000000" w:themeColor="text1"/>
                <w:sz w:val="24"/>
                <w:highlight w:val="none"/>
                <w14:textFill>
                  <w14:solidFill>
                    <w14:schemeClr w14:val="tx1"/>
                  </w14:solidFill>
                </w14:textFill>
              </w:rPr>
              <w:t>-2所示。</w:t>
            </w:r>
          </w:p>
          <w:p w14:paraId="036C7E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000000" w:themeColor="text1"/>
                <w:sz w:val="24"/>
                <w:highlight w:val="none"/>
                <w:vertAlign w:val="superscript"/>
                <w14:textFill>
                  <w14:solidFill>
                    <w14:schemeClr w14:val="tx1"/>
                  </w14:solidFill>
                </w14:textFill>
              </w:rPr>
            </w:pPr>
            <w:r>
              <w:rPr>
                <w:rFonts w:ascii="Times New Roman" w:hAnsi="Times New Roman"/>
                <w:b/>
                <w:bCs/>
                <w:color w:val="000000" w:themeColor="text1"/>
                <w:sz w:val="24"/>
                <w:highlight w:val="none"/>
                <w14:textFill>
                  <w14:solidFill>
                    <w14:schemeClr w14:val="tx1"/>
                  </w14:solidFill>
                </w14:textFill>
              </w:rPr>
              <w:t>表3</w:t>
            </w:r>
            <w:r>
              <w:rPr>
                <w:rFonts w:hint="eastAsia" w:ascii="Times New Roman" w:hAnsi="Times New Roman"/>
                <w:b/>
                <w:bCs/>
                <w:color w:val="000000" w:themeColor="text1"/>
                <w:sz w:val="24"/>
                <w:highlight w:val="none"/>
                <w:lang w:val="en-US" w:eastAsia="zh-CN"/>
                <w14:textFill>
                  <w14:solidFill>
                    <w14:schemeClr w14:val="tx1"/>
                  </w14:solidFill>
                </w14:textFill>
              </w:rPr>
              <w:t>.1</w:t>
            </w:r>
            <w:r>
              <w:rPr>
                <w:rFonts w:ascii="Times New Roman" w:hAnsi="Times New Roman"/>
                <w:b/>
                <w:bCs/>
                <w:color w:val="000000" w:themeColor="text1"/>
                <w:sz w:val="24"/>
                <w:highlight w:val="none"/>
                <w14:textFill>
                  <w14:solidFill>
                    <w14:schemeClr w14:val="tx1"/>
                  </w14:solidFill>
                </w14:textFill>
              </w:rPr>
              <w:t>-2  其他污染物现状监测及评价结果  单位：mg/m</w:t>
            </w:r>
            <w:r>
              <w:rPr>
                <w:rFonts w:ascii="Times New Roman" w:hAnsi="Times New Roman"/>
                <w:b/>
                <w:bCs/>
                <w:color w:val="000000" w:themeColor="text1"/>
                <w:sz w:val="24"/>
                <w:highlight w:val="none"/>
                <w:vertAlign w:val="superscript"/>
                <w14:textFill>
                  <w14:solidFill>
                    <w14:schemeClr w14:val="tx1"/>
                  </w14:solidFill>
                </w14:textFill>
              </w:rPr>
              <w:t>3</w:t>
            </w:r>
          </w:p>
          <w:tbl>
            <w:tblPr>
              <w:tblStyle w:val="28"/>
              <w:tblW w:w="49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85"/>
              <w:gridCol w:w="1363"/>
              <w:gridCol w:w="1369"/>
              <w:gridCol w:w="1090"/>
              <w:gridCol w:w="1327"/>
              <w:gridCol w:w="1442"/>
            </w:tblGrid>
            <w:tr w14:paraId="60D2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8" w:type="pct"/>
                  <w:tcBorders>
                    <w:top w:val="single" w:color="auto" w:sz="4" w:space="0"/>
                    <w:left w:val="single" w:color="auto" w:sz="4" w:space="0"/>
                    <w:bottom w:val="single" w:color="auto" w:sz="4" w:space="0"/>
                    <w:right w:val="single" w:color="auto" w:sz="4" w:space="0"/>
                  </w:tcBorders>
                  <w:noWrap w:val="0"/>
                  <w:vAlign w:val="center"/>
                </w:tcPr>
                <w:p w14:paraId="2410EF4D">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
                      <w:bCs w:val="0"/>
                      <w:color w:val="000000" w:themeColor="text1"/>
                      <w:sz w:val="21"/>
                      <w:szCs w:val="21"/>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监测点位</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532E6657">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
                      <w:bCs w:val="0"/>
                      <w:color w:val="000000" w:themeColor="text1"/>
                      <w:sz w:val="21"/>
                      <w:szCs w:val="21"/>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监测指标</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49A089CC">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
                      <w:bCs w:val="0"/>
                      <w:color w:val="000000" w:themeColor="text1"/>
                      <w:sz w:val="21"/>
                      <w:szCs w:val="21"/>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监测浓度</w:t>
                  </w:r>
                </w:p>
                <w:p w14:paraId="323D224D">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
                      <w:bCs w:val="0"/>
                      <w:color w:val="000000" w:themeColor="text1"/>
                      <w:sz w:val="21"/>
                      <w:szCs w:val="21"/>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w:t>
                  </w:r>
                  <w:r>
                    <w:rPr>
                      <w:rFonts w:hint="eastAsia" w:ascii="Times New Roman" w:hAnsi="Times New Roman"/>
                      <w:b/>
                      <w:bCs w:val="0"/>
                      <w:color w:val="000000" w:themeColor="text1"/>
                      <w:sz w:val="21"/>
                      <w:szCs w:val="21"/>
                      <w:highlight w:val="none"/>
                      <w14:textFill>
                        <w14:solidFill>
                          <w14:schemeClr w14:val="tx1"/>
                        </w14:solidFill>
                      </w14:textFill>
                    </w:rPr>
                    <w:t>m</w:t>
                  </w:r>
                  <w:r>
                    <w:rPr>
                      <w:rFonts w:ascii="Times New Roman" w:hAnsi="Times New Roman"/>
                      <w:b/>
                      <w:bCs w:val="0"/>
                      <w:color w:val="000000" w:themeColor="text1"/>
                      <w:sz w:val="21"/>
                      <w:szCs w:val="21"/>
                      <w:highlight w:val="none"/>
                      <w14:textFill>
                        <w14:solidFill>
                          <w14:schemeClr w14:val="tx1"/>
                        </w14:solidFill>
                      </w14:textFill>
                    </w:rPr>
                    <w:t>g/Nm</w:t>
                  </w:r>
                  <w:r>
                    <w:rPr>
                      <w:rFonts w:ascii="Times New Roman" w:hAnsi="Times New Roman"/>
                      <w:b/>
                      <w:bCs w:val="0"/>
                      <w:color w:val="000000" w:themeColor="text1"/>
                      <w:sz w:val="21"/>
                      <w:szCs w:val="21"/>
                      <w:highlight w:val="none"/>
                      <w:vertAlign w:val="superscript"/>
                      <w14:textFill>
                        <w14:solidFill>
                          <w14:schemeClr w14:val="tx1"/>
                        </w14:solidFill>
                      </w14:textFill>
                    </w:rPr>
                    <w:t>3</w:t>
                  </w:r>
                  <w:r>
                    <w:rPr>
                      <w:rFonts w:ascii="Times New Roman" w:hAnsi="Times New Roman"/>
                      <w:b/>
                      <w:bCs w:val="0"/>
                      <w:color w:val="000000" w:themeColor="text1"/>
                      <w:sz w:val="21"/>
                      <w:szCs w:val="21"/>
                      <w:highlight w:val="none"/>
                      <w14:textFill>
                        <w14:solidFill>
                          <w14:schemeClr w14:val="tx1"/>
                        </w14:solidFill>
                      </w14:textFill>
                    </w:rPr>
                    <w:t>)</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37D14FFF">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
                      <w:bCs w:val="0"/>
                      <w:color w:val="000000" w:themeColor="text1"/>
                      <w:sz w:val="21"/>
                      <w:szCs w:val="21"/>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标准值</w:t>
                  </w:r>
                </w:p>
                <w:p w14:paraId="400FEF7A">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
                      <w:bCs w:val="0"/>
                      <w:color w:val="000000" w:themeColor="text1"/>
                      <w:sz w:val="21"/>
                      <w:szCs w:val="21"/>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w:t>
                  </w:r>
                  <w:r>
                    <w:rPr>
                      <w:rFonts w:hint="eastAsia" w:ascii="Times New Roman" w:hAnsi="Times New Roman"/>
                      <w:b/>
                      <w:bCs w:val="0"/>
                      <w:color w:val="000000" w:themeColor="text1"/>
                      <w:sz w:val="21"/>
                      <w:szCs w:val="21"/>
                      <w:highlight w:val="none"/>
                      <w14:textFill>
                        <w14:solidFill>
                          <w14:schemeClr w14:val="tx1"/>
                        </w14:solidFill>
                      </w14:textFill>
                    </w:rPr>
                    <w:t>m</w:t>
                  </w:r>
                  <w:r>
                    <w:rPr>
                      <w:rFonts w:ascii="Times New Roman" w:hAnsi="Times New Roman"/>
                      <w:b/>
                      <w:bCs w:val="0"/>
                      <w:color w:val="000000" w:themeColor="text1"/>
                      <w:sz w:val="21"/>
                      <w:szCs w:val="21"/>
                      <w:highlight w:val="none"/>
                      <w14:textFill>
                        <w14:solidFill>
                          <w14:schemeClr w14:val="tx1"/>
                        </w14:solidFill>
                      </w14:textFill>
                    </w:rPr>
                    <w:t>g/Nm</w:t>
                  </w:r>
                  <w:r>
                    <w:rPr>
                      <w:rFonts w:ascii="Times New Roman" w:hAnsi="Times New Roman"/>
                      <w:b/>
                      <w:bCs w:val="0"/>
                      <w:color w:val="000000" w:themeColor="text1"/>
                      <w:sz w:val="21"/>
                      <w:szCs w:val="21"/>
                      <w:highlight w:val="none"/>
                      <w:vertAlign w:val="superscript"/>
                      <w14:textFill>
                        <w14:solidFill>
                          <w14:schemeClr w14:val="tx1"/>
                        </w14:solidFill>
                      </w14:textFill>
                    </w:rPr>
                    <w:t>3</w:t>
                  </w:r>
                  <w:r>
                    <w:rPr>
                      <w:rFonts w:ascii="Times New Roman" w:hAnsi="Times New Roman"/>
                      <w:b/>
                      <w:bCs w:val="0"/>
                      <w:color w:val="000000" w:themeColor="text1"/>
                      <w:sz w:val="21"/>
                      <w:szCs w:val="21"/>
                      <w:highlight w:val="none"/>
                      <w14:textFill>
                        <w14:solidFill>
                          <w14:schemeClr w14:val="tx1"/>
                        </w14:solidFill>
                      </w14:textFill>
                    </w:rPr>
                    <w:t>)</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7BECF915">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
                      <w:bCs w:val="0"/>
                      <w:color w:val="000000" w:themeColor="text1"/>
                      <w:sz w:val="21"/>
                      <w:szCs w:val="21"/>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最大浓度值占标率（%）</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02179243">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
                      <w:bCs w:val="0"/>
                      <w:color w:val="000000" w:themeColor="text1"/>
                      <w:sz w:val="21"/>
                      <w:szCs w:val="21"/>
                      <w:highlight w:val="none"/>
                      <w14:textFill>
                        <w14:solidFill>
                          <w14:schemeClr w14:val="tx1"/>
                        </w14:solidFill>
                      </w14:textFill>
                    </w:rPr>
                  </w:pPr>
                  <w:r>
                    <w:rPr>
                      <w:rFonts w:ascii="Times New Roman" w:hAnsi="Times New Roman"/>
                      <w:b/>
                      <w:bCs w:val="0"/>
                      <w:color w:val="000000" w:themeColor="text1"/>
                      <w:sz w:val="21"/>
                      <w:szCs w:val="21"/>
                      <w:highlight w:val="none"/>
                      <w14:textFill>
                        <w14:solidFill>
                          <w14:schemeClr w14:val="tx1"/>
                        </w14:solidFill>
                      </w14:textFill>
                    </w:rPr>
                    <w:t>达标情况</w:t>
                  </w:r>
                </w:p>
              </w:tc>
            </w:tr>
            <w:tr w14:paraId="673E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8" w:type="pct"/>
                  <w:vMerge w:val="restart"/>
                  <w:tcBorders>
                    <w:top w:val="single" w:color="auto" w:sz="4" w:space="0"/>
                    <w:left w:val="single" w:color="auto" w:sz="4" w:space="0"/>
                    <w:right w:val="single" w:color="auto" w:sz="4" w:space="0"/>
                  </w:tcBorders>
                  <w:noWrap w:val="0"/>
                  <w:vAlign w:val="center"/>
                </w:tcPr>
                <w:p w14:paraId="20A35DC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14:textFill>
                        <w14:solidFill>
                          <w14:schemeClr w14:val="tx1"/>
                        </w14:solidFill>
                      </w14:textFill>
                    </w:rPr>
                    <w:t>南溪核心区区域下风向</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288CC55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14:textFill>
                        <w14:solidFill>
                          <w14:schemeClr w14:val="tx1"/>
                        </w14:solidFill>
                      </w14:textFill>
                    </w:rPr>
                    <w:t>非甲烷总烃</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4316B9B1">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14:textFill>
                        <w14:solidFill>
                          <w14:schemeClr w14:val="tx1"/>
                        </w14:solidFill>
                      </w14:textFill>
                    </w:rPr>
                    <w:t>0.28~0.75</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0B86D407">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14:textFill>
                        <w14:solidFill>
                          <w14:schemeClr w14:val="tx1"/>
                        </w14:solidFill>
                      </w14:textFill>
                    </w:rPr>
                    <w:t>2</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592140C1">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14:textFill>
                        <w14:solidFill>
                          <w14:schemeClr w14:val="tx1"/>
                        </w14:solidFill>
                      </w14:textFill>
                    </w:rPr>
                    <w:t>37.5</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53A8ADE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ascii="Times New Roman" w:hAnsi="Times New Roman"/>
                      <w:bCs/>
                      <w:color w:val="000000" w:themeColor="text1"/>
                      <w:sz w:val="21"/>
                      <w:szCs w:val="21"/>
                      <w:highlight w:val="none"/>
                      <w14:textFill>
                        <w14:solidFill>
                          <w14:schemeClr w14:val="tx1"/>
                        </w14:solidFill>
                      </w14:textFill>
                    </w:rPr>
                    <w:t>达标</w:t>
                  </w:r>
                </w:p>
              </w:tc>
            </w:tr>
            <w:tr w14:paraId="6FD7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8" w:type="pct"/>
                  <w:vMerge w:val="continue"/>
                  <w:tcBorders>
                    <w:left w:val="single" w:color="auto" w:sz="4" w:space="0"/>
                    <w:right w:val="single" w:color="auto" w:sz="4" w:space="0"/>
                  </w:tcBorders>
                  <w:noWrap w:val="0"/>
                  <w:vAlign w:val="center"/>
                </w:tcPr>
                <w:p w14:paraId="31E3DF85">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bCs/>
                      <w:color w:val="000000" w:themeColor="text1"/>
                      <w:sz w:val="21"/>
                      <w:szCs w:val="21"/>
                      <w:highlight w:val="none"/>
                      <w14:textFill>
                        <w14:solidFill>
                          <w14:schemeClr w14:val="tx1"/>
                        </w14:solidFill>
                      </w14:textFill>
                    </w:rPr>
                  </w:pPr>
                </w:p>
              </w:tc>
              <w:tc>
                <w:tcPr>
                  <w:tcW w:w="759" w:type="pct"/>
                  <w:tcBorders>
                    <w:top w:val="single" w:color="auto" w:sz="4" w:space="0"/>
                    <w:left w:val="single" w:color="auto" w:sz="4" w:space="0"/>
                    <w:bottom w:val="single" w:color="auto" w:sz="4" w:space="0"/>
                    <w:right w:val="single" w:color="auto" w:sz="4" w:space="0"/>
                  </w:tcBorders>
                  <w:noWrap w:val="0"/>
                  <w:vAlign w:val="center"/>
                </w:tcPr>
                <w:p w14:paraId="5D0485C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bCs/>
                      <w:color w:val="000000" w:themeColor="text1"/>
                      <w:sz w:val="21"/>
                      <w:szCs w:val="21"/>
                      <w:highlight w:val="none"/>
                      <w:lang w:eastAsia="zh-CN"/>
                      <w14:textFill>
                        <w14:solidFill>
                          <w14:schemeClr w14:val="tx1"/>
                        </w14:solidFill>
                      </w14:textFill>
                    </w:rPr>
                  </w:pPr>
                  <w:r>
                    <w:rPr>
                      <w:rFonts w:hint="eastAsia" w:ascii="Times New Roman" w:hAnsi="Times New Roman"/>
                      <w:bCs/>
                      <w:color w:val="000000" w:themeColor="text1"/>
                      <w:sz w:val="21"/>
                      <w:szCs w:val="21"/>
                      <w:highlight w:val="none"/>
                      <w:lang w:eastAsia="zh-CN"/>
                      <w14:textFill>
                        <w14:solidFill>
                          <w14:schemeClr w14:val="tx1"/>
                        </w14:solidFill>
                      </w14:textFill>
                    </w:rPr>
                    <w:t>氨</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1F284188">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lang w:val="en-US" w:eastAsia="zh-CN"/>
                      <w14:textFill>
                        <w14:solidFill>
                          <w14:schemeClr w14:val="tx1"/>
                        </w14:solidFill>
                      </w14:textFill>
                    </w:rPr>
                    <w:t>0.001</w:t>
                  </w:r>
                  <w:r>
                    <w:rPr>
                      <w:rFonts w:hint="eastAsia" w:ascii="Times New Roman" w:hAnsi="Times New Roman"/>
                      <w:bCs/>
                      <w:color w:val="000000" w:themeColor="text1"/>
                      <w:sz w:val="21"/>
                      <w:szCs w:val="21"/>
                      <w:highlight w:val="none"/>
                      <w14:textFill>
                        <w14:solidFill>
                          <w14:schemeClr w14:val="tx1"/>
                        </w14:solidFill>
                      </w14:textFill>
                    </w:rPr>
                    <w:t>L</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0BDD7FD6">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14:textFill>
                        <w14:solidFill>
                          <w14:schemeClr w14:val="tx1"/>
                        </w14:solidFill>
                      </w14:textFill>
                    </w:rPr>
                    <w:t>0.2</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23C47183">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14:textFill>
                        <w14:solidFill>
                          <w14:schemeClr w14:val="tx1"/>
                        </w14:solidFill>
                      </w14:textFill>
                    </w:rPr>
                    <w:t>/</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1BCDD37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ascii="Times New Roman" w:hAnsi="Times New Roman"/>
                      <w:bCs/>
                      <w:color w:val="000000" w:themeColor="text1"/>
                      <w:sz w:val="21"/>
                      <w:szCs w:val="21"/>
                      <w:highlight w:val="none"/>
                      <w14:textFill>
                        <w14:solidFill>
                          <w14:schemeClr w14:val="tx1"/>
                        </w14:solidFill>
                      </w14:textFill>
                    </w:rPr>
                    <w:t>达标</w:t>
                  </w:r>
                </w:p>
              </w:tc>
            </w:tr>
            <w:tr w14:paraId="4C95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8" w:type="pct"/>
                  <w:vMerge w:val="continue"/>
                  <w:tcBorders>
                    <w:left w:val="single" w:color="auto" w:sz="4" w:space="0"/>
                    <w:right w:val="single" w:color="auto" w:sz="4" w:space="0"/>
                  </w:tcBorders>
                  <w:noWrap w:val="0"/>
                  <w:vAlign w:val="center"/>
                </w:tcPr>
                <w:p w14:paraId="4219A486">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bCs/>
                      <w:color w:val="000000" w:themeColor="text1"/>
                      <w:sz w:val="21"/>
                      <w:szCs w:val="21"/>
                      <w:highlight w:val="none"/>
                      <w14:textFill>
                        <w14:solidFill>
                          <w14:schemeClr w14:val="tx1"/>
                        </w14:solidFill>
                      </w14:textFill>
                    </w:rPr>
                  </w:pPr>
                </w:p>
              </w:tc>
              <w:tc>
                <w:tcPr>
                  <w:tcW w:w="759" w:type="pct"/>
                  <w:tcBorders>
                    <w:top w:val="single" w:color="auto" w:sz="4" w:space="0"/>
                    <w:left w:val="single" w:color="auto" w:sz="4" w:space="0"/>
                    <w:bottom w:val="single" w:color="auto" w:sz="4" w:space="0"/>
                    <w:right w:val="single" w:color="auto" w:sz="4" w:space="0"/>
                  </w:tcBorders>
                  <w:noWrap w:val="0"/>
                  <w:vAlign w:val="center"/>
                </w:tcPr>
                <w:p w14:paraId="06E9D8F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硫化氢</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5AF4D3E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0.001</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2E63EF79">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0.</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01</w:t>
                  </w:r>
                </w:p>
              </w:tc>
              <w:tc>
                <w:tcPr>
                  <w:tcW w:w="739" w:type="pct"/>
                  <w:tcBorders>
                    <w:top w:val="single" w:color="auto" w:sz="4" w:space="0"/>
                    <w:left w:val="single" w:color="auto" w:sz="4" w:space="0"/>
                    <w:bottom w:val="single" w:color="auto" w:sz="4" w:space="0"/>
                    <w:right w:val="single" w:color="auto" w:sz="4" w:space="0"/>
                  </w:tcBorders>
                  <w:noWrap w:val="0"/>
                  <w:vAlign w:val="center"/>
                </w:tcPr>
                <w:p w14:paraId="278CCEEF">
                  <w:pPr>
                    <w:pStyle w:val="8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14:textFill>
                        <w14:solidFill>
                          <w14:schemeClr w14:val="tx1"/>
                        </w14:solidFill>
                      </w14:textFill>
                    </w:rPr>
                    <w:t>/</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1DEB1FD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bCs/>
                      <w:color w:val="000000" w:themeColor="text1"/>
                      <w:sz w:val="21"/>
                      <w:szCs w:val="21"/>
                      <w:highlight w:val="none"/>
                      <w14:textFill>
                        <w14:solidFill>
                          <w14:schemeClr w14:val="tx1"/>
                        </w14:solidFill>
                      </w14:textFill>
                    </w:rPr>
                  </w:pPr>
                  <w:r>
                    <w:rPr>
                      <w:rFonts w:ascii="Times New Roman" w:hAnsi="Times New Roman"/>
                      <w:bCs/>
                      <w:color w:val="000000" w:themeColor="text1"/>
                      <w:sz w:val="21"/>
                      <w:szCs w:val="21"/>
                      <w:highlight w:val="none"/>
                      <w14:textFill>
                        <w14:solidFill>
                          <w14:schemeClr w14:val="tx1"/>
                        </w14:solidFill>
                      </w14:textFill>
                    </w:rPr>
                    <w:t>达标</w:t>
                  </w:r>
                </w:p>
              </w:tc>
            </w:tr>
          </w:tbl>
          <w:p w14:paraId="5C78FF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由上表可知，本项目所在区域非甲烷总烃满足河北省地方标准《环境空气质量 非甲烷总烃限值》（DB 13/1577-2012）二级标</w:t>
            </w:r>
            <w:r>
              <w:rPr>
                <w:rFonts w:hint="eastAsia" w:ascii="Times New Roman" w:hAnsi="Times New Roman" w:eastAsia="宋体" w:cs="Times New Roman"/>
                <w:color w:val="000000" w:themeColor="text1"/>
                <w:sz w:val="24"/>
                <w:highlight w:val="none"/>
                <w14:textFill>
                  <w14:solidFill>
                    <w14:schemeClr w14:val="tx1"/>
                  </w14:solidFill>
                </w14:textFill>
              </w:rPr>
              <w:t>准要求，非甲烷总烃小时浓度满足参照的河北省地方标准《环境空气质量 非甲烷总烃限值》（DB13/1577-2012）二级标准值，NH3、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硫化氢</w:t>
            </w:r>
            <w:r>
              <w:rPr>
                <w:rFonts w:hint="eastAsia" w:ascii="Times New Roman" w:hAnsi="Times New Roman" w:eastAsia="宋体" w:cs="Times New Roman"/>
                <w:color w:val="000000" w:themeColor="text1"/>
                <w:sz w:val="24"/>
                <w:highlight w:val="none"/>
                <w14:textFill>
                  <w14:solidFill>
                    <w14:schemeClr w14:val="tx1"/>
                  </w14:solidFill>
                </w14:textFill>
              </w:rPr>
              <w:t>的小时浓度值满足《环境影响评价技术导则-大气环境》（HJ2.2-2018）附录D中“其他污染物空气质量浓度参考限值”。故区域环境空气质量良好，具有一定的环境容量。</w:t>
            </w:r>
          </w:p>
          <w:p w14:paraId="315F8D43">
            <w:pPr>
              <w:keepNext w:val="0"/>
              <w:keepLines w:val="0"/>
              <w:pageBreakBefore w:val="0"/>
              <w:widowControl w:val="0"/>
              <w:kinsoku/>
              <w:wordWrap/>
              <w:overflowPunct/>
              <w:topLinePunct w:val="0"/>
              <w:bidi w:val="0"/>
              <w:spacing w:line="360" w:lineRule="auto"/>
              <w:ind w:left="0" w:leftChars="0" w:firstLine="0" w:firstLineChars="0"/>
              <w:textAlignment w:val="auto"/>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3.2地表水环境质量现状与评价</w:t>
            </w:r>
          </w:p>
          <w:p w14:paraId="7E7F51CD">
            <w:pPr>
              <w:keepNext w:val="0"/>
              <w:keepLines w:val="0"/>
              <w:pageBreakBefore w:val="0"/>
              <w:widowControl w:val="0"/>
              <w:kinsoku/>
              <w:wordWrap/>
              <w:overflowPunct/>
              <w:topLinePunct w:val="0"/>
              <w:bidi w:val="0"/>
              <w:adjustRightInd w:val="0"/>
              <w:snapToGrid w:val="0"/>
              <w:spacing w:line="360" w:lineRule="auto"/>
              <w:ind w:firstLine="522"/>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本项目地表水受纳水体为建梁河，最终汇入嘉陵江。根据《重庆市人民政府关于批转重庆市地表水环境功能类别局部调整方案的通知》（渝府发</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2012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4号）可知，嘉陵江合川段水质执行《地表水环境质量标准》（GB3838-2002）</w:t>
            </w:r>
            <w:r>
              <w:rPr>
                <w:rFonts w:hint="default" w:ascii="Times New Roman" w:hAnsi="Times New Roman" w:cs="Times New Roman"/>
                <w:color w:val="000000" w:themeColor="text1"/>
                <w:kern w:val="0"/>
                <w:sz w:val="24"/>
                <w:szCs w:val="24"/>
                <w:highlight w:val="none"/>
                <w14:textFill>
                  <w14:solidFill>
                    <w14:schemeClr w14:val="tx1"/>
                  </w14:solidFill>
                </w14:textFill>
              </w:rPr>
              <w:t>Ⅲ</w:t>
            </w:r>
            <w:r>
              <w:rPr>
                <w:rFonts w:hint="default" w:ascii="Times New Roman" w:hAnsi="Times New Roman" w:cs="Times New Roman"/>
                <w:color w:val="000000" w:themeColor="text1"/>
                <w:sz w:val="24"/>
                <w:szCs w:val="24"/>
                <w:highlight w:val="none"/>
                <w14:textFill>
                  <w14:solidFill>
                    <w14:schemeClr w14:val="tx1"/>
                  </w14:solidFill>
                </w14:textFill>
              </w:rPr>
              <w:t>类标准。</w:t>
            </w:r>
          </w:p>
          <w:p w14:paraId="08DE8CF3">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cs="Times New Roman"/>
                <w:color w:val="000000" w:themeColor="text1"/>
                <w:kern w:val="0"/>
                <w:sz w:val="24"/>
                <w:highlight w:val="none"/>
                <w:lang w:eastAsia="zh-CN" w:bidi="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2023</w:t>
            </w:r>
            <w:r>
              <w:rPr>
                <w:rFonts w:hint="eastAsia"/>
                <w:color w:val="000000" w:themeColor="text1"/>
                <w:sz w:val="24"/>
                <w:szCs w:val="24"/>
                <w:highlight w:val="none"/>
                <w14:textFill>
                  <w14:solidFill>
                    <w14:schemeClr w14:val="tx1"/>
                  </w14:solidFill>
                </w14:textFill>
              </w:rPr>
              <w:t>年</w:t>
            </w:r>
            <w:r>
              <w:rPr>
                <w:color w:val="000000" w:themeColor="text1"/>
                <w:kern w:val="0"/>
                <w:sz w:val="24"/>
                <w:szCs w:val="24"/>
                <w:highlight w:val="none"/>
                <w14:textFill>
                  <w14:solidFill>
                    <w14:schemeClr w14:val="tx1"/>
                  </w14:solidFill>
                </w14:textFill>
              </w:rPr>
              <w:t>重庆市生态环境状况公报</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长江干流重庆段水质为优，20个监测断面水质均为Ⅱ类。长江支流总体水质为优，122条河流布设的218个监测断面中，I~III类断面比例为97.2%；水质满足水域功能的断面占100%。其中，嘉陵江流域51个监测断面中，I~III 类水质比例为90.2%；乌江流域29个监测断面均达到或优于II类水质。</w:t>
            </w:r>
            <w:r>
              <w:rPr>
                <w:rFonts w:hint="default" w:ascii="Times New Roman" w:hAnsi="Times New Roman" w:cs="Times New Roman"/>
                <w:color w:val="000000" w:themeColor="text1"/>
                <w:kern w:val="0"/>
                <w:sz w:val="24"/>
                <w:highlight w:val="none"/>
                <w:lang w:bidi="en-US"/>
                <w14:textFill>
                  <w14:solidFill>
                    <w14:schemeClr w14:val="tx1"/>
                  </w14:solidFill>
                </w14:textFill>
              </w:rPr>
              <w:t>故本项目所在地水环境质量良好</w:t>
            </w:r>
            <w:r>
              <w:rPr>
                <w:rFonts w:hint="eastAsia" w:ascii="Times New Roman" w:hAnsi="Times New Roman" w:cs="Times New Roman"/>
                <w:color w:val="000000" w:themeColor="text1"/>
                <w:kern w:val="0"/>
                <w:sz w:val="24"/>
                <w:highlight w:val="none"/>
                <w:lang w:eastAsia="zh-CN" w:bidi="en-US"/>
                <w14:textFill>
                  <w14:solidFill>
                    <w14:schemeClr w14:val="tx1"/>
                  </w14:solidFill>
                </w14:textFill>
              </w:rPr>
              <w:t>。</w:t>
            </w:r>
          </w:p>
          <w:p w14:paraId="4E024ECF">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14:textFill>
                  <w14:solidFill>
                    <w14:schemeClr w14:val="tx1"/>
                  </w14:solidFill>
                </w14:textFill>
              </w:rPr>
            </w:pPr>
            <w:r>
              <w:rPr>
                <w:rFonts w:hint="eastAsia" w:ascii="Times New Roman" w:hAnsi="Times New Roman" w:eastAsia="宋体" w:cs="Times New Roman"/>
                <w:bCs/>
                <w:color w:val="000000" w:themeColor="text1"/>
                <w:sz w:val="24"/>
                <w:szCs w:val="24"/>
                <w:highlight w:val="none"/>
                <w14:textFill>
                  <w14:solidFill>
                    <w14:schemeClr w14:val="tx1"/>
                  </w14:solidFill>
                </w14:textFill>
              </w:rPr>
              <w:t>结合重庆市合川区生态环境局发布的“2</w:t>
            </w:r>
            <w:r>
              <w:rPr>
                <w:rFonts w:ascii="Times New Roman" w:hAnsi="Times New Roman" w:eastAsia="宋体" w:cs="Times New Roman"/>
                <w:bCs/>
                <w:color w:val="000000" w:themeColor="text1"/>
                <w:sz w:val="24"/>
                <w:szCs w:val="24"/>
                <w:highlight w:val="none"/>
                <w14:textFill>
                  <w14:solidFill>
                    <w14:schemeClr w14:val="tx1"/>
                  </w14:solidFill>
                </w14:textFill>
              </w:rPr>
              <w:t>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24</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年5月合川区水环境质量状况”，</w:t>
            </w:r>
            <w:r>
              <w:rPr>
                <w:rFonts w:ascii="Times New Roman" w:hAnsi="Times New Roman" w:eastAsia="宋体" w:cs="Times New Roman"/>
                <w:bCs/>
                <w:color w:val="000000" w:themeColor="text1"/>
                <w:sz w:val="24"/>
                <w:szCs w:val="24"/>
                <w:highlight w:val="none"/>
                <w14:textFill>
                  <w14:solidFill>
                    <w14:schemeClr w14:val="tx1"/>
                  </w14:solidFill>
                </w14:textFill>
              </w:rPr>
              <w:t>合川区</w:t>
            </w:r>
            <w:r>
              <w:rPr>
                <w:rFonts w:hint="default" w:ascii="Times New Roman" w:hAnsi="Times New Roman" w:cs="Times New Roman"/>
                <w:color w:val="000000" w:themeColor="text1"/>
                <w:sz w:val="24"/>
                <w:szCs w:val="24"/>
                <w:highlight w:val="none"/>
                <w14:textFill>
                  <w14:solidFill>
                    <w14:schemeClr w14:val="tx1"/>
                  </w14:solidFill>
                </w14:textFill>
              </w:rPr>
              <w:t>嘉陵江</w:t>
            </w:r>
            <w:r>
              <w:rPr>
                <w:rFonts w:ascii="Times New Roman" w:hAnsi="Times New Roman" w:eastAsia="宋体" w:cs="Times New Roman"/>
                <w:bCs/>
                <w:color w:val="000000" w:themeColor="text1"/>
                <w:sz w:val="24"/>
                <w:szCs w:val="24"/>
                <w:highlight w:val="none"/>
                <w14:textFill>
                  <w14:solidFill>
                    <w14:schemeClr w14:val="tx1"/>
                  </w14:solidFill>
                </w14:textFill>
              </w:rPr>
              <w:t>考核断面水质均</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达到</w:t>
            </w:r>
            <w:r>
              <w:rPr>
                <w:rFonts w:ascii="Times New Roman" w:hAnsi="Times New Roman" w:eastAsia="宋体" w:cs="Times New Roman"/>
                <w:bCs/>
                <w:color w:val="000000" w:themeColor="text1"/>
                <w:sz w:val="24"/>
                <w:szCs w:val="24"/>
                <w:highlight w:val="none"/>
                <w14:textFill>
                  <w14:solidFill>
                    <w14:schemeClr w14:val="tx1"/>
                  </w14:solidFill>
                </w14:textFill>
              </w:rPr>
              <w:t>《地表水环境质量标准》（GB3838-2002）中Ⅱ类水质标准。</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因此，项目所涉及区域水环境质量满足</w:t>
            </w:r>
            <w:r>
              <w:rPr>
                <w:rFonts w:ascii="Times New Roman" w:hAnsi="Times New Roman" w:eastAsia="宋体" w:cs="Times New Roman"/>
                <w:bCs/>
                <w:color w:val="000000" w:themeColor="text1"/>
                <w:sz w:val="24"/>
                <w:szCs w:val="24"/>
                <w:highlight w:val="none"/>
                <w14:textFill>
                  <w14:solidFill>
                    <w14:schemeClr w14:val="tx1"/>
                  </w14:solidFill>
                </w14:textFill>
              </w:rPr>
              <w:t>《地表水环境质量标准》（GB3838－2002）中III类水质标准</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p>
          <w:p w14:paraId="1D3E1CE6">
            <w:pPr>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3.3声环境质量现状</w:t>
            </w:r>
          </w:p>
          <w:p w14:paraId="042796C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本项目位于合川区工业园区内，根据现场查勘，厂界外50m范围内无声环境保护目标，根据《建设项目环境影响报告表编制技术指南（污染影响类）（试行）》，本次评价不对声环境质量进行现状监测评价。</w:t>
            </w:r>
          </w:p>
          <w:p w14:paraId="6B2A4D12">
            <w:pPr>
              <w:pStyle w:val="24"/>
              <w:keepNext w:val="0"/>
              <w:keepLines w:val="0"/>
              <w:pageBreakBefore w:val="0"/>
              <w:widowControl w:val="0"/>
              <w:kinsoku/>
              <w:wordWrap/>
              <w:overflowPunct/>
              <w:topLinePunct w:val="0"/>
              <w:bidi w:val="0"/>
              <w:spacing w:before="0" w:beforeAutospacing="0" w:after="0" w:afterAutospacing="0" w:line="360" w:lineRule="auto"/>
              <w:ind w:left="0" w:leftChars="0" w:firstLine="0" w:firstLineChars="0"/>
              <w:jc w:val="both"/>
              <w:textAlignment w:val="auto"/>
              <w:outlineLvl w:val="0"/>
              <w:rPr>
                <w:rFonts w:hint="default" w:ascii="Times New Roman" w:hAnsi="Times New Roman" w:eastAsia="宋体" w:cs="Times New Roman"/>
                <w:b/>
                <w:bCs/>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24"/>
                <w:szCs w:val="24"/>
                <w:highlight w:val="none"/>
                <w14:textFill>
                  <w14:solidFill>
                    <w14:schemeClr w14:val="tx1"/>
                  </w14:solidFill>
                </w14:textFill>
              </w:rPr>
              <w:t>3.4土壤、地下水环境质量现状</w:t>
            </w:r>
          </w:p>
          <w:p w14:paraId="7D255FAD">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建设项目环境影响报告表编制技术指南（污染影响类）（试行）》，原则上不开展土壤、地下水环境质量现状调查。建设项目存在土壤、地下水环境污染途径的，应结合污染源、保护目标分布情况开展现状调查以留作背景值。</w:t>
            </w:r>
          </w:p>
          <w:p w14:paraId="3FE39FB4">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周边不涉及地下水环境敏感目标，</w:t>
            </w:r>
            <w:r>
              <w:rPr>
                <w:rFonts w:hint="default" w:ascii="Times New Roman" w:hAnsi="Times New Roman" w:eastAsia="宋体" w:cs="Times New Roman"/>
                <w:bCs/>
                <w:color w:val="000000" w:themeColor="text1"/>
                <w:sz w:val="24"/>
                <w:szCs w:val="24"/>
                <w:highlight w:val="none"/>
                <w14:textFill>
                  <w14:solidFill>
                    <w14:schemeClr w14:val="tx1"/>
                  </w14:solidFill>
                </w14:textFill>
              </w:rPr>
              <w:t>污废水经自建污水处理站处理达标后排放入市政污水管网进入南溪组团A区污水处理厂处理，污水处理设施采取防渗处理；项目油料区等采取重点防渗处理，防止液态物料</w:t>
            </w:r>
            <w:r>
              <w:rPr>
                <w:rFonts w:hint="eastAsia" w:cs="Times New Roman"/>
                <w:bCs/>
                <w:color w:val="000000" w:themeColor="text1"/>
                <w:sz w:val="24"/>
                <w:szCs w:val="24"/>
                <w:highlight w:val="none"/>
                <w:lang w:eastAsia="zh-CN"/>
                <w14:textFill>
                  <w14:solidFill>
                    <w14:schemeClr w14:val="tx1"/>
                  </w14:solidFill>
                </w14:textFill>
              </w:rPr>
              <w:t>泄漏</w:t>
            </w:r>
            <w:r>
              <w:rPr>
                <w:rFonts w:hint="default" w:ascii="Times New Roman" w:hAnsi="Times New Roman" w:eastAsia="宋体" w:cs="Times New Roman"/>
                <w:bCs/>
                <w:color w:val="000000" w:themeColor="text1"/>
                <w:sz w:val="24"/>
                <w:szCs w:val="24"/>
                <w:highlight w:val="none"/>
                <w14:textFill>
                  <w14:solidFill>
                    <w14:schemeClr w14:val="tx1"/>
                  </w14:solidFill>
                </w14:textFill>
              </w:rPr>
              <w:t>。基本不存在土壤、地下水环境污染途径</w:t>
            </w:r>
            <w:r>
              <w:rPr>
                <w:rFonts w:hint="default" w:ascii="Times New Roman" w:hAnsi="Times New Roman" w:eastAsia="宋体" w:cs="Times New Roman"/>
                <w:color w:val="000000" w:themeColor="text1"/>
                <w:sz w:val="24"/>
                <w:szCs w:val="24"/>
                <w:highlight w:val="none"/>
                <w14:textFill>
                  <w14:solidFill>
                    <w14:schemeClr w14:val="tx1"/>
                  </w14:solidFill>
                </w14:textFill>
              </w:rPr>
              <w:t>，因此无需开展地下水、土壤环境质量调查。</w:t>
            </w:r>
          </w:p>
          <w:p w14:paraId="02CB0228">
            <w:pPr>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3.5 生态环境</w:t>
            </w:r>
          </w:p>
          <w:p w14:paraId="2FB9538E">
            <w:pPr>
              <w:pStyle w:val="2"/>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根据《建设项目环境影响报告表编制技术指南（污染影响类）》，产业园区外建设项目新增用地且用地范围内含有生态环境保护目标时，应进行生态现状调查。</w:t>
            </w:r>
          </w:p>
          <w:p w14:paraId="21F50D1B">
            <w:pPr>
              <w:pStyle w:val="2"/>
              <w:keepNext w:val="0"/>
              <w:keepLines w:val="0"/>
              <w:pageBreakBefore w:val="0"/>
              <w:widowControl w:val="0"/>
              <w:kinsoku/>
              <w:wordWrap/>
              <w:overflowPunct/>
              <w:topLinePunct w:val="0"/>
              <w:bidi w:val="0"/>
              <w:spacing w:line="360" w:lineRule="auto"/>
              <w:ind w:firstLine="480" w:firstLineChars="200"/>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本项目位于工业园区内，新增用地。且所在地附近生态结构简单，无原生自然林地及珍稀动植物等生态环境保护目标，无需进行生态现状调查。</w:t>
            </w:r>
          </w:p>
        </w:tc>
      </w:tr>
      <w:tr w14:paraId="1325D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4" w:hRule="atLeast"/>
          <w:jc w:val="center"/>
        </w:trPr>
        <w:tc>
          <w:tcPr>
            <w:tcW w:w="557" w:type="dxa"/>
            <w:vAlign w:val="center"/>
          </w:tcPr>
          <w:p w14:paraId="7D75B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环境保护目标</w:t>
            </w:r>
          </w:p>
        </w:tc>
        <w:tc>
          <w:tcPr>
            <w:tcW w:w="9170" w:type="dxa"/>
            <w:vAlign w:val="center"/>
          </w:tcPr>
          <w:p w14:paraId="4056F3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kern w:val="0"/>
                <w:sz w:val="24"/>
                <w:szCs w:val="24"/>
                <w:highlight w:val="none"/>
                <w14:textFill>
                  <w14:solidFill>
                    <w14:schemeClr w14:val="tx1"/>
                  </w14:solidFill>
                </w14:textFill>
              </w:rPr>
              <w:t>环境保护目标</w:t>
            </w:r>
          </w:p>
          <w:p w14:paraId="3CB026C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kern w:val="0"/>
                <w:sz w:val="24"/>
                <w:szCs w:val="24"/>
                <w:highlight w:val="none"/>
                <w14:textFill>
                  <w14:solidFill>
                    <w14:schemeClr w14:val="tx1"/>
                  </w14:solidFill>
                </w14:textFill>
              </w:rPr>
              <w:t>外环境关系</w:t>
            </w:r>
          </w:p>
          <w:p w14:paraId="18504B2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s="Times New Roman"/>
                <w:color w:val="000000" w:themeColor="text1"/>
                <w:sz w:val="26"/>
                <w:szCs w:val="26"/>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位于</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重庆市合川区巴州路</w:t>
            </w:r>
            <w:r>
              <w:rPr>
                <w:rFonts w:hint="eastAsia"/>
                <w:color w:val="000000" w:themeColor="text1"/>
                <w:highlight w:val="none"/>
                <w:lang w:eastAsia="zh-CN"/>
                <w14:textFill>
                  <w14:solidFill>
                    <w14:schemeClr w14:val="tx1"/>
                  </w14:solidFill>
                </w14:textFill>
              </w:rPr>
              <w:t>（合川区工业园区核心区</w:t>
            </w:r>
            <w:r>
              <w:rPr>
                <w:rFonts w:hint="eastAsia"/>
                <w:color w:val="000000" w:themeColor="text1"/>
                <w:highlight w:val="none"/>
                <w:lang w:val="en-US" w:eastAsia="zh-CN"/>
                <w14:textFill>
                  <w14:solidFill>
                    <w14:schemeClr w14:val="tx1"/>
                  </w14:solidFill>
                </w14:textFill>
              </w:rPr>
              <w:t>HC23-003-1</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。根据现场调查，厂区北侧为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空地和重庆宜企健企业管理有限公司、</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重庆市博田食品有限公司，东侧为重庆牧哥食品有限公司，</w:t>
            </w:r>
            <w:r>
              <w:rPr>
                <w:rFonts w:hint="eastAsia" w:cs="Times New Roman"/>
                <w:color w:val="000000" w:themeColor="text1"/>
                <w:kern w:val="2"/>
                <w:sz w:val="24"/>
                <w:szCs w:val="24"/>
                <w:highlight w:val="none"/>
                <w:lang w:val="en-US" w:eastAsia="zh-CN" w:bidi="ar-SA"/>
                <w14:textFill>
                  <w14:solidFill>
                    <w14:schemeClr w14:val="tx1"/>
                  </w14:solidFill>
                </w14:textFill>
              </w:rPr>
              <w:t>东</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南侧为重庆钓鱼城酒业公司，西面</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和西南</w:t>
            </w:r>
            <w:r>
              <w:rPr>
                <w:rFonts w:hint="eastAsia" w:cs="Times New Roman"/>
                <w:color w:val="000000" w:themeColor="text1"/>
                <w:kern w:val="2"/>
                <w:sz w:val="24"/>
                <w:szCs w:val="24"/>
                <w:highlight w:val="none"/>
                <w:lang w:val="en-US" w:eastAsia="zh-CN" w:bidi="ar-SA"/>
                <w14:textFill>
                  <w14:solidFill>
                    <w14:schemeClr w14:val="tx1"/>
                  </w14:solidFill>
                </w14:textFill>
              </w:rPr>
              <w:t>面</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为</w:t>
            </w:r>
            <w:r>
              <w:rPr>
                <w:rFonts w:hint="eastAsia" w:cs="Times New Roman"/>
                <w:color w:val="000000" w:themeColor="text1"/>
                <w:kern w:val="2"/>
                <w:sz w:val="24"/>
                <w:szCs w:val="24"/>
                <w:highlight w:val="none"/>
                <w:lang w:val="en-US" w:eastAsia="zh-CN" w:bidi="ar-SA"/>
                <w14:textFill>
                  <w14:solidFill>
                    <w14:schemeClr w14:val="tx1"/>
                  </w14:solidFill>
                </w14:textFill>
              </w:rPr>
              <w:t>园区外空地，有少量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散</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户</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居民。项目周边外环境情况见表3.</w:t>
            </w:r>
            <w:r>
              <w:rPr>
                <w:rFonts w:hint="eastAsia" w:cs="Times New Roman"/>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p>
          <w:p w14:paraId="3498C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6"/>
                <w:szCs w:val="26"/>
                <w:highlight w:val="none"/>
                <w14:textFill>
                  <w14:solidFill>
                    <w14:schemeClr w14:val="tx1"/>
                  </w14:solidFill>
                </w14:textFill>
              </w:rPr>
            </w:pPr>
            <w:r>
              <w:rPr>
                <w:b/>
                <w:bCs/>
                <w:color w:val="000000" w:themeColor="text1"/>
                <w:sz w:val="24"/>
                <w:highlight w:val="none"/>
                <w14:textFill>
                  <w14:solidFill>
                    <w14:schemeClr w14:val="tx1"/>
                  </w14:solidFill>
                </w14:textFill>
              </w:rPr>
              <w:t>表3.</w:t>
            </w:r>
            <w:r>
              <w:rPr>
                <w:rFonts w:hint="eastAsia"/>
                <w:b/>
                <w:bCs/>
                <w:color w:val="000000" w:themeColor="text1"/>
                <w:sz w:val="24"/>
                <w:highlight w:val="none"/>
                <w:lang w:val="en-US" w:eastAsia="zh-CN"/>
                <w14:textFill>
                  <w14:solidFill>
                    <w14:schemeClr w14:val="tx1"/>
                  </w14:solidFill>
                </w14:textFill>
              </w:rPr>
              <w:t>6</w:t>
            </w:r>
            <w:r>
              <w:rPr>
                <w:b/>
                <w:bCs/>
                <w:color w:val="000000" w:themeColor="text1"/>
                <w:sz w:val="24"/>
                <w:highlight w:val="none"/>
                <w14:textFill>
                  <w14:solidFill>
                    <w14:schemeClr w14:val="tx1"/>
                  </w14:solidFill>
                </w14:textFill>
              </w:rPr>
              <w:t>-1   项目周边外环境情况一览表</w:t>
            </w:r>
          </w:p>
          <w:tbl>
            <w:tblPr>
              <w:tblStyle w:val="28"/>
              <w:tblW w:w="498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2417"/>
              <w:gridCol w:w="2985"/>
              <w:gridCol w:w="1412"/>
              <w:gridCol w:w="1578"/>
            </w:tblGrid>
            <w:tr w14:paraId="5DAAE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637" w:type="dxa"/>
                  <w:noWrap w:val="0"/>
                  <w:vAlign w:val="center"/>
                </w:tcPr>
                <w:p w14:paraId="0303B97B">
                  <w:pPr>
                    <w:pStyle w:val="18"/>
                    <w:ind w:left="-60" w:leftChars="-25" w:right="-60" w:rightChars="-2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2417" w:type="dxa"/>
                  <w:noWrap w:val="0"/>
                  <w:vAlign w:val="center"/>
                </w:tcPr>
                <w:p w14:paraId="6BD3BC10">
                  <w:pPr>
                    <w:pStyle w:val="18"/>
                    <w:ind w:left="-60" w:leftChars="-25" w:right="-60" w:rightChars="-2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外环境名称</w:t>
                  </w:r>
                </w:p>
              </w:tc>
              <w:tc>
                <w:tcPr>
                  <w:tcW w:w="2985" w:type="dxa"/>
                  <w:noWrap w:val="0"/>
                  <w:vAlign w:val="center"/>
                </w:tcPr>
                <w:p w14:paraId="30F59434">
                  <w:pPr>
                    <w:pStyle w:val="18"/>
                    <w:ind w:left="-60" w:leftChars="-25" w:right="-60" w:rightChars="-25"/>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特征</w:t>
                  </w:r>
                </w:p>
              </w:tc>
              <w:tc>
                <w:tcPr>
                  <w:tcW w:w="1412" w:type="dxa"/>
                  <w:noWrap w:val="0"/>
                  <w:vAlign w:val="center"/>
                </w:tcPr>
                <w:p w14:paraId="03D49475">
                  <w:pPr>
                    <w:pStyle w:val="18"/>
                    <w:ind w:left="-60" w:leftChars="-25" w:right="-60" w:rightChars="-2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与本项目方位</w:t>
                  </w:r>
                </w:p>
              </w:tc>
              <w:tc>
                <w:tcPr>
                  <w:tcW w:w="1578" w:type="dxa"/>
                  <w:noWrap w:val="0"/>
                  <w:vAlign w:val="center"/>
                </w:tcPr>
                <w:p w14:paraId="24A774CC">
                  <w:pPr>
                    <w:pStyle w:val="18"/>
                    <w:ind w:left="-60" w:leftChars="-25" w:right="-60" w:rightChars="-25"/>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与本项目厂界最近距离</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p>
              </w:tc>
            </w:tr>
            <w:tr w14:paraId="59A86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637" w:type="dxa"/>
                  <w:noWrap w:val="0"/>
                  <w:vAlign w:val="center"/>
                </w:tcPr>
                <w:p w14:paraId="534CDEB7">
                  <w:pPr>
                    <w:pStyle w:val="18"/>
                    <w:ind w:left="-60" w:leftChars="-25" w:right="-60" w:rightChars="-2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2417" w:type="dxa"/>
                  <w:shd w:val="clear" w:color="auto" w:fill="auto"/>
                  <w:noWrap w:val="0"/>
                  <w:vAlign w:val="center"/>
                </w:tcPr>
                <w:p w14:paraId="07D4A58B">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重庆宜企健企业管理有限公司</w:t>
                  </w:r>
                </w:p>
              </w:tc>
              <w:tc>
                <w:tcPr>
                  <w:tcW w:w="2985" w:type="dxa"/>
                  <w:shd w:val="clear" w:color="auto" w:fill="auto"/>
                  <w:noWrap w:val="0"/>
                  <w:vAlign w:val="center"/>
                </w:tcPr>
                <w:p w14:paraId="5C9ABD5F">
                  <w:pPr>
                    <w:pStyle w:val="18"/>
                    <w:ind w:left="-60" w:leftChars="-25" w:right="-60" w:rightChars="-25"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食品生产</w:t>
                  </w:r>
                </w:p>
              </w:tc>
              <w:tc>
                <w:tcPr>
                  <w:tcW w:w="1412" w:type="dxa"/>
                  <w:shd w:val="clear" w:color="auto" w:fill="auto"/>
                  <w:noWrap w:val="0"/>
                  <w:vAlign w:val="center"/>
                </w:tcPr>
                <w:p w14:paraId="0EBA3E73">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1578" w:type="dxa"/>
                  <w:shd w:val="clear" w:color="auto" w:fill="auto"/>
                  <w:noWrap w:val="0"/>
                  <w:vAlign w:val="center"/>
                </w:tcPr>
                <w:p w14:paraId="42FC4364">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110</w:t>
                  </w:r>
                </w:p>
              </w:tc>
            </w:tr>
            <w:tr w14:paraId="5D76D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637" w:type="dxa"/>
                  <w:noWrap w:val="0"/>
                  <w:vAlign w:val="center"/>
                </w:tcPr>
                <w:p w14:paraId="614BC36E">
                  <w:pPr>
                    <w:pStyle w:val="18"/>
                    <w:ind w:left="-60" w:leftChars="-25" w:right="-60" w:rightChars="-25"/>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2417" w:type="dxa"/>
                  <w:shd w:val="clear" w:color="auto" w:fill="auto"/>
                  <w:noWrap w:val="0"/>
                  <w:vAlign w:val="center"/>
                </w:tcPr>
                <w:p w14:paraId="358484F3">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重庆市博田食品有限公司</w:t>
                  </w:r>
                </w:p>
              </w:tc>
              <w:tc>
                <w:tcPr>
                  <w:tcW w:w="2985" w:type="dxa"/>
                  <w:shd w:val="clear" w:color="auto" w:fill="auto"/>
                  <w:noWrap w:val="0"/>
                  <w:vAlign w:val="center"/>
                </w:tcPr>
                <w:p w14:paraId="28D316BE">
                  <w:pPr>
                    <w:pStyle w:val="18"/>
                    <w:ind w:left="-60" w:leftChars="-25" w:right="-60" w:rightChars="-25"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食品生产，冷冻服务，仓储服务</w:t>
                  </w:r>
                </w:p>
              </w:tc>
              <w:tc>
                <w:tcPr>
                  <w:tcW w:w="1412" w:type="dxa"/>
                  <w:shd w:val="clear" w:color="auto" w:fill="auto"/>
                  <w:noWrap w:val="0"/>
                  <w:vAlign w:val="center"/>
                </w:tcPr>
                <w:p w14:paraId="1A677804">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1578" w:type="dxa"/>
                  <w:shd w:val="clear" w:color="auto" w:fill="auto"/>
                  <w:noWrap w:val="0"/>
                  <w:vAlign w:val="center"/>
                </w:tcPr>
                <w:p w14:paraId="0189AF85">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r>
            <w:tr w14:paraId="762EC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637" w:type="dxa"/>
                  <w:noWrap w:val="0"/>
                  <w:vAlign w:val="center"/>
                </w:tcPr>
                <w:p w14:paraId="153F7EC1">
                  <w:pPr>
                    <w:pStyle w:val="18"/>
                    <w:ind w:left="-60" w:leftChars="-25" w:right="-60" w:rightChars="-2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3</w:t>
                  </w:r>
                </w:p>
              </w:tc>
              <w:tc>
                <w:tcPr>
                  <w:tcW w:w="2417" w:type="dxa"/>
                  <w:noWrap w:val="0"/>
                  <w:vAlign w:val="center"/>
                </w:tcPr>
                <w:p w14:paraId="30519FEA">
                  <w:pPr>
                    <w:pStyle w:val="18"/>
                    <w:ind w:left="-60" w:leftChars="-25" w:right="-60" w:rightChars="-2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重庆牧哥食品有限公司</w:t>
                  </w:r>
                </w:p>
              </w:tc>
              <w:tc>
                <w:tcPr>
                  <w:tcW w:w="2985" w:type="dxa"/>
                  <w:noWrap w:val="0"/>
                  <w:vAlign w:val="center"/>
                </w:tcPr>
                <w:p w14:paraId="0DE2036F">
                  <w:pPr>
                    <w:pStyle w:val="18"/>
                    <w:ind w:left="-60" w:leftChars="-25" w:right="-60" w:rightChars="-25"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火锅油、火锅底料、调味品生产</w:t>
                  </w:r>
                </w:p>
              </w:tc>
              <w:tc>
                <w:tcPr>
                  <w:tcW w:w="1412" w:type="dxa"/>
                  <w:noWrap w:val="0"/>
                  <w:vAlign w:val="center"/>
                </w:tcPr>
                <w:p w14:paraId="32B33CF0">
                  <w:pPr>
                    <w:pStyle w:val="18"/>
                    <w:ind w:left="-60" w:leftChars="-25" w:right="-60" w:rightChars="-2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1578" w:type="dxa"/>
                  <w:noWrap w:val="0"/>
                  <w:vAlign w:val="center"/>
                </w:tcPr>
                <w:p w14:paraId="577AA289">
                  <w:pPr>
                    <w:pStyle w:val="18"/>
                    <w:ind w:left="-60" w:leftChars="-25" w:right="-60" w:rightChars="-2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紧</w:t>
                  </w:r>
                  <w:r>
                    <w:rPr>
                      <w:rFonts w:hint="default" w:ascii="Times New Roman" w:hAnsi="Times New Roman" w:cs="Times New Roman"/>
                      <w:color w:val="000000" w:themeColor="text1"/>
                      <w:sz w:val="21"/>
                      <w:szCs w:val="21"/>
                      <w:highlight w:val="none"/>
                      <w:lang w:eastAsia="zh-CN"/>
                      <w14:textFill>
                        <w14:solidFill>
                          <w14:schemeClr w14:val="tx1"/>
                        </w14:solidFill>
                      </w14:textFill>
                    </w:rPr>
                    <w:t>邻</w:t>
                  </w:r>
                </w:p>
              </w:tc>
            </w:tr>
            <w:tr w14:paraId="59A67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637" w:type="dxa"/>
                  <w:noWrap w:val="0"/>
                  <w:vAlign w:val="center"/>
                </w:tcPr>
                <w:p w14:paraId="7AE9F904">
                  <w:pPr>
                    <w:pStyle w:val="18"/>
                    <w:ind w:left="-60" w:leftChars="-25" w:right="-60" w:rightChars="-2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2417" w:type="dxa"/>
                  <w:noWrap w:val="0"/>
                  <w:vAlign w:val="center"/>
                </w:tcPr>
                <w:p w14:paraId="6108D1E4">
                  <w:pPr>
                    <w:pStyle w:val="18"/>
                    <w:ind w:left="-60" w:leftChars="-25" w:right="-60" w:rightChars="-2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重庆钓鱼城酒业公司</w:t>
                  </w:r>
                </w:p>
              </w:tc>
              <w:tc>
                <w:tcPr>
                  <w:tcW w:w="2985" w:type="dxa"/>
                  <w:noWrap w:val="0"/>
                  <w:vAlign w:val="center"/>
                </w:tcPr>
                <w:p w14:paraId="7AAEAA8B">
                  <w:pPr>
                    <w:pStyle w:val="18"/>
                    <w:ind w:left="-60" w:leftChars="-25" w:right="-60" w:rightChars="-25"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白酒生产、销售</w:t>
                  </w:r>
                </w:p>
              </w:tc>
              <w:tc>
                <w:tcPr>
                  <w:tcW w:w="1412" w:type="dxa"/>
                  <w:noWrap w:val="0"/>
                  <w:vAlign w:val="center"/>
                </w:tcPr>
                <w:p w14:paraId="47E3826A">
                  <w:pPr>
                    <w:pStyle w:val="18"/>
                    <w:ind w:left="-60" w:leftChars="-25" w:right="-60" w:rightChars="-2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SE</w:t>
                  </w:r>
                </w:p>
              </w:tc>
              <w:tc>
                <w:tcPr>
                  <w:tcW w:w="1578" w:type="dxa"/>
                  <w:noWrap w:val="0"/>
                  <w:vAlign w:val="center"/>
                </w:tcPr>
                <w:p w14:paraId="6CC68CD9">
                  <w:pPr>
                    <w:pStyle w:val="18"/>
                    <w:ind w:left="-60" w:leftChars="-25" w:right="-60" w:rightChars="-2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146</w:t>
                  </w:r>
                </w:p>
              </w:tc>
            </w:tr>
            <w:tr w14:paraId="58B8B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637" w:type="dxa"/>
                  <w:shd w:val="clear" w:color="auto" w:fill="auto"/>
                  <w:noWrap w:val="0"/>
                  <w:vAlign w:val="center"/>
                </w:tcPr>
                <w:p w14:paraId="39DA30AF">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2417" w:type="dxa"/>
                  <w:shd w:val="clear" w:color="auto" w:fill="auto"/>
                  <w:noWrap w:val="0"/>
                  <w:vAlign w:val="center"/>
                </w:tcPr>
                <w:p w14:paraId="7335FF74">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散户居民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985" w:type="dxa"/>
                  <w:shd w:val="clear" w:color="auto" w:fill="auto"/>
                  <w:noWrap w:val="0"/>
                  <w:vAlign w:val="center"/>
                </w:tcPr>
                <w:p w14:paraId="1851685F">
                  <w:pPr>
                    <w:pStyle w:val="18"/>
                    <w:ind w:left="-60" w:leftChars="-25" w:right="-60" w:rightChars="-25"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居民区</w:t>
                  </w:r>
                </w:p>
              </w:tc>
              <w:tc>
                <w:tcPr>
                  <w:tcW w:w="1412" w:type="dxa"/>
                  <w:shd w:val="clear" w:color="auto" w:fill="auto"/>
                  <w:noWrap w:val="0"/>
                  <w:vAlign w:val="center"/>
                </w:tcPr>
                <w:p w14:paraId="7F974B12">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1578" w:type="dxa"/>
                  <w:shd w:val="clear" w:color="auto" w:fill="auto"/>
                  <w:noWrap w:val="0"/>
                  <w:vAlign w:val="center"/>
                </w:tcPr>
                <w:p w14:paraId="370E1846">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r>
            <w:tr w14:paraId="27A65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637" w:type="dxa"/>
                  <w:shd w:val="clear" w:color="auto" w:fill="auto"/>
                  <w:noWrap w:val="0"/>
                  <w:vAlign w:val="center"/>
                </w:tcPr>
                <w:p w14:paraId="60A56824">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p>
              </w:tc>
              <w:tc>
                <w:tcPr>
                  <w:tcW w:w="2417" w:type="dxa"/>
                  <w:shd w:val="clear" w:color="auto" w:fill="auto"/>
                  <w:noWrap w:val="0"/>
                  <w:vAlign w:val="center"/>
                </w:tcPr>
                <w:p w14:paraId="25CD3DDD">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户</w:t>
                  </w:r>
                  <w:r>
                    <w:rPr>
                      <w:rFonts w:hint="default" w:ascii="Times New Roman" w:hAnsi="Times New Roman" w:eastAsia="宋体" w:cs="Times New Roman"/>
                      <w:color w:val="000000" w:themeColor="text1"/>
                      <w:sz w:val="21"/>
                      <w:szCs w:val="21"/>
                      <w:highlight w:val="none"/>
                      <w14:textFill>
                        <w14:solidFill>
                          <w14:schemeClr w14:val="tx1"/>
                        </w14:solidFill>
                      </w14:textFill>
                    </w:rPr>
                    <w:t>居民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985" w:type="dxa"/>
                  <w:shd w:val="clear" w:color="auto" w:fill="auto"/>
                  <w:noWrap w:val="0"/>
                  <w:vAlign w:val="center"/>
                </w:tcPr>
                <w:p w14:paraId="0F71F642">
                  <w:pPr>
                    <w:pStyle w:val="18"/>
                    <w:ind w:left="-60" w:leftChars="-25" w:right="-60" w:rightChars="-25"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居民区</w:t>
                  </w:r>
                </w:p>
              </w:tc>
              <w:tc>
                <w:tcPr>
                  <w:tcW w:w="1412" w:type="dxa"/>
                  <w:shd w:val="clear" w:color="auto" w:fill="auto"/>
                  <w:noWrap w:val="0"/>
                  <w:vAlign w:val="center"/>
                </w:tcPr>
                <w:p w14:paraId="6AF523DB">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1578" w:type="dxa"/>
                  <w:shd w:val="clear" w:color="auto" w:fill="auto"/>
                  <w:noWrap w:val="0"/>
                  <w:vAlign w:val="center"/>
                </w:tcPr>
                <w:p w14:paraId="2AEAB92D">
                  <w:pPr>
                    <w:pStyle w:val="18"/>
                    <w:ind w:left="-60" w:leftChars="-25" w:right="-60" w:rightChars="-25"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245</w:t>
                  </w:r>
                </w:p>
              </w:tc>
            </w:tr>
          </w:tbl>
          <w:p w14:paraId="535A3FC0">
            <w:pPr>
              <w:keepNext w:val="0"/>
              <w:keepLines w:val="0"/>
              <w:pageBreakBefore w:val="0"/>
              <w:widowControl w:val="0"/>
              <w:kinsoku/>
              <w:wordWrap/>
              <w:overflowPunct/>
              <w:topLinePunct w:val="0"/>
              <w:autoSpaceDE w:val="0"/>
              <w:autoSpaceDN w:val="0"/>
              <w:bidi w:val="0"/>
              <w:adjustRightInd/>
              <w:snapToGrid/>
              <w:ind w:firstLine="482"/>
              <w:textAlignment w:val="auto"/>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b/>
                <w:bCs/>
                <w:color w:val="000000" w:themeColor="text1"/>
                <w:highlight w:val="none"/>
                <w14:textFill>
                  <w14:solidFill>
                    <w14:schemeClr w14:val="tx1"/>
                  </w14:solidFill>
                </w14:textFill>
              </w:rPr>
              <w:t>、大气环境保护目标</w:t>
            </w:r>
          </w:p>
          <w:p w14:paraId="231B0FEB">
            <w:pPr>
              <w:keepNext w:val="0"/>
              <w:keepLines w:val="0"/>
              <w:pageBreakBefore w:val="0"/>
              <w:widowControl w:val="0"/>
              <w:kinsoku/>
              <w:wordWrap/>
              <w:overflowPunct/>
              <w:topLinePunct w:val="0"/>
              <w:autoSpaceDE w:val="0"/>
              <w:autoSpaceDN w:val="0"/>
              <w:bidi w:val="0"/>
              <w:adjustRightInd/>
              <w:snapToGrid/>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项目厂界外500米范围内大气环境保护目标主要为散户居住区。大气环境保护目标见表3</w:t>
            </w:r>
            <w:r>
              <w:rPr>
                <w:rFonts w:hint="eastAsia"/>
                <w:bCs/>
                <w:color w:val="000000" w:themeColor="text1"/>
                <w:highlight w:val="none"/>
                <w:lang w:val="en-US" w:eastAsia="zh-CN"/>
                <w14:textFill>
                  <w14:solidFill>
                    <w14:schemeClr w14:val="tx1"/>
                  </w14:solidFill>
                </w14:textFill>
              </w:rPr>
              <w:t>.6</w:t>
            </w:r>
            <w:r>
              <w:rPr>
                <w:bCs/>
                <w:color w:val="000000" w:themeColor="text1"/>
                <w:highlight w:val="none"/>
                <w14:textFill>
                  <w14:solidFill>
                    <w14:schemeClr w14:val="tx1"/>
                  </w14:solidFill>
                </w14:textFill>
              </w:rPr>
              <w:t>-2。</w:t>
            </w:r>
          </w:p>
          <w:p w14:paraId="4F02E604">
            <w:pPr>
              <w:keepNext w:val="0"/>
              <w:keepLines w:val="0"/>
              <w:pageBreakBefore w:val="0"/>
              <w:widowControl w:val="0"/>
              <w:kinsoku/>
              <w:wordWrap/>
              <w:overflowPunct/>
              <w:topLinePunct w:val="0"/>
              <w:autoSpaceDE/>
              <w:autoSpaceDN/>
              <w:bidi w:val="0"/>
              <w:adjustRightInd w:val="0"/>
              <w:snapToGrid w:val="0"/>
              <w:spacing w:line="240" w:lineRule="auto"/>
              <w:ind w:firstLine="48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表3.</w:t>
            </w:r>
            <w:r>
              <w:rPr>
                <w:rFonts w:hint="eastAsia"/>
                <w:b/>
                <w:bCs/>
                <w:color w:val="000000" w:themeColor="text1"/>
                <w:sz w:val="24"/>
                <w:highlight w:val="none"/>
                <w:lang w:val="en-US" w:eastAsia="zh-CN"/>
                <w14:textFill>
                  <w14:solidFill>
                    <w14:schemeClr w14:val="tx1"/>
                  </w14:solidFill>
                </w14:textFill>
              </w:rPr>
              <w:t>6</w:t>
            </w:r>
            <w:r>
              <w:rPr>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2</w:t>
            </w:r>
            <w:r>
              <w:rPr>
                <w:b/>
                <w:bCs/>
                <w:color w:val="000000" w:themeColor="text1"/>
                <w:sz w:val="24"/>
                <w:highlight w:val="none"/>
                <w14:textFill>
                  <w14:solidFill>
                    <w14:schemeClr w14:val="tx1"/>
                  </w14:solidFill>
                </w14:textFill>
              </w:rPr>
              <w:t xml:space="preserve">  主要环境保护目标一览表</w:t>
            </w:r>
          </w:p>
          <w:tbl>
            <w:tblPr>
              <w:tblStyle w:val="28"/>
              <w:tblW w:w="8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59"/>
              <w:gridCol w:w="660"/>
              <w:gridCol w:w="1501"/>
              <w:gridCol w:w="473"/>
              <w:gridCol w:w="606"/>
              <w:gridCol w:w="759"/>
              <w:gridCol w:w="1668"/>
              <w:gridCol w:w="759"/>
              <w:gridCol w:w="910"/>
              <w:gridCol w:w="1001"/>
            </w:tblGrid>
            <w:tr w14:paraId="56C8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2" w:hRule="atLeast"/>
              </w:trPr>
              <w:tc>
                <w:tcPr>
                  <w:tcW w:w="659" w:type="dxa"/>
                  <w:vMerge w:val="restart"/>
                  <w:noWrap w:val="0"/>
                  <w:vAlign w:val="center"/>
                </w:tcPr>
                <w:p w14:paraId="147148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环境要素</w:t>
                  </w:r>
                </w:p>
              </w:tc>
              <w:tc>
                <w:tcPr>
                  <w:tcW w:w="660" w:type="dxa"/>
                  <w:vMerge w:val="restart"/>
                  <w:noWrap w:val="0"/>
                  <w:vAlign w:val="center"/>
                </w:tcPr>
                <w:p w14:paraId="2171B8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1501" w:type="dxa"/>
                  <w:vMerge w:val="restart"/>
                  <w:noWrap w:val="0"/>
                  <w:vAlign w:val="center"/>
                </w:tcPr>
                <w:p w14:paraId="7BF03C57">
                  <w:pPr>
                    <w:keepNext w:val="0"/>
                    <w:keepLines w:val="0"/>
                    <w:pageBreakBefore w:val="0"/>
                    <w:widowControl w:val="0"/>
                    <w:kinsoku/>
                    <w:wordWrap/>
                    <w:overflowPunct/>
                    <w:topLinePunct w:val="0"/>
                    <w:autoSpaceDE/>
                    <w:autoSpaceDN/>
                    <w:bidi w:val="0"/>
                    <w:adjustRightInd/>
                    <w:snapToGrid/>
                    <w:spacing w:line="240" w:lineRule="auto"/>
                    <w:ind w:left="-60" w:leftChars="-25" w:right="0" w:right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1079" w:type="dxa"/>
                  <w:gridSpan w:val="2"/>
                  <w:noWrap w:val="0"/>
                  <w:vAlign w:val="center"/>
                </w:tcPr>
                <w:p w14:paraId="5E537C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坐标/m</w:t>
                  </w:r>
                </w:p>
              </w:tc>
              <w:tc>
                <w:tcPr>
                  <w:tcW w:w="759" w:type="dxa"/>
                  <w:vMerge w:val="restart"/>
                  <w:noWrap w:val="0"/>
                  <w:vAlign w:val="center"/>
                </w:tcPr>
                <w:p w14:paraId="3871B3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保护对象</w:t>
                  </w:r>
                </w:p>
              </w:tc>
              <w:tc>
                <w:tcPr>
                  <w:tcW w:w="1668" w:type="dxa"/>
                  <w:vMerge w:val="restart"/>
                  <w:noWrap w:val="0"/>
                  <w:vAlign w:val="center"/>
                </w:tcPr>
                <w:p w14:paraId="64B9A528">
                  <w:pPr>
                    <w:keepNext w:val="0"/>
                    <w:keepLines w:val="0"/>
                    <w:pageBreakBefore w:val="0"/>
                    <w:widowControl w:val="0"/>
                    <w:kinsoku/>
                    <w:wordWrap/>
                    <w:overflowPunct/>
                    <w:topLinePunct w:val="0"/>
                    <w:autoSpaceDE/>
                    <w:autoSpaceDN/>
                    <w:bidi w:val="0"/>
                    <w:adjustRightInd/>
                    <w:snapToGrid/>
                    <w:spacing w:line="240" w:lineRule="auto"/>
                    <w:ind w:left="-60" w:leftChars="-25" w:right="0" w:right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保护内容</w:t>
                  </w:r>
                </w:p>
              </w:tc>
              <w:tc>
                <w:tcPr>
                  <w:tcW w:w="759" w:type="dxa"/>
                  <w:vMerge w:val="restart"/>
                  <w:noWrap w:val="0"/>
                  <w:vAlign w:val="center"/>
                </w:tcPr>
                <w:p w14:paraId="3235F0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环境功能区</w:t>
                  </w:r>
                </w:p>
              </w:tc>
              <w:tc>
                <w:tcPr>
                  <w:tcW w:w="910" w:type="dxa"/>
                  <w:vMerge w:val="restart"/>
                  <w:noWrap w:val="0"/>
                  <w:vAlign w:val="center"/>
                </w:tcPr>
                <w:p w14:paraId="0BA0BA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相对厂界方位</w:t>
                  </w:r>
                </w:p>
              </w:tc>
              <w:tc>
                <w:tcPr>
                  <w:tcW w:w="1001" w:type="dxa"/>
                  <w:vMerge w:val="restart"/>
                  <w:noWrap w:val="0"/>
                  <w:vAlign w:val="center"/>
                </w:tcPr>
                <w:p w14:paraId="7D7AD3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与厂界最近距离/m</w:t>
                  </w:r>
                </w:p>
              </w:tc>
            </w:tr>
            <w:tr w14:paraId="679C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2" w:hRule="atLeast"/>
              </w:trPr>
              <w:tc>
                <w:tcPr>
                  <w:tcW w:w="659" w:type="dxa"/>
                  <w:vMerge w:val="continue"/>
                  <w:noWrap w:val="0"/>
                  <w:vAlign w:val="center"/>
                </w:tcPr>
                <w:p w14:paraId="22907975">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40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660" w:type="dxa"/>
                  <w:vMerge w:val="continue"/>
                  <w:noWrap w:val="0"/>
                  <w:vAlign w:val="center"/>
                </w:tcPr>
                <w:p w14:paraId="7B0B85ED">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40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501" w:type="dxa"/>
                  <w:vMerge w:val="continue"/>
                  <w:noWrap w:val="0"/>
                  <w:vAlign w:val="center"/>
                </w:tcPr>
                <w:p w14:paraId="28D8DB51">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40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73" w:type="dxa"/>
                  <w:noWrap w:val="0"/>
                  <w:vAlign w:val="center"/>
                </w:tcPr>
                <w:p w14:paraId="3DB2D99B">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X</w:t>
                  </w:r>
                </w:p>
              </w:tc>
              <w:tc>
                <w:tcPr>
                  <w:tcW w:w="606" w:type="dxa"/>
                  <w:noWrap w:val="0"/>
                  <w:vAlign w:val="center"/>
                </w:tcPr>
                <w:p w14:paraId="3A2AC950">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Y</w:t>
                  </w:r>
                </w:p>
              </w:tc>
              <w:tc>
                <w:tcPr>
                  <w:tcW w:w="759" w:type="dxa"/>
                  <w:vMerge w:val="continue"/>
                  <w:noWrap w:val="0"/>
                  <w:vAlign w:val="center"/>
                </w:tcPr>
                <w:p w14:paraId="1FC283CF">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40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668" w:type="dxa"/>
                  <w:vMerge w:val="continue"/>
                  <w:noWrap w:val="0"/>
                  <w:vAlign w:val="center"/>
                </w:tcPr>
                <w:p w14:paraId="427F5A17">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40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59" w:type="dxa"/>
                  <w:vMerge w:val="continue"/>
                  <w:noWrap w:val="0"/>
                  <w:vAlign w:val="center"/>
                </w:tcPr>
                <w:p w14:paraId="56AB2ADA">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40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910" w:type="dxa"/>
                  <w:vMerge w:val="continue"/>
                  <w:noWrap w:val="0"/>
                  <w:vAlign w:val="center"/>
                </w:tcPr>
                <w:p w14:paraId="2A57C9CF">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40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001" w:type="dxa"/>
                  <w:vMerge w:val="continue"/>
                  <w:noWrap w:val="0"/>
                  <w:vAlign w:val="center"/>
                </w:tcPr>
                <w:p w14:paraId="0880C0C9">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40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14:paraId="2A47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2" w:hRule="atLeast"/>
              </w:trPr>
              <w:tc>
                <w:tcPr>
                  <w:tcW w:w="659" w:type="dxa"/>
                  <w:vMerge w:val="restart"/>
                  <w:noWrap w:val="0"/>
                  <w:vAlign w:val="center"/>
                </w:tcPr>
                <w:p w14:paraId="1CAB66C7">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环境空气</w:t>
                  </w:r>
                </w:p>
              </w:tc>
              <w:tc>
                <w:tcPr>
                  <w:tcW w:w="660" w:type="dxa"/>
                  <w:noWrap w:val="0"/>
                  <w:vAlign w:val="center"/>
                </w:tcPr>
                <w:p w14:paraId="6291B83B">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501" w:type="dxa"/>
                  <w:noWrap w:val="0"/>
                  <w:vAlign w:val="center"/>
                </w:tcPr>
                <w:p w14:paraId="04762138">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分散居民点1</w:t>
                  </w:r>
                </w:p>
              </w:tc>
              <w:tc>
                <w:tcPr>
                  <w:tcW w:w="473" w:type="dxa"/>
                  <w:noWrap w:val="0"/>
                  <w:vAlign w:val="center"/>
                </w:tcPr>
                <w:p w14:paraId="22926924">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-378</w:t>
                  </w:r>
                </w:p>
              </w:tc>
              <w:tc>
                <w:tcPr>
                  <w:tcW w:w="606" w:type="dxa"/>
                  <w:noWrap w:val="0"/>
                  <w:vAlign w:val="center"/>
                </w:tcPr>
                <w:p w14:paraId="2AD35903">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13</w:t>
                  </w:r>
                </w:p>
              </w:tc>
              <w:tc>
                <w:tcPr>
                  <w:tcW w:w="759" w:type="dxa"/>
                  <w:noWrap w:val="0"/>
                  <w:vAlign w:val="center"/>
                </w:tcPr>
                <w:p w14:paraId="7F792651">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居民</w:t>
                  </w:r>
                </w:p>
              </w:tc>
              <w:tc>
                <w:tcPr>
                  <w:tcW w:w="1668" w:type="dxa"/>
                  <w:noWrap w:val="0"/>
                  <w:vAlign w:val="center"/>
                </w:tcPr>
                <w:p w14:paraId="6FACD918">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约20户，70人</w:t>
                  </w:r>
                </w:p>
              </w:tc>
              <w:tc>
                <w:tcPr>
                  <w:tcW w:w="759" w:type="dxa"/>
                  <w:vMerge w:val="restart"/>
                  <w:noWrap w:val="0"/>
                  <w:vAlign w:val="center"/>
                </w:tcPr>
                <w:p w14:paraId="1F42D104">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二类</w:t>
                  </w:r>
                </w:p>
              </w:tc>
              <w:tc>
                <w:tcPr>
                  <w:tcW w:w="910" w:type="dxa"/>
                  <w:noWrap w:val="0"/>
                  <w:vAlign w:val="center"/>
                </w:tcPr>
                <w:p w14:paraId="7FF8511D">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w:t>
                  </w:r>
                </w:p>
              </w:tc>
              <w:tc>
                <w:tcPr>
                  <w:tcW w:w="1001" w:type="dxa"/>
                  <w:noWrap w:val="0"/>
                  <w:vAlign w:val="center"/>
                </w:tcPr>
                <w:p w14:paraId="549317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60</w:t>
                  </w:r>
                </w:p>
              </w:tc>
            </w:tr>
            <w:tr w14:paraId="687A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2" w:hRule="atLeast"/>
              </w:trPr>
              <w:tc>
                <w:tcPr>
                  <w:tcW w:w="659" w:type="dxa"/>
                  <w:vMerge w:val="continue"/>
                  <w:noWrap w:val="0"/>
                  <w:vAlign w:val="center"/>
                </w:tcPr>
                <w:p w14:paraId="495CC53E">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660" w:type="dxa"/>
                  <w:noWrap w:val="0"/>
                  <w:vAlign w:val="center"/>
                </w:tcPr>
                <w:p w14:paraId="6A85D4B7">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1501" w:type="dxa"/>
                  <w:noWrap w:val="0"/>
                  <w:vAlign w:val="center"/>
                </w:tcPr>
                <w:p w14:paraId="5BE7EA5D">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分散居民点2</w:t>
                  </w:r>
                </w:p>
              </w:tc>
              <w:tc>
                <w:tcPr>
                  <w:tcW w:w="473" w:type="dxa"/>
                  <w:noWrap w:val="0"/>
                  <w:vAlign w:val="center"/>
                </w:tcPr>
                <w:p w14:paraId="601E5832">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-437</w:t>
                  </w:r>
                </w:p>
              </w:tc>
              <w:tc>
                <w:tcPr>
                  <w:tcW w:w="606" w:type="dxa"/>
                  <w:noWrap w:val="0"/>
                  <w:vAlign w:val="center"/>
                </w:tcPr>
                <w:p w14:paraId="2BD25494">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-200</w:t>
                  </w:r>
                </w:p>
              </w:tc>
              <w:tc>
                <w:tcPr>
                  <w:tcW w:w="759" w:type="dxa"/>
                  <w:noWrap w:val="0"/>
                  <w:vAlign w:val="center"/>
                </w:tcPr>
                <w:p w14:paraId="51E05AAD">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居民</w:t>
                  </w:r>
                </w:p>
              </w:tc>
              <w:tc>
                <w:tcPr>
                  <w:tcW w:w="1668" w:type="dxa"/>
                  <w:noWrap w:val="0"/>
                  <w:vAlign w:val="center"/>
                </w:tcPr>
                <w:p w14:paraId="1DD3EEE9">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约6户，20人</w:t>
                  </w:r>
                </w:p>
              </w:tc>
              <w:tc>
                <w:tcPr>
                  <w:tcW w:w="759" w:type="dxa"/>
                  <w:vMerge w:val="continue"/>
                  <w:noWrap w:val="0"/>
                  <w:vAlign w:val="center"/>
                </w:tcPr>
                <w:p w14:paraId="398C2837">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910" w:type="dxa"/>
                  <w:noWrap w:val="0"/>
                  <w:vAlign w:val="center"/>
                </w:tcPr>
                <w:p w14:paraId="15E83E27">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w:t>
                  </w:r>
                </w:p>
              </w:tc>
              <w:tc>
                <w:tcPr>
                  <w:tcW w:w="1001" w:type="dxa"/>
                  <w:noWrap w:val="0"/>
                  <w:vAlign w:val="center"/>
                </w:tcPr>
                <w:p w14:paraId="629E5D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245</w:t>
                  </w:r>
                </w:p>
              </w:tc>
            </w:tr>
            <w:tr w14:paraId="3B6E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trPr>
              <w:tc>
                <w:tcPr>
                  <w:tcW w:w="659" w:type="dxa"/>
                  <w:vMerge w:val="continue"/>
                  <w:noWrap w:val="0"/>
                  <w:vAlign w:val="center"/>
                </w:tcPr>
                <w:p w14:paraId="61FA005A">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660" w:type="dxa"/>
                  <w:noWrap w:val="0"/>
                  <w:vAlign w:val="center"/>
                </w:tcPr>
                <w:p w14:paraId="0E6118AB">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501" w:type="dxa"/>
                  <w:noWrap w:val="0"/>
                  <w:vAlign w:val="center"/>
                </w:tcPr>
                <w:p w14:paraId="1BA0913A">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分散居民点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473" w:type="dxa"/>
                  <w:noWrap w:val="0"/>
                  <w:vAlign w:val="center"/>
                </w:tcPr>
                <w:p w14:paraId="1A23B255">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-140</w:t>
                  </w:r>
                </w:p>
              </w:tc>
              <w:tc>
                <w:tcPr>
                  <w:tcW w:w="606" w:type="dxa"/>
                  <w:noWrap w:val="0"/>
                  <w:vAlign w:val="center"/>
                </w:tcPr>
                <w:p w14:paraId="2C0A2C9B">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440</w:t>
                  </w:r>
                </w:p>
              </w:tc>
              <w:tc>
                <w:tcPr>
                  <w:tcW w:w="759" w:type="dxa"/>
                  <w:noWrap w:val="0"/>
                  <w:vAlign w:val="center"/>
                </w:tcPr>
                <w:p w14:paraId="6ECD0929">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居民</w:t>
                  </w:r>
                </w:p>
              </w:tc>
              <w:tc>
                <w:tcPr>
                  <w:tcW w:w="1668" w:type="dxa"/>
                  <w:noWrap w:val="0"/>
                  <w:vAlign w:val="center"/>
                </w:tcPr>
                <w:p w14:paraId="72182CC2">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约5户</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16人</w:t>
                  </w:r>
                </w:p>
              </w:tc>
              <w:tc>
                <w:tcPr>
                  <w:tcW w:w="759" w:type="dxa"/>
                  <w:vMerge w:val="continue"/>
                  <w:noWrap w:val="0"/>
                  <w:vAlign w:val="center"/>
                </w:tcPr>
                <w:p w14:paraId="083F5560">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910" w:type="dxa"/>
                  <w:noWrap w:val="0"/>
                  <w:vAlign w:val="center"/>
                </w:tcPr>
                <w:p w14:paraId="0F368BB6">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NW</w:t>
                  </w:r>
                </w:p>
              </w:tc>
              <w:tc>
                <w:tcPr>
                  <w:tcW w:w="1001" w:type="dxa"/>
                  <w:noWrap w:val="0"/>
                  <w:vAlign w:val="center"/>
                </w:tcPr>
                <w:p w14:paraId="2A454A35">
                  <w:pPr>
                    <w:pStyle w:val="14"/>
                    <w:keepNext w:val="0"/>
                    <w:keepLines w:val="0"/>
                    <w:pageBreakBefore w:val="0"/>
                    <w:widowControl w:val="0"/>
                    <w:kinsoku/>
                    <w:wordWrap/>
                    <w:overflowPunct/>
                    <w:topLinePunct w:val="0"/>
                    <w:autoSpaceDE/>
                    <w:autoSpaceDN/>
                    <w:bidi w:val="0"/>
                    <w:adjustRightInd/>
                    <w:snapToGrid/>
                    <w:spacing w:line="240" w:lineRule="auto"/>
                    <w:ind w:left="-60" w:leftChars="-25"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460</w:t>
                  </w:r>
                </w:p>
              </w:tc>
            </w:tr>
          </w:tbl>
          <w:p w14:paraId="41FEE778">
            <w:pPr>
              <w:keepNext w:val="0"/>
              <w:keepLines w:val="0"/>
              <w:pageBreakBefore w:val="0"/>
              <w:widowControl w:val="0"/>
              <w:kinsoku/>
              <w:wordWrap/>
              <w:overflowPunct/>
              <w:topLinePunct w:val="0"/>
              <w:autoSpaceDE w:val="0"/>
              <w:autoSpaceDN w:val="0"/>
              <w:bidi w:val="0"/>
              <w:adjustRightInd/>
              <w:snapToGrid/>
              <w:ind w:firstLine="482"/>
              <w:textAlignment w:val="auto"/>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lang w:val="en-US" w:eastAsia="zh-CN"/>
                <w14:textFill>
                  <w14:solidFill>
                    <w14:schemeClr w14:val="tx1"/>
                  </w14:solidFill>
                </w14:textFill>
              </w:rPr>
              <w:t>3</w:t>
            </w:r>
            <w:r>
              <w:rPr>
                <w:rFonts w:hint="default" w:ascii="Times New Roman" w:hAnsi="Times New Roman" w:cs="Times New Roman"/>
                <w:b/>
                <w:color w:val="000000" w:themeColor="text1"/>
                <w:kern w:val="0"/>
                <w:szCs w:val="21"/>
                <w:highlight w:val="none"/>
                <w14:textFill>
                  <w14:solidFill>
                    <w14:schemeClr w14:val="tx1"/>
                  </w14:solidFill>
                </w14:textFill>
              </w:rPr>
              <w:t>、声环境保护目标</w:t>
            </w:r>
          </w:p>
          <w:p w14:paraId="54C4F71F">
            <w:pPr>
              <w:keepNext w:val="0"/>
              <w:keepLines w:val="0"/>
              <w:pageBreakBefore w:val="0"/>
              <w:widowControl w:val="0"/>
              <w:kinsoku/>
              <w:wordWrap/>
              <w:overflowPunct/>
              <w:topLinePunct w:val="0"/>
              <w:autoSpaceDE w:val="0"/>
              <w:autoSpaceDN w:val="0"/>
              <w:bidi w:val="0"/>
              <w:adjustRightInd/>
              <w:snapToGrid/>
              <w:ind w:firstLine="480"/>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项目厂界外50米范围内无声环境保护目标。</w:t>
            </w:r>
          </w:p>
          <w:p w14:paraId="37FC184B">
            <w:pPr>
              <w:keepNext w:val="0"/>
              <w:keepLines w:val="0"/>
              <w:pageBreakBefore w:val="0"/>
              <w:widowControl w:val="0"/>
              <w:kinsoku/>
              <w:wordWrap/>
              <w:overflowPunct/>
              <w:topLinePunct w:val="0"/>
              <w:autoSpaceDE w:val="0"/>
              <w:autoSpaceDN w:val="0"/>
              <w:bidi w:val="0"/>
              <w:adjustRightInd/>
              <w:snapToGrid/>
              <w:ind w:firstLine="482"/>
              <w:textAlignment w:val="auto"/>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kern w:val="0"/>
                <w:szCs w:val="21"/>
                <w:highlight w:val="none"/>
                <w14:textFill>
                  <w14:solidFill>
                    <w14:schemeClr w14:val="tx1"/>
                  </w14:solidFill>
                </w14:textFill>
              </w:rPr>
              <w:t>、地下水</w:t>
            </w:r>
          </w:p>
          <w:p w14:paraId="6CDDCBAA">
            <w:pPr>
              <w:keepNext w:val="0"/>
              <w:keepLines w:val="0"/>
              <w:pageBreakBefore w:val="0"/>
              <w:widowControl w:val="0"/>
              <w:kinsoku/>
              <w:wordWrap/>
              <w:overflowPunct/>
              <w:topLinePunct w:val="0"/>
              <w:autoSpaceDE w:val="0"/>
              <w:autoSpaceDN w:val="0"/>
              <w:bidi w:val="0"/>
              <w:adjustRightInd/>
              <w:snapToGrid/>
              <w:ind w:firstLine="480"/>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项目厂界外周边500m范围内无地下水集中式饮用水源和热水、矿泉水、温泉等特殊地下水资源。</w:t>
            </w:r>
          </w:p>
          <w:p w14:paraId="51E4F978">
            <w:pPr>
              <w:keepNext w:val="0"/>
              <w:keepLines w:val="0"/>
              <w:pageBreakBefore w:val="0"/>
              <w:widowControl w:val="0"/>
              <w:kinsoku/>
              <w:wordWrap/>
              <w:overflowPunct/>
              <w:topLinePunct w:val="0"/>
              <w:autoSpaceDE w:val="0"/>
              <w:autoSpaceDN w:val="0"/>
              <w:bidi w:val="0"/>
              <w:adjustRightInd/>
              <w:snapToGrid/>
              <w:ind w:firstLine="482"/>
              <w:textAlignment w:val="auto"/>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lang w:val="en-US" w:eastAsia="zh-CN"/>
                <w14:textFill>
                  <w14:solidFill>
                    <w14:schemeClr w14:val="tx1"/>
                  </w14:solidFill>
                </w14:textFill>
              </w:rPr>
              <w:t>5</w:t>
            </w:r>
            <w:r>
              <w:rPr>
                <w:rFonts w:hint="default" w:ascii="Times New Roman" w:hAnsi="Times New Roman" w:cs="Times New Roman"/>
                <w:b/>
                <w:color w:val="000000" w:themeColor="text1"/>
                <w:kern w:val="0"/>
                <w:szCs w:val="21"/>
                <w:highlight w:val="none"/>
                <w14:textFill>
                  <w14:solidFill>
                    <w14:schemeClr w14:val="tx1"/>
                  </w14:solidFill>
                </w14:textFill>
              </w:rPr>
              <w:t>、生态环境</w:t>
            </w:r>
          </w:p>
          <w:p w14:paraId="00A08E8A">
            <w:pPr>
              <w:keepNext w:val="0"/>
              <w:keepLines w:val="0"/>
              <w:pageBreakBefore w:val="0"/>
              <w:widowControl w:val="0"/>
              <w:kinsoku/>
              <w:wordWrap/>
              <w:overflowPunct/>
              <w:topLinePunct w:val="0"/>
              <w:autoSpaceDE w:val="0"/>
              <w:autoSpaceDN w:val="0"/>
              <w:bidi w:val="0"/>
              <w:adjustRightInd/>
              <w:snapToGrid/>
              <w:ind w:firstLine="480"/>
              <w:textAlignment w:val="auto"/>
              <w:rPr>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项目周围分布为工业企业，项目建设区域生态结构较简单、植被稀疏、无珍稀野生动植物分布，无生态环境保护目标。</w:t>
            </w:r>
          </w:p>
        </w:tc>
      </w:tr>
      <w:tr w14:paraId="5BF5C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57" w:type="dxa"/>
            <w:tcMar>
              <w:left w:w="28" w:type="dxa"/>
              <w:right w:w="28" w:type="dxa"/>
            </w:tcMar>
            <w:vAlign w:val="center"/>
          </w:tcPr>
          <w:p w14:paraId="394735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污染物排放控制标准</w:t>
            </w:r>
          </w:p>
        </w:tc>
        <w:tc>
          <w:tcPr>
            <w:tcW w:w="9170" w:type="dxa"/>
            <w:vAlign w:val="center"/>
          </w:tcPr>
          <w:p w14:paraId="3D1ECEEB">
            <w:pPr>
              <w:keepNext w:val="0"/>
              <w:keepLines w:val="0"/>
              <w:pageBreakBefore w:val="0"/>
              <w:widowControl w:val="0"/>
              <w:kinsoku/>
              <w:wordWrap/>
              <w:overflowPunct/>
              <w:topLinePunct w:val="0"/>
              <w:bidi w:val="0"/>
              <w:adjustRightInd w:val="0"/>
              <w:snapToGrid w:val="0"/>
              <w:spacing w:line="360" w:lineRule="auto"/>
              <w:ind w:left="0" w:leftChars="0" w:firstLine="0" w:firstLineChars="0"/>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污染物排放控制标准</w:t>
            </w:r>
          </w:p>
          <w:p w14:paraId="75D69689">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lang w:val="en-US" w:eastAsia="zh-CN"/>
                <w14:textFill>
                  <w14:solidFill>
                    <w14:schemeClr w14:val="tx1"/>
                  </w14:solidFill>
                </w14:textFill>
              </w:rPr>
              <w:t>1、</w:t>
            </w:r>
            <w:r>
              <w:rPr>
                <w:b/>
                <w:color w:val="000000" w:themeColor="text1"/>
                <w:kern w:val="0"/>
                <w:szCs w:val="21"/>
                <w:highlight w:val="none"/>
                <w14:textFill>
                  <w14:solidFill>
                    <w14:schemeClr w14:val="tx1"/>
                  </w14:solidFill>
                </w14:textFill>
              </w:rPr>
              <w:t>大气污染物排放标准</w:t>
            </w:r>
          </w:p>
          <w:p w14:paraId="2DC187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施工期产生的扬尘、汽车尾气等执行《重庆市大气污染物综合排放标准》（DB50/418-2016）二级标准，标准值见表3</w:t>
            </w:r>
            <w:r>
              <w:rPr>
                <w:rFonts w:hint="eastAsia"/>
                <w:color w:val="000000" w:themeColor="text1"/>
                <w:kern w:val="0"/>
                <w:sz w:val="24"/>
                <w:highlight w:val="none"/>
                <w:lang w:val="en-US" w:eastAsia="zh-CN"/>
                <w14:textFill>
                  <w14:solidFill>
                    <w14:schemeClr w14:val="tx1"/>
                  </w14:solidFill>
                </w14:textFill>
              </w:rPr>
              <w:t>.7</w:t>
            </w: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1</w:t>
            </w:r>
            <w:r>
              <w:rPr>
                <w:color w:val="000000" w:themeColor="text1"/>
                <w:kern w:val="0"/>
                <w:sz w:val="24"/>
                <w:highlight w:val="none"/>
                <w14:textFill>
                  <w14:solidFill>
                    <w14:schemeClr w14:val="tx1"/>
                  </w14:solidFill>
                </w14:textFill>
              </w:rPr>
              <w:t>。</w:t>
            </w:r>
          </w:p>
          <w:p w14:paraId="5FCD3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表3</w:t>
            </w:r>
            <w:r>
              <w:rPr>
                <w:rFonts w:hint="eastAsia"/>
                <w:b/>
                <w:bCs/>
                <w:color w:val="000000" w:themeColor="text1"/>
                <w:sz w:val="24"/>
                <w:highlight w:val="none"/>
                <w:lang w:val="en-US" w:eastAsia="zh-CN"/>
                <w14:textFill>
                  <w14:solidFill>
                    <w14:schemeClr w14:val="tx1"/>
                  </w14:solidFill>
                </w14:textFill>
              </w:rPr>
              <w:t>.7</w:t>
            </w:r>
            <w:r>
              <w:rPr>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1</w:t>
            </w:r>
            <w:r>
              <w:rPr>
                <w:b/>
                <w:bCs/>
                <w:color w:val="000000" w:themeColor="text1"/>
                <w:sz w:val="24"/>
                <w:highlight w:val="none"/>
                <w14:textFill>
                  <w14:solidFill>
                    <w14:schemeClr w14:val="tx1"/>
                  </w14:solidFill>
                </w14:textFill>
              </w:rPr>
              <w:t xml:space="preserve">  重庆市大气污染物综合排放标准   单位：mg/m</w:t>
            </w:r>
            <w:r>
              <w:rPr>
                <w:b/>
                <w:bCs/>
                <w:color w:val="000000" w:themeColor="text1"/>
                <w:sz w:val="24"/>
                <w:highlight w:val="none"/>
                <w:vertAlign w:val="superscript"/>
                <w14:textFill>
                  <w14:solidFill>
                    <w14:schemeClr w14:val="tx1"/>
                  </w14:solidFill>
                </w14:textFill>
              </w:rPr>
              <w:t>3</w:t>
            </w:r>
          </w:p>
          <w:tbl>
            <w:tblPr>
              <w:tblStyle w:val="28"/>
              <w:tblW w:w="8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3217"/>
              <w:gridCol w:w="3727"/>
            </w:tblGrid>
            <w:tr w14:paraId="6D51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2049" w:type="dxa"/>
                  <w:vMerge w:val="restart"/>
                  <w:noWrap w:val="0"/>
                  <w:vAlign w:val="center"/>
                </w:tcPr>
                <w:p w14:paraId="7571B1B7">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污染物</w:t>
                  </w:r>
                </w:p>
              </w:tc>
              <w:tc>
                <w:tcPr>
                  <w:tcW w:w="6944" w:type="dxa"/>
                  <w:gridSpan w:val="2"/>
                  <w:noWrap w:val="0"/>
                  <w:vAlign w:val="center"/>
                </w:tcPr>
                <w:p w14:paraId="47E3EECB">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无组织排放监控浓度限值</w:t>
                  </w:r>
                </w:p>
              </w:tc>
            </w:tr>
            <w:tr w14:paraId="4CDB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2049" w:type="dxa"/>
                  <w:vMerge w:val="continue"/>
                  <w:noWrap w:val="0"/>
                  <w:vAlign w:val="center"/>
                </w:tcPr>
                <w:p w14:paraId="5DB8249D">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3217" w:type="dxa"/>
                  <w:noWrap w:val="0"/>
                  <w:vAlign w:val="center"/>
                </w:tcPr>
                <w:p w14:paraId="1DCF8126">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监控点</w:t>
                  </w:r>
                </w:p>
              </w:tc>
              <w:tc>
                <w:tcPr>
                  <w:tcW w:w="3727" w:type="dxa"/>
                  <w:noWrap w:val="0"/>
                  <w:vAlign w:val="center"/>
                </w:tcPr>
                <w:p w14:paraId="2966788E">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浓度</w:t>
                  </w:r>
                </w:p>
              </w:tc>
            </w:tr>
            <w:tr w14:paraId="5572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2049" w:type="dxa"/>
                  <w:noWrap w:val="0"/>
                  <w:vAlign w:val="center"/>
                </w:tcPr>
                <w:p w14:paraId="3B29EA32">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3217" w:type="dxa"/>
                  <w:vMerge w:val="restart"/>
                  <w:noWrap w:val="0"/>
                  <w:vAlign w:val="center"/>
                </w:tcPr>
                <w:p w14:paraId="46605F22">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周界外浓度最高点</w:t>
                  </w:r>
                </w:p>
              </w:tc>
              <w:tc>
                <w:tcPr>
                  <w:tcW w:w="3727" w:type="dxa"/>
                  <w:noWrap w:val="0"/>
                  <w:vAlign w:val="center"/>
                </w:tcPr>
                <w:p w14:paraId="1A894891">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r>
            <w:tr w14:paraId="4034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2049" w:type="dxa"/>
                  <w:noWrap w:val="0"/>
                  <w:vAlign w:val="center"/>
                </w:tcPr>
                <w:p w14:paraId="08CEB889">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NOx</w:t>
                  </w:r>
                </w:p>
              </w:tc>
              <w:tc>
                <w:tcPr>
                  <w:tcW w:w="3217" w:type="dxa"/>
                  <w:vMerge w:val="continue"/>
                  <w:noWrap w:val="0"/>
                  <w:vAlign w:val="center"/>
                </w:tcPr>
                <w:p w14:paraId="7F329746">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727" w:type="dxa"/>
                  <w:noWrap w:val="0"/>
                  <w:vAlign w:val="center"/>
                </w:tcPr>
                <w:p w14:paraId="2AA21DDA">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0.12</w:t>
                  </w:r>
                </w:p>
              </w:tc>
            </w:tr>
            <w:tr w14:paraId="7668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2049" w:type="dxa"/>
                  <w:noWrap w:val="0"/>
                  <w:vAlign w:val="center"/>
                </w:tcPr>
                <w:p w14:paraId="32EE4634">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3217" w:type="dxa"/>
                  <w:vMerge w:val="continue"/>
                  <w:noWrap w:val="0"/>
                  <w:vAlign w:val="center"/>
                </w:tcPr>
                <w:p w14:paraId="05464A76">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727" w:type="dxa"/>
                  <w:noWrap w:val="0"/>
                  <w:vAlign w:val="center"/>
                </w:tcPr>
                <w:p w14:paraId="03FFEF03">
                  <w:pPr>
                    <w:pStyle w:val="7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w:t>
                  </w:r>
                </w:p>
              </w:tc>
            </w:tr>
          </w:tbl>
          <w:p w14:paraId="79FCDA39">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本</w:t>
            </w:r>
            <w:r>
              <w:rPr>
                <w:color w:val="000000" w:themeColor="text1"/>
                <w:kern w:val="0"/>
                <w:szCs w:val="21"/>
                <w:highlight w:val="none"/>
                <w14:textFill>
                  <w14:solidFill>
                    <w14:schemeClr w14:val="tx1"/>
                  </w14:solidFill>
                </w14:textFill>
              </w:rPr>
              <w:t>项目</w:t>
            </w:r>
            <w:r>
              <w:rPr>
                <w:rFonts w:hint="eastAsia"/>
                <w:color w:val="000000" w:themeColor="text1"/>
                <w:kern w:val="0"/>
                <w:szCs w:val="21"/>
                <w:highlight w:val="none"/>
                <w14:textFill>
                  <w14:solidFill>
                    <w14:schemeClr w14:val="tx1"/>
                  </w14:solidFill>
                </w14:textFill>
              </w:rPr>
              <w:t>营运期锅炉</w:t>
            </w:r>
            <w:r>
              <w:rPr>
                <w:color w:val="000000" w:themeColor="text1"/>
                <w:kern w:val="0"/>
                <w:szCs w:val="21"/>
                <w:highlight w:val="none"/>
                <w14:textFill>
                  <w14:solidFill>
                    <w14:schemeClr w14:val="tx1"/>
                  </w14:solidFill>
                </w14:textFill>
              </w:rPr>
              <w:t>废气执行《</w:t>
            </w:r>
            <w:r>
              <w:rPr>
                <w:rFonts w:hint="eastAsia"/>
                <w:color w:val="000000" w:themeColor="text1"/>
                <w:kern w:val="0"/>
                <w:szCs w:val="21"/>
                <w:highlight w:val="none"/>
                <w14:textFill>
                  <w14:solidFill>
                    <w14:schemeClr w14:val="tx1"/>
                  </w14:solidFill>
                </w14:textFill>
              </w:rPr>
              <w:t>锅炉</w:t>
            </w:r>
            <w:r>
              <w:rPr>
                <w:color w:val="000000" w:themeColor="text1"/>
                <w:kern w:val="0"/>
                <w:szCs w:val="21"/>
                <w:highlight w:val="none"/>
                <w14:textFill>
                  <w14:solidFill>
                    <w14:schemeClr w14:val="tx1"/>
                  </w14:solidFill>
                </w14:textFill>
              </w:rPr>
              <w:t>大气污染物排放标准》</w:t>
            </w:r>
            <w:r>
              <w:rPr>
                <w:rFonts w:hint="eastAsia"/>
                <w:color w:val="000000" w:themeColor="text1"/>
                <w:kern w:val="0"/>
                <w:szCs w:val="21"/>
                <w:highlight w:val="none"/>
                <w14:textFill>
                  <w14:solidFill>
                    <w14:schemeClr w14:val="tx1"/>
                  </w14:solidFill>
                </w14:textFill>
              </w:rPr>
              <w:t>（DB</w:t>
            </w:r>
            <w:r>
              <w:rPr>
                <w:color w:val="000000" w:themeColor="text1"/>
                <w:kern w:val="0"/>
                <w:szCs w:val="21"/>
                <w:highlight w:val="none"/>
                <w14:textFill>
                  <w14:solidFill>
                    <w14:schemeClr w14:val="tx1"/>
                  </w14:solidFill>
                </w14:textFill>
              </w:rPr>
              <w:t>50/658-2016</w:t>
            </w:r>
            <w:r>
              <w:rPr>
                <w:rFonts w:hint="eastAsia"/>
                <w:color w:val="000000" w:themeColor="text1"/>
                <w:kern w:val="0"/>
                <w:szCs w:val="21"/>
                <w:highlight w:val="none"/>
                <w14:textFill>
                  <w14:solidFill>
                    <w14:schemeClr w14:val="tx1"/>
                  </w14:solidFill>
                </w14:textFill>
              </w:rPr>
              <w:t>）表3标准及修改单</w:t>
            </w:r>
            <w:r>
              <w:rPr>
                <w:color w:val="000000" w:themeColor="text1"/>
                <w:kern w:val="0"/>
                <w:szCs w:val="21"/>
                <w:highlight w:val="none"/>
                <w14:textFill>
                  <w14:solidFill>
                    <w14:schemeClr w14:val="tx1"/>
                  </w14:solidFill>
                </w14:textFill>
              </w:rPr>
              <w:t>。</w:t>
            </w:r>
            <w:r>
              <w:rPr>
                <w:rFonts w:hint="eastAsia"/>
                <w:color w:val="000000" w:themeColor="text1"/>
                <w:highlight w:val="none"/>
                <w:lang w:bidi="ar"/>
                <w14:textFill>
                  <w14:solidFill>
                    <w14:schemeClr w14:val="tx1"/>
                  </w14:solidFill>
                </w14:textFill>
              </w:rPr>
              <w:t>食堂油烟执行《餐饮业大气污染物排放标准》（</w:t>
            </w:r>
            <w:r>
              <w:rPr>
                <w:color w:val="000000" w:themeColor="text1"/>
                <w:highlight w:val="none"/>
                <w:lang w:bidi="ar"/>
                <w14:textFill>
                  <w14:solidFill>
                    <w14:schemeClr w14:val="tx1"/>
                  </w14:solidFill>
                </w14:textFill>
              </w:rPr>
              <w:t>DB50/859-2018</w:t>
            </w:r>
            <w:r>
              <w:rPr>
                <w:rFonts w:hint="eastAsia"/>
                <w:color w:val="000000" w:themeColor="text1"/>
                <w:highlight w:val="none"/>
                <w:lang w:bidi="ar"/>
                <w14:textFill>
                  <w14:solidFill>
                    <w14:schemeClr w14:val="tx1"/>
                  </w14:solidFill>
                </w14:textFill>
              </w:rPr>
              <w:t>）中餐饮业大气污染物最高允许排放浓度。</w:t>
            </w:r>
          </w:p>
          <w:p w14:paraId="18EBC6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表3</w:t>
            </w:r>
            <w:r>
              <w:rPr>
                <w:rFonts w:hint="eastAsia" w:hAnsi="宋体"/>
                <w:b/>
                <w:bCs/>
                <w:color w:val="000000" w:themeColor="text1"/>
                <w:szCs w:val="21"/>
                <w:highlight w:val="none"/>
                <w:lang w:val="en-US" w:eastAsia="zh-CN"/>
                <w14:textFill>
                  <w14:solidFill>
                    <w14:schemeClr w14:val="tx1"/>
                  </w14:solidFill>
                </w14:textFill>
              </w:rPr>
              <w:t>.7</w:t>
            </w:r>
            <w:r>
              <w:rPr>
                <w:rFonts w:hAnsi="宋体"/>
                <w:b/>
                <w:bCs/>
                <w:color w:val="000000" w:themeColor="text1"/>
                <w:szCs w:val="21"/>
                <w:highlight w:val="none"/>
                <w14:textFill>
                  <w14:solidFill>
                    <w14:schemeClr w14:val="tx1"/>
                  </w14:solidFill>
                </w14:textFill>
              </w:rPr>
              <w:t>-</w:t>
            </w:r>
            <w:r>
              <w:rPr>
                <w:rFonts w:hint="eastAsia" w:hAnsi="宋体"/>
                <w:b/>
                <w:bCs/>
                <w:color w:val="000000" w:themeColor="text1"/>
                <w:szCs w:val="21"/>
                <w:highlight w:val="none"/>
                <w:lang w:val="en-US" w:eastAsia="zh-CN"/>
                <w14:textFill>
                  <w14:solidFill>
                    <w14:schemeClr w14:val="tx1"/>
                  </w14:solidFill>
                </w14:textFill>
              </w:rPr>
              <w:t>2</w:t>
            </w:r>
            <w:r>
              <w:rPr>
                <w:rFonts w:hint="eastAsia" w:hAnsi="宋体"/>
                <w:b/>
                <w:bCs/>
                <w:color w:val="000000" w:themeColor="text1"/>
                <w:szCs w:val="21"/>
                <w:highlight w:val="none"/>
                <w14:textFill>
                  <w14:solidFill>
                    <w14:schemeClr w14:val="tx1"/>
                  </w14:solidFill>
                </w14:textFill>
              </w:rPr>
              <w:t>锅炉</w:t>
            </w:r>
            <w:r>
              <w:rPr>
                <w:rFonts w:hAnsi="宋体"/>
                <w:b/>
                <w:bCs/>
                <w:color w:val="000000" w:themeColor="text1"/>
                <w:szCs w:val="21"/>
                <w:highlight w:val="none"/>
                <w14:textFill>
                  <w14:solidFill>
                    <w14:schemeClr w14:val="tx1"/>
                  </w14:solidFill>
                </w14:textFill>
              </w:rPr>
              <w:t>大气污染物排放标准</w:t>
            </w:r>
            <w:r>
              <w:rPr>
                <w:rFonts w:hint="eastAsia" w:hAnsi="宋体"/>
                <w:b/>
                <w:bCs/>
                <w:color w:val="000000" w:themeColor="text1"/>
                <w:szCs w:val="21"/>
                <w:highlight w:val="none"/>
                <w14:textFill>
                  <w14:solidFill>
                    <w14:schemeClr w14:val="tx1"/>
                  </w14:solidFill>
                </w14:textFill>
              </w:rPr>
              <w:t>（DB</w:t>
            </w:r>
            <w:r>
              <w:rPr>
                <w:rFonts w:hAnsi="宋体"/>
                <w:b/>
                <w:bCs/>
                <w:color w:val="000000" w:themeColor="text1"/>
                <w:szCs w:val="21"/>
                <w:highlight w:val="none"/>
                <w14:textFill>
                  <w14:solidFill>
                    <w14:schemeClr w14:val="tx1"/>
                  </w14:solidFill>
                </w14:textFill>
              </w:rPr>
              <w:t>50/658-2016</w:t>
            </w:r>
            <w:r>
              <w:rPr>
                <w:rFonts w:hint="eastAsia" w:hAnsi="宋体"/>
                <w:b/>
                <w:bCs/>
                <w:color w:val="000000" w:themeColor="text1"/>
                <w:szCs w:val="21"/>
                <w:highlight w:val="none"/>
                <w14:textFill>
                  <w14:solidFill>
                    <w14:schemeClr w14:val="tx1"/>
                  </w14:solidFill>
                </w14:textFill>
              </w:rPr>
              <w:t>）及</w:t>
            </w:r>
            <w:r>
              <w:rPr>
                <w:rFonts w:hAnsi="宋体"/>
                <w:b/>
                <w:bCs/>
                <w:color w:val="000000" w:themeColor="text1"/>
                <w:szCs w:val="21"/>
                <w:highlight w:val="none"/>
                <w14:textFill>
                  <w14:solidFill>
                    <w14:schemeClr w14:val="tx1"/>
                  </w14:solidFill>
                </w14:textFill>
              </w:rPr>
              <w:t>修改单</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2226"/>
              <w:gridCol w:w="3056"/>
              <w:gridCol w:w="2264"/>
            </w:tblGrid>
            <w:tr w14:paraId="4236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5" w:type="pct"/>
                  <w:vAlign w:val="center"/>
                </w:tcPr>
                <w:p w14:paraId="08869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污染物项目</w:t>
                  </w:r>
                </w:p>
              </w:tc>
              <w:tc>
                <w:tcPr>
                  <w:tcW w:w="1228" w:type="pct"/>
                  <w:vAlign w:val="center"/>
                </w:tcPr>
                <w:p w14:paraId="51F9A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适用区域</w:t>
                  </w:r>
                </w:p>
              </w:tc>
              <w:tc>
                <w:tcPr>
                  <w:tcW w:w="1686" w:type="pct"/>
                  <w:vAlign w:val="center"/>
                </w:tcPr>
                <w:p w14:paraId="0FC82F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排放限值（燃气锅炉）</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mg/m</w:t>
                  </w:r>
                  <w:r>
                    <w:rPr>
                      <w:rFonts w:hint="default" w:ascii="Times New Roman" w:hAnsi="Times New Roman" w:eastAsia="宋体" w:cs="Times New Roman"/>
                      <w:b/>
                      <w:bCs/>
                      <w:color w:val="000000" w:themeColor="text1"/>
                      <w:kern w:val="0"/>
                      <w:sz w:val="21"/>
                      <w:szCs w:val="21"/>
                      <w:highlight w:val="none"/>
                      <w:vertAlign w:val="superscript"/>
                      <w14:textFill>
                        <w14:solidFill>
                          <w14:schemeClr w14:val="tx1"/>
                        </w14:solidFill>
                      </w14:textFill>
                    </w:rPr>
                    <w:t>3</w:t>
                  </w:r>
                </w:p>
              </w:tc>
              <w:tc>
                <w:tcPr>
                  <w:tcW w:w="1249" w:type="pct"/>
                  <w:vAlign w:val="center"/>
                </w:tcPr>
                <w:p w14:paraId="66E88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监控位置</w:t>
                  </w:r>
                </w:p>
              </w:tc>
            </w:tr>
            <w:tr w14:paraId="4BF2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5" w:type="pct"/>
                  <w:vAlign w:val="center"/>
                </w:tcPr>
                <w:p w14:paraId="31E18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颗粒物</w:t>
                  </w:r>
                </w:p>
              </w:tc>
              <w:tc>
                <w:tcPr>
                  <w:tcW w:w="1228" w:type="pct"/>
                  <w:vMerge w:val="restart"/>
                  <w:vAlign w:val="center"/>
                </w:tcPr>
                <w:p w14:paraId="63E1E7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影响区</w:t>
                  </w:r>
                </w:p>
              </w:tc>
              <w:tc>
                <w:tcPr>
                  <w:tcW w:w="1686" w:type="pct"/>
                  <w:vAlign w:val="center"/>
                </w:tcPr>
                <w:p w14:paraId="1C0AF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20</w:t>
                  </w:r>
                </w:p>
              </w:tc>
              <w:tc>
                <w:tcPr>
                  <w:tcW w:w="1249" w:type="pct"/>
                  <w:vMerge w:val="restart"/>
                  <w:vAlign w:val="center"/>
                </w:tcPr>
                <w:p w14:paraId="59F3B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烟囱或烟道</w:t>
                  </w:r>
                </w:p>
              </w:tc>
            </w:tr>
            <w:tr w14:paraId="3C79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35" w:type="pct"/>
                  <w:vAlign w:val="center"/>
                </w:tcPr>
                <w:p w14:paraId="07EA61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二氧化硫</w:t>
                  </w:r>
                </w:p>
              </w:tc>
              <w:tc>
                <w:tcPr>
                  <w:tcW w:w="1228" w:type="pct"/>
                  <w:vMerge w:val="continue"/>
                  <w:vAlign w:val="center"/>
                </w:tcPr>
                <w:p w14:paraId="0F5A8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686" w:type="pct"/>
                  <w:vAlign w:val="center"/>
                </w:tcPr>
                <w:p w14:paraId="1763C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50</w:t>
                  </w:r>
                </w:p>
              </w:tc>
              <w:tc>
                <w:tcPr>
                  <w:tcW w:w="1249" w:type="pct"/>
                  <w:vMerge w:val="continue"/>
                  <w:vAlign w:val="center"/>
                </w:tcPr>
                <w:p w14:paraId="1724D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14:paraId="626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5" w:type="pct"/>
                  <w:vAlign w:val="center"/>
                </w:tcPr>
                <w:p w14:paraId="0A739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氮氧化物</w:t>
                  </w:r>
                </w:p>
              </w:tc>
              <w:tc>
                <w:tcPr>
                  <w:tcW w:w="1228" w:type="pct"/>
                  <w:vMerge w:val="continue"/>
                  <w:vAlign w:val="center"/>
                </w:tcPr>
                <w:p w14:paraId="6BC05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686" w:type="pct"/>
                  <w:vAlign w:val="center"/>
                </w:tcPr>
                <w:p w14:paraId="1C030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50</w:t>
                  </w:r>
                </w:p>
              </w:tc>
              <w:tc>
                <w:tcPr>
                  <w:tcW w:w="1249" w:type="pct"/>
                  <w:vMerge w:val="continue"/>
                  <w:vAlign w:val="center"/>
                </w:tcPr>
                <w:p w14:paraId="5406E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14:paraId="1BA5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5" w:type="pct"/>
                  <w:vAlign w:val="center"/>
                </w:tcPr>
                <w:p w14:paraId="084327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林格曼黑度</w:t>
                  </w:r>
                </w:p>
              </w:tc>
              <w:tc>
                <w:tcPr>
                  <w:tcW w:w="1228" w:type="pct"/>
                  <w:vMerge w:val="continue"/>
                  <w:vAlign w:val="center"/>
                </w:tcPr>
                <w:p w14:paraId="3C416F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686" w:type="pct"/>
                  <w:vAlign w:val="center"/>
                </w:tcPr>
                <w:p w14:paraId="5059C7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≤1级</w:t>
                  </w:r>
                </w:p>
              </w:tc>
              <w:tc>
                <w:tcPr>
                  <w:tcW w:w="1249" w:type="pct"/>
                  <w:vMerge w:val="continue"/>
                  <w:vAlign w:val="center"/>
                </w:tcPr>
                <w:p w14:paraId="5D21B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p>
              </w:tc>
            </w:tr>
          </w:tbl>
          <w:p w14:paraId="1D80EC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32"/>
                <w:highlight w:val="none"/>
                <w14:textFill>
                  <w14:solidFill>
                    <w14:schemeClr w14:val="tx1"/>
                  </w14:solidFill>
                </w14:textFill>
              </w:rPr>
            </w:pPr>
            <w:r>
              <w:rPr>
                <w:rFonts w:hint="eastAsia" w:cs="宋体"/>
                <w:b/>
                <w:bCs/>
                <w:color w:val="000000" w:themeColor="text1"/>
                <w:highlight w:val="none"/>
                <w:lang w:val="zh-CN" w:bidi="ar"/>
                <w14:textFill>
                  <w14:solidFill>
                    <w14:schemeClr w14:val="tx1"/>
                  </w14:solidFill>
                </w14:textFill>
              </w:rPr>
              <w:t>表</w:t>
            </w:r>
            <w:r>
              <w:rPr>
                <w:b/>
                <w:bCs/>
                <w:color w:val="000000" w:themeColor="text1"/>
                <w:highlight w:val="none"/>
                <w:lang w:val="zh-CN" w:bidi="ar"/>
                <w14:textFill>
                  <w14:solidFill>
                    <w14:schemeClr w14:val="tx1"/>
                  </w14:solidFill>
                </w14:textFill>
              </w:rPr>
              <w:t>3</w:t>
            </w:r>
            <w:r>
              <w:rPr>
                <w:rFonts w:hint="eastAsia"/>
                <w:b/>
                <w:bCs/>
                <w:color w:val="000000" w:themeColor="text1"/>
                <w:highlight w:val="none"/>
                <w:lang w:val="en-US" w:eastAsia="zh-CN" w:bidi="ar"/>
                <w14:textFill>
                  <w14:solidFill>
                    <w14:schemeClr w14:val="tx1"/>
                  </w14:solidFill>
                </w14:textFill>
              </w:rPr>
              <w:t>.7</w:t>
            </w:r>
            <w:r>
              <w:rPr>
                <w:b/>
                <w:bCs/>
                <w:color w:val="000000" w:themeColor="text1"/>
                <w:highlight w:val="none"/>
                <w:lang w:val="zh-CN" w:bidi="ar"/>
                <w14:textFill>
                  <w14:solidFill>
                    <w14:schemeClr w14:val="tx1"/>
                  </w14:solidFill>
                </w14:textFill>
              </w:rPr>
              <w:t>-</w:t>
            </w:r>
            <w:r>
              <w:rPr>
                <w:rFonts w:hint="eastAsia"/>
                <w:b/>
                <w:bCs/>
                <w:color w:val="000000" w:themeColor="text1"/>
                <w:highlight w:val="none"/>
                <w:lang w:val="en-US" w:eastAsia="zh-CN" w:bidi="ar"/>
                <w14:textFill>
                  <w14:solidFill>
                    <w14:schemeClr w14:val="tx1"/>
                  </w14:solidFill>
                </w14:textFill>
              </w:rPr>
              <w:t>3</w:t>
            </w:r>
            <w:r>
              <w:rPr>
                <w:b/>
                <w:bCs/>
                <w:color w:val="000000" w:themeColor="text1"/>
                <w:highlight w:val="none"/>
                <w:lang w:val="zh-CN" w:bidi="ar"/>
                <w14:textFill>
                  <w14:solidFill>
                    <w14:schemeClr w14:val="tx1"/>
                  </w14:solidFill>
                </w14:textFill>
              </w:rPr>
              <w:t xml:space="preserve">   </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餐饮业大气污染物排放标准 （DB50/859-2018）</w:t>
            </w:r>
          </w:p>
          <w:tbl>
            <w:tblPr>
              <w:tblStyle w:val="28"/>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4"/>
              <w:gridCol w:w="2178"/>
              <w:gridCol w:w="2138"/>
              <w:gridCol w:w="1718"/>
            </w:tblGrid>
            <w:tr w14:paraId="3298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trPr>
              <w:tc>
                <w:tcPr>
                  <w:tcW w:w="1669" w:type="pct"/>
                  <w:noWrap w:val="0"/>
                  <w:vAlign w:val="center"/>
                </w:tcPr>
                <w:p w14:paraId="6297E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规模</w:t>
                  </w:r>
                </w:p>
              </w:tc>
              <w:tc>
                <w:tcPr>
                  <w:tcW w:w="1202" w:type="pct"/>
                  <w:noWrap w:val="0"/>
                  <w:vAlign w:val="center"/>
                </w:tcPr>
                <w:p w14:paraId="78EAAF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小型</w:t>
                  </w:r>
                </w:p>
              </w:tc>
              <w:tc>
                <w:tcPr>
                  <w:tcW w:w="1180" w:type="pct"/>
                  <w:noWrap w:val="0"/>
                  <w:vAlign w:val="center"/>
                </w:tcPr>
                <w:p w14:paraId="2E26C9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中型</w:t>
                  </w:r>
                </w:p>
              </w:tc>
              <w:tc>
                <w:tcPr>
                  <w:tcW w:w="947" w:type="pct"/>
                  <w:noWrap w:val="0"/>
                  <w:vAlign w:val="center"/>
                </w:tcPr>
                <w:p w14:paraId="69FE2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大型</w:t>
                  </w:r>
                </w:p>
              </w:tc>
            </w:tr>
            <w:tr w14:paraId="2706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69" w:type="pct"/>
                  <w:noWrap w:val="0"/>
                  <w:vAlign w:val="center"/>
                </w:tcPr>
                <w:p w14:paraId="00E98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最高允许排放浓度（mg/m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330" w:type="pct"/>
                  <w:gridSpan w:val="3"/>
                  <w:noWrap w:val="0"/>
                  <w:vAlign w:val="center"/>
                </w:tcPr>
                <w:p w14:paraId="51A74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油烟：1.0；非甲烷总烃：10.0</w:t>
                  </w:r>
                </w:p>
              </w:tc>
            </w:tr>
            <w:tr w14:paraId="40A4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69" w:type="pct"/>
                  <w:noWrap w:val="0"/>
                  <w:vAlign w:val="center"/>
                </w:tcPr>
                <w:p w14:paraId="04E9F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净化设施最低去除率（%）</w:t>
                  </w:r>
                </w:p>
              </w:tc>
              <w:tc>
                <w:tcPr>
                  <w:tcW w:w="1202" w:type="pct"/>
                  <w:noWrap w:val="0"/>
                  <w:vAlign w:val="center"/>
                </w:tcPr>
                <w:p w14:paraId="413015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油烟≥90</w:t>
                  </w:r>
                </w:p>
                <w:p w14:paraId="71A60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非甲烷总烃≥65</w:t>
                  </w:r>
                </w:p>
              </w:tc>
              <w:tc>
                <w:tcPr>
                  <w:tcW w:w="1180" w:type="pct"/>
                  <w:noWrap w:val="0"/>
                  <w:vAlign w:val="center"/>
                </w:tcPr>
                <w:p w14:paraId="35E6F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油烟≥90</w:t>
                  </w:r>
                </w:p>
                <w:p w14:paraId="406A7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非甲烷总烃≥75</w:t>
                  </w:r>
                </w:p>
              </w:tc>
              <w:tc>
                <w:tcPr>
                  <w:tcW w:w="947" w:type="pct"/>
                  <w:noWrap w:val="0"/>
                  <w:vAlign w:val="center"/>
                </w:tcPr>
                <w:p w14:paraId="320A4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油烟≥95</w:t>
                  </w:r>
                </w:p>
                <w:p w14:paraId="4AB7F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非甲烷总烃≥85</w:t>
                  </w:r>
                </w:p>
              </w:tc>
            </w:tr>
          </w:tbl>
          <w:p w14:paraId="3DCFEA55">
            <w:pPr>
              <w:pStyle w:val="16"/>
              <w:keepNext w:val="0"/>
              <w:keepLines w:val="0"/>
              <w:pageBreakBefore w:val="0"/>
              <w:widowControl/>
              <w:tabs>
                <w:tab w:val="left" w:pos="1040"/>
                <w:tab w:val="left" w:pos="6498"/>
              </w:tabs>
              <w:kinsoku/>
              <w:wordWrap/>
              <w:overflowPunct/>
              <w:topLinePunct w:val="0"/>
              <w:autoSpaceDE/>
              <w:autoSpaceDN/>
              <w:bidi w:val="0"/>
              <w:adjustRightInd w:val="0"/>
              <w:snapToGrid w:val="0"/>
              <w:spacing w:before="157" w:beforeLines="50" w:after="0" w:line="240" w:lineRule="auto"/>
              <w:ind w:right="0" w:firstLine="0" w:firstLineChars="0"/>
              <w:jc w:val="center"/>
              <w:textAlignment w:val="auto"/>
              <w:rPr>
                <w:rFonts w:hint="default" w:ascii="Times New Roman" w:hAnsi="Times New Roman" w:eastAsia="宋体" w:cs="宋体"/>
                <w:b/>
                <w:bC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宋体"/>
                <w:b/>
                <w:bCs/>
                <w:color w:val="000000" w:themeColor="text1"/>
                <w:kern w:val="2"/>
                <w:sz w:val="24"/>
                <w:szCs w:val="24"/>
                <w:highlight w:val="none"/>
                <w:lang w:val="zh-CN" w:eastAsia="zh-CN" w:bidi="ar"/>
                <w14:textFill>
                  <w14:solidFill>
                    <w14:schemeClr w14:val="tx1"/>
                  </w14:solidFill>
                </w14:textFill>
              </w:rPr>
              <w:t>表3</w:t>
            </w:r>
            <w:r>
              <w:rPr>
                <w:rFonts w:hint="eastAsia" w:ascii="Times New Roman" w:hAnsi="Times New Roman" w:eastAsia="宋体" w:cs="宋体"/>
                <w:b/>
                <w:bCs/>
                <w:color w:val="000000" w:themeColor="text1"/>
                <w:kern w:val="2"/>
                <w:sz w:val="24"/>
                <w:szCs w:val="24"/>
                <w:highlight w:val="none"/>
                <w:lang w:val="en-US" w:eastAsia="zh-CN" w:bidi="ar"/>
                <w14:textFill>
                  <w14:solidFill>
                    <w14:schemeClr w14:val="tx1"/>
                  </w14:solidFill>
                </w14:textFill>
              </w:rPr>
              <w:t>.7</w:t>
            </w:r>
            <w:r>
              <w:rPr>
                <w:rFonts w:hint="eastAsia" w:ascii="Times New Roman" w:hAnsi="Times New Roman" w:eastAsia="宋体" w:cs="宋体"/>
                <w:b/>
                <w:bCs/>
                <w:color w:val="000000" w:themeColor="text1"/>
                <w:kern w:val="2"/>
                <w:sz w:val="24"/>
                <w:szCs w:val="24"/>
                <w:highlight w:val="none"/>
                <w:lang w:val="zh-CN" w:eastAsia="zh-CN" w:bidi="ar"/>
                <w14:textFill>
                  <w14:solidFill>
                    <w14:schemeClr w14:val="tx1"/>
                  </w14:solidFill>
                </w14:textFill>
              </w:rPr>
              <w:t>-</w:t>
            </w:r>
            <w:r>
              <w:rPr>
                <w:rFonts w:hint="eastAsia" w:ascii="Times New Roman" w:hAnsi="Times New Roman" w:eastAsia="宋体" w:cs="宋体"/>
                <w:b/>
                <w:bCs/>
                <w:color w:val="000000" w:themeColor="text1"/>
                <w:kern w:val="2"/>
                <w:sz w:val="24"/>
                <w:szCs w:val="24"/>
                <w:highlight w:val="none"/>
                <w:lang w:val="en-US" w:eastAsia="zh-CN" w:bidi="ar"/>
                <w14:textFill>
                  <w14:solidFill>
                    <w14:schemeClr w14:val="tx1"/>
                  </w14:solidFill>
                </w14:textFill>
              </w:rPr>
              <w:t>4</w:t>
            </w:r>
            <w:r>
              <w:rPr>
                <w:rFonts w:hint="eastAsia" w:ascii="Times New Roman" w:hAnsi="Times New Roman" w:eastAsia="宋体" w:cs="宋体"/>
                <w:b/>
                <w:bCs/>
                <w:color w:val="000000" w:themeColor="text1"/>
                <w:kern w:val="2"/>
                <w:sz w:val="24"/>
                <w:szCs w:val="24"/>
                <w:highlight w:val="none"/>
                <w:lang w:val="zh-CN" w:eastAsia="zh-CN" w:bidi="ar"/>
                <w14:textFill>
                  <w14:solidFill>
                    <w14:schemeClr w14:val="tx1"/>
                  </w14:solidFill>
                </w14:textFill>
              </w:rPr>
              <w:t xml:space="preserve"> </w:t>
            </w:r>
            <w:r>
              <w:rPr>
                <w:rFonts w:hint="default" w:ascii="Times New Roman" w:hAnsi="Times New Roman" w:eastAsia="宋体" w:cs="宋体"/>
                <w:b/>
                <w:bCs/>
                <w:color w:val="000000" w:themeColor="text1"/>
                <w:kern w:val="2"/>
                <w:sz w:val="24"/>
                <w:szCs w:val="24"/>
                <w:highlight w:val="none"/>
                <w:lang w:val="zh-CN" w:eastAsia="zh-CN" w:bidi="ar"/>
                <w14:textFill>
                  <w14:solidFill>
                    <w14:schemeClr w14:val="tx1"/>
                  </w14:solidFill>
                </w14:textFill>
              </w:rPr>
              <w:t>《恶臭污染物排放标准》</w:t>
            </w:r>
          </w:p>
          <w:tbl>
            <w:tblPr>
              <w:tblStyle w:val="28"/>
              <w:tblW w:w="8959"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180"/>
              <w:gridCol w:w="1672"/>
              <w:gridCol w:w="2377"/>
              <w:gridCol w:w="2920"/>
            </w:tblGrid>
            <w:tr w14:paraId="2D64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810" w:type="dxa"/>
                  <w:vMerge w:val="restart"/>
                  <w:noWrap w:val="0"/>
                  <w:vAlign w:val="center"/>
                </w:tcPr>
                <w:p w14:paraId="7597349E">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180" w:type="dxa"/>
                  <w:vMerge w:val="restart"/>
                  <w:noWrap w:val="0"/>
                  <w:vAlign w:val="center"/>
                </w:tcPr>
                <w:p w14:paraId="63178125">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控制项目</w:t>
                  </w:r>
                </w:p>
              </w:tc>
              <w:tc>
                <w:tcPr>
                  <w:tcW w:w="4049" w:type="dxa"/>
                  <w:gridSpan w:val="2"/>
                  <w:noWrap w:val="0"/>
                  <w:vAlign w:val="center"/>
                </w:tcPr>
                <w:p w14:paraId="5ECA09BA">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有组织排放</w:t>
                  </w:r>
                </w:p>
              </w:tc>
              <w:tc>
                <w:tcPr>
                  <w:tcW w:w="2920" w:type="dxa"/>
                  <w:vMerge w:val="restart"/>
                  <w:noWrap w:val="0"/>
                  <w:vAlign w:val="center"/>
                </w:tcPr>
                <w:p w14:paraId="1C6E5099">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恶臭污染物厂界标准值（mg/m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r>
            <w:tr w14:paraId="15CE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10" w:type="dxa"/>
                  <w:vMerge w:val="continue"/>
                  <w:noWrap w:val="0"/>
                  <w:vAlign w:val="center"/>
                </w:tcPr>
                <w:p w14:paraId="6282002B">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180" w:type="dxa"/>
                  <w:vMerge w:val="continue"/>
                  <w:noWrap w:val="0"/>
                  <w:vAlign w:val="center"/>
                </w:tcPr>
                <w:p w14:paraId="487113D8">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672" w:type="dxa"/>
                  <w:noWrap w:val="0"/>
                  <w:vAlign w:val="center"/>
                </w:tcPr>
                <w:p w14:paraId="51A5BC94">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排气筒高度m</w:t>
                  </w:r>
                </w:p>
              </w:tc>
              <w:tc>
                <w:tcPr>
                  <w:tcW w:w="2377" w:type="dxa"/>
                  <w:noWrap w:val="0"/>
                  <w:vAlign w:val="center"/>
                </w:tcPr>
                <w:p w14:paraId="0D48E66E">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臭气浓度标准值，kg/h</w:t>
                  </w:r>
                </w:p>
              </w:tc>
              <w:tc>
                <w:tcPr>
                  <w:tcW w:w="2920" w:type="dxa"/>
                  <w:vMerge w:val="continue"/>
                  <w:noWrap w:val="0"/>
                  <w:vAlign w:val="center"/>
                </w:tcPr>
                <w:p w14:paraId="702B220D">
                  <w:pPr>
                    <w:spacing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r>
            <w:tr w14:paraId="500E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10" w:type="dxa"/>
                  <w:noWrap w:val="0"/>
                  <w:vAlign w:val="center"/>
                </w:tcPr>
                <w:p w14:paraId="1416E151">
                  <w:pPr>
                    <w:spacing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180" w:type="dxa"/>
                  <w:noWrap w:val="0"/>
                  <w:vAlign w:val="center"/>
                </w:tcPr>
                <w:p w14:paraId="63D1B0D4">
                  <w:pPr>
                    <w:spacing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臭气浓度</w:t>
                  </w:r>
                </w:p>
              </w:tc>
              <w:tc>
                <w:tcPr>
                  <w:tcW w:w="1672" w:type="dxa"/>
                  <w:noWrap w:val="0"/>
                  <w:vAlign w:val="center"/>
                </w:tcPr>
                <w:p w14:paraId="527C48A8">
                  <w:pPr>
                    <w:spacing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2377" w:type="dxa"/>
                  <w:noWrap w:val="0"/>
                  <w:vAlign w:val="center"/>
                </w:tcPr>
                <w:p w14:paraId="23DE416D">
                  <w:pPr>
                    <w:spacing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2000</w:t>
                  </w:r>
                  <w:r>
                    <w:rPr>
                      <w:rFonts w:hint="default" w:ascii="Times New Roman" w:hAnsi="Times New Roman" w:cs="Times New Roman"/>
                      <w:b w:val="0"/>
                      <w:bCs w:val="0"/>
                      <w:color w:val="000000" w:themeColor="text1"/>
                      <w:sz w:val="21"/>
                      <w:szCs w:val="21"/>
                      <w:highlight w:val="none"/>
                      <w14:textFill>
                        <w14:solidFill>
                          <w14:schemeClr w14:val="tx1"/>
                        </w14:solidFill>
                      </w14:textFill>
                    </w:rPr>
                    <w:t>（无量纲）</w:t>
                  </w:r>
                </w:p>
              </w:tc>
              <w:tc>
                <w:tcPr>
                  <w:tcW w:w="2920" w:type="dxa"/>
                  <w:noWrap w:val="0"/>
                  <w:vAlign w:val="center"/>
                </w:tcPr>
                <w:p w14:paraId="5FF03AED">
                  <w:pPr>
                    <w:spacing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default" w:ascii="Times New Roman" w:hAnsi="Times New Roman" w:cs="Times New Roman"/>
                      <w:b w:val="0"/>
                      <w:bCs w:val="0"/>
                      <w:color w:val="000000" w:themeColor="text1"/>
                      <w:sz w:val="21"/>
                      <w:szCs w:val="21"/>
                      <w:highlight w:val="none"/>
                      <w14:textFill>
                        <w14:solidFill>
                          <w14:schemeClr w14:val="tx1"/>
                        </w14:solidFill>
                      </w14:textFill>
                    </w:rPr>
                    <w:t>（无量纲）</w:t>
                  </w:r>
                </w:p>
              </w:tc>
            </w:tr>
            <w:tr w14:paraId="7C4E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10" w:type="dxa"/>
                  <w:shd w:val="clear" w:color="auto" w:fill="auto"/>
                  <w:noWrap w:val="0"/>
                  <w:vAlign w:val="center"/>
                </w:tcPr>
                <w:p w14:paraId="7A93DB3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180" w:type="dxa"/>
                  <w:shd w:val="clear" w:color="auto" w:fill="auto"/>
                  <w:noWrap w:val="0"/>
                  <w:vAlign w:val="center"/>
                </w:tcPr>
                <w:p w14:paraId="23CF46FD">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氨</w:t>
                  </w:r>
                </w:p>
              </w:tc>
              <w:tc>
                <w:tcPr>
                  <w:tcW w:w="1672" w:type="dxa"/>
                  <w:shd w:val="clear" w:color="auto" w:fill="auto"/>
                  <w:noWrap w:val="0"/>
                  <w:vAlign w:val="center"/>
                </w:tcPr>
                <w:p w14:paraId="4089A0C6">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2377" w:type="dxa"/>
                  <w:shd w:val="clear" w:color="auto" w:fill="auto"/>
                  <w:noWrap w:val="0"/>
                  <w:vAlign w:val="center"/>
                </w:tcPr>
                <w:p w14:paraId="0A3D5B6E">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w:t>
                  </w:r>
                </w:p>
              </w:tc>
              <w:tc>
                <w:tcPr>
                  <w:tcW w:w="2920" w:type="dxa"/>
                  <w:shd w:val="clear" w:color="auto" w:fill="auto"/>
                  <w:noWrap w:val="0"/>
                  <w:vAlign w:val="center"/>
                </w:tcPr>
                <w:p w14:paraId="3FF697CA">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r>
            <w:tr w14:paraId="4B86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10" w:type="dxa"/>
                  <w:shd w:val="clear" w:color="auto" w:fill="auto"/>
                  <w:noWrap w:val="0"/>
                  <w:vAlign w:val="center"/>
                </w:tcPr>
                <w:p w14:paraId="2261C6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180" w:type="dxa"/>
                  <w:shd w:val="clear" w:color="auto" w:fill="auto"/>
                  <w:noWrap w:val="0"/>
                  <w:vAlign w:val="center"/>
                </w:tcPr>
                <w:p w14:paraId="52890871">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硫化氢</w:t>
                  </w:r>
                </w:p>
              </w:tc>
              <w:tc>
                <w:tcPr>
                  <w:tcW w:w="1672" w:type="dxa"/>
                  <w:shd w:val="clear" w:color="auto" w:fill="auto"/>
                  <w:noWrap w:val="0"/>
                  <w:vAlign w:val="center"/>
                </w:tcPr>
                <w:p w14:paraId="1D689F38">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2377" w:type="dxa"/>
                  <w:shd w:val="clear" w:color="auto" w:fill="auto"/>
                  <w:noWrap w:val="0"/>
                  <w:vAlign w:val="center"/>
                </w:tcPr>
                <w:p w14:paraId="65EE6211">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0.33</w:t>
                  </w:r>
                </w:p>
              </w:tc>
              <w:tc>
                <w:tcPr>
                  <w:tcW w:w="2920" w:type="dxa"/>
                  <w:shd w:val="clear" w:color="auto" w:fill="auto"/>
                  <w:noWrap w:val="0"/>
                  <w:vAlign w:val="center"/>
                </w:tcPr>
                <w:p w14:paraId="3F73065D">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0.06</w:t>
                  </w:r>
                </w:p>
              </w:tc>
            </w:tr>
          </w:tbl>
          <w:p w14:paraId="22C84F87">
            <w:pPr>
              <w:ind w:left="0" w:leftChars="0" w:firstLine="482" w:firstLineChars="200"/>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lang w:val="en-US" w:eastAsia="zh-CN"/>
                <w14:textFill>
                  <w14:solidFill>
                    <w14:schemeClr w14:val="tx1"/>
                  </w14:solidFill>
                </w14:textFill>
              </w:rPr>
              <w:t>2、</w:t>
            </w:r>
            <w:r>
              <w:rPr>
                <w:b/>
                <w:color w:val="000000" w:themeColor="text1"/>
                <w:kern w:val="0"/>
                <w:szCs w:val="21"/>
                <w:highlight w:val="none"/>
                <w14:textFill>
                  <w14:solidFill>
                    <w14:schemeClr w14:val="tx1"/>
                  </w14:solidFill>
                </w14:textFill>
              </w:rPr>
              <w:t>废水污染物排放标准</w:t>
            </w:r>
          </w:p>
          <w:p w14:paraId="5578C0EC">
            <w:pPr>
              <w:ind w:firstLine="480"/>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本</w:t>
            </w:r>
            <w:r>
              <w:rPr>
                <w:color w:val="000000" w:themeColor="text1"/>
                <w:kern w:val="0"/>
                <w:szCs w:val="21"/>
                <w:highlight w:val="none"/>
                <w14:textFill>
                  <w14:solidFill>
                    <w14:schemeClr w14:val="tx1"/>
                  </w14:solidFill>
                </w14:textFill>
              </w:rPr>
              <w:t>项目主要废水为生活污水</w:t>
            </w:r>
            <w:r>
              <w:rPr>
                <w:rFonts w:hint="eastAsia"/>
                <w:color w:val="000000" w:themeColor="text1"/>
                <w:kern w:val="0"/>
                <w:szCs w:val="21"/>
                <w:highlight w:val="none"/>
                <w14:textFill>
                  <w14:solidFill>
                    <w14:schemeClr w14:val="tx1"/>
                  </w14:solidFill>
                </w14:textFill>
              </w:rPr>
              <w:t>、食堂废水和</w:t>
            </w:r>
            <w:r>
              <w:rPr>
                <w:color w:val="000000" w:themeColor="text1"/>
                <w:kern w:val="0"/>
                <w:szCs w:val="21"/>
                <w:highlight w:val="none"/>
                <w14:textFill>
                  <w14:solidFill>
                    <w14:schemeClr w14:val="tx1"/>
                  </w14:solidFill>
                </w14:textFill>
              </w:rPr>
              <w:t>生产废水</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生产废水</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生活污水</w:t>
            </w:r>
            <w:r>
              <w:rPr>
                <w:rFonts w:hint="eastAsia"/>
                <w:color w:val="000000" w:themeColor="text1"/>
                <w:kern w:val="0"/>
                <w:szCs w:val="21"/>
                <w:highlight w:val="none"/>
                <w14:textFill>
                  <w14:solidFill>
                    <w14:schemeClr w14:val="tx1"/>
                  </w14:solidFill>
                </w14:textFill>
              </w:rPr>
              <w:t>、食堂废水</w:t>
            </w:r>
            <w:r>
              <w:rPr>
                <w:rFonts w:hint="eastAsia"/>
                <w:color w:val="000000" w:themeColor="text1"/>
                <w:highlight w:val="none"/>
                <w14:textFill>
                  <w14:solidFill>
                    <w14:schemeClr w14:val="tx1"/>
                  </w14:solidFill>
                </w14:textFill>
              </w:rPr>
              <w:t>经</w:t>
            </w:r>
            <w:r>
              <w:rPr>
                <w:color w:val="000000" w:themeColor="text1"/>
                <w:highlight w:val="none"/>
                <w14:textFill>
                  <w14:solidFill>
                    <w14:schemeClr w14:val="tx1"/>
                  </w14:solidFill>
                </w14:textFill>
              </w:rPr>
              <w:t>厂区</w:t>
            </w:r>
            <w:r>
              <w:rPr>
                <w:rFonts w:hint="eastAsia"/>
                <w:color w:val="000000" w:themeColor="text1"/>
                <w:highlight w:val="none"/>
                <w14:textFill>
                  <w14:solidFill>
                    <w14:schemeClr w14:val="tx1"/>
                  </w14:solidFill>
                </w14:textFill>
              </w:rPr>
              <w:t>污水处理</w:t>
            </w:r>
            <w:r>
              <w:rPr>
                <w:color w:val="000000" w:themeColor="text1"/>
                <w:highlight w:val="none"/>
                <w14:textFill>
                  <w14:solidFill>
                    <w14:schemeClr w14:val="tx1"/>
                  </w14:solidFill>
                </w14:textFill>
              </w:rPr>
              <w:t>站处理</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COD、BOD</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、SS、动植物油执行《肉类加工工业水污染物排放标准》（GB13457-92）表3中肉制品加工三级标准</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氨氮、总磷、总氮执行《污水排入城镇下水道水质标准》（</w:t>
            </w:r>
            <w:r>
              <w:rPr>
                <w:rFonts w:hint="default" w:ascii="Times New Roman" w:hAnsi="Times New Roman" w:eastAsia="宋体" w:cs="Times New Roman"/>
                <w:color w:val="000000" w:themeColor="text1"/>
                <w:sz w:val="24"/>
                <w:szCs w:val="24"/>
                <w:highlight w:val="none"/>
                <w14:textFill>
                  <w14:solidFill>
                    <w14:schemeClr w14:val="tx1"/>
                  </w14:solidFill>
                </w14:textFill>
              </w:rPr>
              <w:t>GB/T 31962-2015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）B级标准</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LAS执行《污水综合排放标准》（GB8978-96）中三级标准</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处理达</w:t>
            </w:r>
            <w:r>
              <w:rPr>
                <w:rFonts w:hint="eastAsia"/>
                <w:color w:val="000000" w:themeColor="text1"/>
                <w:kern w:val="0"/>
                <w:szCs w:val="21"/>
                <w:highlight w:val="none"/>
                <w:lang w:eastAsia="zh-CN"/>
                <w14:textFill>
                  <w14:solidFill>
                    <w14:schemeClr w14:val="tx1"/>
                  </w14:solidFill>
                </w14:textFill>
              </w:rPr>
              <w:t>标</w:t>
            </w:r>
            <w:r>
              <w:rPr>
                <w:color w:val="000000" w:themeColor="text1"/>
                <w:kern w:val="0"/>
                <w:szCs w:val="21"/>
                <w:highlight w:val="none"/>
                <w14:textFill>
                  <w14:solidFill>
                    <w14:schemeClr w14:val="tx1"/>
                  </w14:solidFill>
                </w14:textFill>
              </w:rPr>
              <w:t>后</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接入市政管网排至</w:t>
            </w:r>
            <w:r>
              <w:rPr>
                <w:rFonts w:hint="eastAsia"/>
                <w:color w:val="000000" w:themeColor="text1"/>
                <w:highlight w:val="none"/>
                <w14:textFill>
                  <w14:solidFill>
                    <w14:schemeClr w14:val="tx1"/>
                  </w14:solidFill>
                </w14:textFill>
              </w:rPr>
              <w:t>园区污水</w:t>
            </w:r>
            <w:r>
              <w:rPr>
                <w:color w:val="000000" w:themeColor="text1"/>
                <w:highlight w:val="none"/>
                <w14:textFill>
                  <w14:solidFill>
                    <w14:schemeClr w14:val="tx1"/>
                  </w14:solidFill>
                </w14:textFill>
              </w:rPr>
              <w:t>处理厂</w:t>
            </w:r>
            <w:r>
              <w:rPr>
                <w:rFonts w:hint="eastAsia"/>
                <w:color w:val="000000" w:themeColor="text1"/>
                <w:highlight w:val="none"/>
                <w14:textFill>
                  <w14:solidFill>
                    <w14:schemeClr w14:val="tx1"/>
                  </w14:solidFill>
                </w14:textFill>
              </w:rPr>
              <w:t>，最终处理达到《城镇污水处理厂污染物排放标准》（GB18918-2002）一级B标准后排入建梁河，最后汇入嘉陵江。</w:t>
            </w:r>
          </w:p>
          <w:p w14:paraId="5E7AF9D1">
            <w:pPr>
              <w:pStyle w:val="44"/>
              <w:spacing w:before="0" w:beforeLine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 xml:space="preserve">  水污染物排放标准    单位：mg/L</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4244"/>
              <w:gridCol w:w="3268"/>
            </w:tblGrid>
            <w:tr w14:paraId="136F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58327E6A">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污染物种类</w:t>
                  </w:r>
                </w:p>
              </w:tc>
              <w:tc>
                <w:tcPr>
                  <w:tcW w:w="2343" w:type="pct"/>
                  <w:vAlign w:val="center"/>
                </w:tcPr>
                <w:p w14:paraId="7878040E">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《肉类加工工业水污染物排放标准》（GB13457-92）表3中肉制品加工三级标准</w:t>
                  </w:r>
                </w:p>
              </w:tc>
              <w:tc>
                <w:tcPr>
                  <w:tcW w:w="1804" w:type="pct"/>
                  <w:vAlign w:val="center"/>
                </w:tcPr>
                <w:p w14:paraId="3F8E0942">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《城镇污水处理厂污染物排放标准》GB18918-2002一级B标准</w:t>
                  </w:r>
                </w:p>
              </w:tc>
            </w:tr>
            <w:tr w14:paraId="6F58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1F142429">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w:t>
                  </w:r>
                </w:p>
              </w:tc>
              <w:tc>
                <w:tcPr>
                  <w:tcW w:w="2343" w:type="pct"/>
                  <w:vAlign w:val="center"/>
                </w:tcPr>
                <w:p w14:paraId="3F4FBB02">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500</w:t>
                  </w:r>
                </w:p>
              </w:tc>
              <w:tc>
                <w:tcPr>
                  <w:tcW w:w="1804" w:type="pct"/>
                  <w:vAlign w:val="center"/>
                </w:tcPr>
                <w:p w14:paraId="08883683">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60</w:t>
                  </w:r>
                </w:p>
              </w:tc>
            </w:tr>
            <w:tr w14:paraId="4A4B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73B4D1F7">
                  <w:pPr>
                    <w:pStyle w:val="45"/>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BOD</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5</w:t>
                  </w:r>
                </w:p>
              </w:tc>
              <w:tc>
                <w:tcPr>
                  <w:tcW w:w="2343" w:type="pct"/>
                  <w:vAlign w:val="center"/>
                </w:tcPr>
                <w:p w14:paraId="790C0E52">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300</w:t>
                  </w:r>
                </w:p>
              </w:tc>
              <w:tc>
                <w:tcPr>
                  <w:tcW w:w="1804" w:type="pct"/>
                  <w:vAlign w:val="center"/>
                </w:tcPr>
                <w:p w14:paraId="53A21DFA">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w:t>
                  </w:r>
                </w:p>
              </w:tc>
            </w:tr>
            <w:tr w14:paraId="7DDA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032C5F0A">
                  <w:pPr>
                    <w:pStyle w:val="45"/>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SS</w:t>
                  </w:r>
                </w:p>
              </w:tc>
              <w:tc>
                <w:tcPr>
                  <w:tcW w:w="2343" w:type="pct"/>
                  <w:vAlign w:val="center"/>
                </w:tcPr>
                <w:p w14:paraId="68DDB029">
                  <w:pPr>
                    <w:pStyle w:val="4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350</w:t>
                  </w:r>
                </w:p>
              </w:tc>
              <w:tc>
                <w:tcPr>
                  <w:tcW w:w="1804" w:type="pct"/>
                  <w:vAlign w:val="center"/>
                </w:tcPr>
                <w:p w14:paraId="048BBF5B">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w:t>
                  </w:r>
                </w:p>
              </w:tc>
            </w:tr>
            <w:tr w14:paraId="1E06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18C7629D">
                  <w:pPr>
                    <w:pStyle w:val="45"/>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w:t>
                  </w:r>
                </w:p>
              </w:tc>
              <w:tc>
                <w:tcPr>
                  <w:tcW w:w="2343" w:type="pct"/>
                  <w:vAlign w:val="center"/>
                </w:tcPr>
                <w:p w14:paraId="32915DCD">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45</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①</w:t>
                  </w:r>
                </w:p>
              </w:tc>
              <w:tc>
                <w:tcPr>
                  <w:tcW w:w="1804" w:type="pct"/>
                  <w:vAlign w:val="center"/>
                </w:tcPr>
                <w:p w14:paraId="02922CDB">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8（15）</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②</w:t>
                  </w:r>
                </w:p>
              </w:tc>
            </w:tr>
            <w:tr w14:paraId="034A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46DA5F36">
                  <w:pPr>
                    <w:pStyle w:val="45"/>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总氮</w:t>
                  </w:r>
                </w:p>
              </w:tc>
              <w:tc>
                <w:tcPr>
                  <w:tcW w:w="2343" w:type="pct"/>
                  <w:vAlign w:val="center"/>
                </w:tcPr>
                <w:p w14:paraId="5528D1A0">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70</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①</w:t>
                  </w:r>
                </w:p>
              </w:tc>
              <w:tc>
                <w:tcPr>
                  <w:tcW w:w="1804" w:type="pct"/>
                  <w:vAlign w:val="center"/>
                </w:tcPr>
                <w:p w14:paraId="6C7C4CC6">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w:t>
                  </w:r>
                </w:p>
              </w:tc>
            </w:tr>
            <w:tr w14:paraId="32DB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438609DD">
                  <w:pPr>
                    <w:pStyle w:val="45"/>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总磷</w:t>
                  </w:r>
                </w:p>
              </w:tc>
              <w:tc>
                <w:tcPr>
                  <w:tcW w:w="2343" w:type="pct"/>
                  <w:vAlign w:val="center"/>
                </w:tcPr>
                <w:p w14:paraId="4B44F21F">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①</w:t>
                  </w:r>
                </w:p>
              </w:tc>
              <w:tc>
                <w:tcPr>
                  <w:tcW w:w="1804" w:type="pct"/>
                  <w:vAlign w:val="center"/>
                </w:tcPr>
                <w:p w14:paraId="5300FDF2">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r>
            <w:tr w14:paraId="1124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279A66B8">
                  <w:pPr>
                    <w:pStyle w:val="45"/>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动植物油</w:t>
                  </w:r>
                </w:p>
              </w:tc>
              <w:tc>
                <w:tcPr>
                  <w:tcW w:w="2343" w:type="pct"/>
                  <w:vAlign w:val="center"/>
                </w:tcPr>
                <w:p w14:paraId="5617E9D2">
                  <w:pPr>
                    <w:pStyle w:val="4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60</w:t>
                  </w:r>
                </w:p>
              </w:tc>
              <w:tc>
                <w:tcPr>
                  <w:tcW w:w="1804" w:type="pct"/>
                  <w:vAlign w:val="center"/>
                </w:tcPr>
                <w:p w14:paraId="41B36705">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r>
            <w:tr w14:paraId="6129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Align w:val="center"/>
                </w:tcPr>
                <w:p w14:paraId="5B0C3213">
                  <w:pPr>
                    <w:pStyle w:val="45"/>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LAS</w:t>
                  </w:r>
                </w:p>
              </w:tc>
              <w:tc>
                <w:tcPr>
                  <w:tcW w:w="2343" w:type="pct"/>
                  <w:vAlign w:val="center"/>
                </w:tcPr>
                <w:p w14:paraId="3A724E4E">
                  <w:pPr>
                    <w:pStyle w:val="45"/>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③</w:t>
                  </w:r>
                </w:p>
              </w:tc>
              <w:tc>
                <w:tcPr>
                  <w:tcW w:w="1804" w:type="pct"/>
                  <w:vAlign w:val="center"/>
                </w:tcPr>
                <w:p w14:paraId="4A74AC7D">
                  <w:pPr>
                    <w:pStyle w:val="4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r>
          </w:tbl>
          <w:p w14:paraId="7E2BCF6E">
            <w:pPr>
              <w:ind w:firstLine="360"/>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注：</w:t>
            </w:r>
            <w:r>
              <w:rPr>
                <w:color w:val="000000" w:themeColor="text1"/>
                <w:kern w:val="0"/>
                <w:sz w:val="18"/>
                <w:szCs w:val="18"/>
                <w:highlight w:val="none"/>
                <w14:textFill>
                  <w14:solidFill>
                    <w14:schemeClr w14:val="tx1"/>
                  </w14:solidFill>
                </w14:textFill>
              </w:rPr>
              <w:fldChar w:fldCharType="begin"/>
            </w:r>
            <w:r>
              <w:rPr>
                <w:color w:val="000000" w:themeColor="text1"/>
                <w:kern w:val="0"/>
                <w:sz w:val="18"/>
                <w:szCs w:val="18"/>
                <w:highlight w:val="none"/>
                <w14:textFill>
                  <w14:solidFill>
                    <w14:schemeClr w14:val="tx1"/>
                  </w14:solidFill>
                </w14:textFill>
              </w:rPr>
              <w:instrText xml:space="preserve"> = 1 \* GB3 </w:instrText>
            </w:r>
            <w:r>
              <w:rPr>
                <w:color w:val="000000" w:themeColor="text1"/>
                <w:kern w:val="0"/>
                <w:sz w:val="18"/>
                <w:szCs w:val="18"/>
                <w:highlight w:val="none"/>
                <w14:textFill>
                  <w14:solidFill>
                    <w14:schemeClr w14:val="tx1"/>
                  </w14:solidFill>
                </w14:textFill>
              </w:rPr>
              <w:fldChar w:fldCharType="separate"/>
            </w:r>
            <w:r>
              <w:rPr>
                <w:rFonts w:hint="eastAsia" w:ascii="宋体" w:hAnsi="宋体" w:cs="宋体"/>
                <w:color w:val="000000" w:themeColor="text1"/>
                <w:kern w:val="0"/>
                <w:sz w:val="18"/>
                <w:szCs w:val="18"/>
                <w:highlight w:val="none"/>
                <w14:textFill>
                  <w14:solidFill>
                    <w14:schemeClr w14:val="tx1"/>
                  </w14:solidFill>
                </w14:textFill>
              </w:rPr>
              <w:t>①</w:t>
            </w:r>
            <w:r>
              <w:rPr>
                <w:color w:val="000000" w:themeColor="text1"/>
                <w:kern w:val="0"/>
                <w:sz w:val="18"/>
                <w:szCs w:val="18"/>
                <w:highlight w:val="none"/>
                <w14:textFill>
                  <w14:solidFill>
                    <w14:schemeClr w14:val="tx1"/>
                  </w14:solidFill>
                </w14:textFill>
              </w:rPr>
              <w:fldChar w:fldCharType="end"/>
            </w:r>
            <w:r>
              <w:rPr>
                <w:color w:val="000000" w:themeColor="text1"/>
                <w:kern w:val="0"/>
                <w:sz w:val="18"/>
                <w:szCs w:val="18"/>
                <w:highlight w:val="none"/>
                <w14:textFill>
                  <w14:solidFill>
                    <w14:schemeClr w14:val="tx1"/>
                  </w14:solidFill>
                </w14:textFill>
              </w:rPr>
              <w:t>氨氮、</w:t>
            </w:r>
            <w:r>
              <w:rPr>
                <w:rFonts w:hint="eastAsia"/>
                <w:color w:val="000000" w:themeColor="text1"/>
                <w:kern w:val="0"/>
                <w:sz w:val="18"/>
                <w:szCs w:val="18"/>
                <w:highlight w:val="none"/>
                <w14:textFill>
                  <w14:solidFill>
                    <w14:schemeClr w14:val="tx1"/>
                  </w14:solidFill>
                </w14:textFill>
              </w:rPr>
              <w:t>总氮</w:t>
            </w:r>
            <w:r>
              <w:rPr>
                <w:color w:val="000000" w:themeColor="text1"/>
                <w:kern w:val="0"/>
                <w:sz w:val="18"/>
                <w:szCs w:val="18"/>
                <w:highlight w:val="none"/>
                <w14:textFill>
                  <w14:solidFill>
                    <w14:schemeClr w14:val="tx1"/>
                  </w14:solidFill>
                </w14:textFill>
              </w:rPr>
              <w:t>、总磷 执行《污水排入城镇下水道水质标准》（GB/T 31962-2015）。</w:t>
            </w:r>
          </w:p>
          <w:p w14:paraId="2D602561">
            <w:pPr>
              <w:ind w:firstLine="360"/>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fldChar w:fldCharType="begin"/>
            </w:r>
            <w:r>
              <w:rPr>
                <w:color w:val="000000" w:themeColor="text1"/>
                <w:kern w:val="0"/>
                <w:sz w:val="18"/>
                <w:szCs w:val="18"/>
                <w:highlight w:val="none"/>
                <w14:textFill>
                  <w14:solidFill>
                    <w14:schemeClr w14:val="tx1"/>
                  </w14:solidFill>
                </w14:textFill>
              </w:rPr>
              <w:instrText xml:space="preserve"> = 2 \* GB3 </w:instrText>
            </w:r>
            <w:r>
              <w:rPr>
                <w:color w:val="000000" w:themeColor="text1"/>
                <w:kern w:val="0"/>
                <w:sz w:val="18"/>
                <w:szCs w:val="18"/>
                <w:highlight w:val="none"/>
                <w14:textFill>
                  <w14:solidFill>
                    <w14:schemeClr w14:val="tx1"/>
                  </w14:solidFill>
                </w14:textFill>
              </w:rPr>
              <w:fldChar w:fldCharType="separate"/>
            </w:r>
            <w:r>
              <w:rPr>
                <w:rFonts w:hint="eastAsia" w:ascii="宋体" w:hAnsi="宋体" w:cs="宋体"/>
                <w:color w:val="000000" w:themeColor="text1"/>
                <w:kern w:val="0"/>
                <w:sz w:val="18"/>
                <w:szCs w:val="18"/>
                <w:highlight w:val="none"/>
                <w14:textFill>
                  <w14:solidFill>
                    <w14:schemeClr w14:val="tx1"/>
                  </w14:solidFill>
                </w14:textFill>
              </w:rPr>
              <w:t>②</w:t>
            </w:r>
            <w:r>
              <w:rPr>
                <w:color w:val="000000" w:themeColor="text1"/>
                <w:kern w:val="0"/>
                <w:sz w:val="18"/>
                <w:szCs w:val="18"/>
                <w:highlight w:val="none"/>
                <w14:textFill>
                  <w14:solidFill>
                    <w14:schemeClr w14:val="tx1"/>
                  </w14:solidFill>
                </w14:textFill>
              </w:rPr>
              <w:fldChar w:fldCharType="end"/>
            </w:r>
            <w:r>
              <w:rPr>
                <w:color w:val="000000" w:themeColor="text1"/>
                <w:kern w:val="0"/>
                <w:sz w:val="18"/>
                <w:szCs w:val="18"/>
                <w:highlight w:val="none"/>
                <w14:textFill>
                  <w14:solidFill>
                    <w14:schemeClr w14:val="tx1"/>
                  </w14:solidFill>
                </w14:textFill>
              </w:rPr>
              <w:t>括号外数值为水温&gt;12</w:t>
            </w:r>
            <w:r>
              <w:rPr>
                <w:rFonts w:hint="eastAsia" w:ascii="宋体" w:hAnsi="宋体" w:cs="宋体"/>
                <w:color w:val="000000" w:themeColor="text1"/>
                <w:kern w:val="0"/>
                <w:sz w:val="18"/>
                <w:szCs w:val="18"/>
                <w:highlight w:val="none"/>
                <w14:textFill>
                  <w14:solidFill>
                    <w14:schemeClr w14:val="tx1"/>
                  </w14:solidFill>
                </w14:textFill>
              </w:rPr>
              <w:t>℃</w:t>
            </w:r>
            <w:r>
              <w:rPr>
                <w:color w:val="000000" w:themeColor="text1"/>
                <w:kern w:val="0"/>
                <w:sz w:val="18"/>
                <w:szCs w:val="18"/>
                <w:highlight w:val="none"/>
                <w14:textFill>
                  <w14:solidFill>
                    <w14:schemeClr w14:val="tx1"/>
                  </w14:solidFill>
                </w14:textFill>
              </w:rPr>
              <w:t>时的控制指标，括号内数值为水温≤12</w:t>
            </w:r>
            <w:r>
              <w:rPr>
                <w:rFonts w:hint="eastAsia" w:ascii="宋体" w:hAnsi="宋体" w:cs="宋体"/>
                <w:color w:val="000000" w:themeColor="text1"/>
                <w:kern w:val="0"/>
                <w:sz w:val="18"/>
                <w:szCs w:val="18"/>
                <w:highlight w:val="none"/>
                <w14:textFill>
                  <w14:solidFill>
                    <w14:schemeClr w14:val="tx1"/>
                  </w14:solidFill>
                </w14:textFill>
              </w:rPr>
              <w:t>℃</w:t>
            </w:r>
            <w:r>
              <w:rPr>
                <w:color w:val="000000" w:themeColor="text1"/>
                <w:kern w:val="0"/>
                <w:sz w:val="18"/>
                <w:szCs w:val="18"/>
                <w:highlight w:val="none"/>
                <w14:textFill>
                  <w14:solidFill>
                    <w14:schemeClr w14:val="tx1"/>
                  </w14:solidFill>
                </w14:textFill>
              </w:rPr>
              <w:t>时的控制指标。</w:t>
            </w:r>
          </w:p>
          <w:p w14:paraId="168DF2EE">
            <w:pPr>
              <w:pStyle w:val="21"/>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③LAS执行《污水综合排放标准》（GB8978-96）中三级标准</w:t>
            </w:r>
            <w:r>
              <w:rPr>
                <w:rFonts w:hint="eastAsia" w:cs="Times New Roman"/>
                <w:color w:val="000000" w:themeColor="text1"/>
                <w:kern w:val="0"/>
                <w:sz w:val="18"/>
                <w:szCs w:val="18"/>
                <w:highlight w:val="none"/>
                <w:lang w:val="en-US" w:eastAsia="zh-CN" w:bidi="ar-SA"/>
                <w14:textFill>
                  <w14:solidFill>
                    <w14:schemeClr w14:val="tx1"/>
                  </w14:solidFill>
                </w14:textFill>
              </w:rPr>
              <w:t>。</w:t>
            </w:r>
          </w:p>
          <w:p w14:paraId="4BFE08B2">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lang w:val="en-US" w:eastAsia="zh-CN"/>
                <w14:textFill>
                  <w14:solidFill>
                    <w14:schemeClr w14:val="tx1"/>
                  </w14:solidFill>
                </w14:textFill>
              </w:rPr>
              <w:t>3、</w:t>
            </w:r>
            <w:r>
              <w:rPr>
                <w:b/>
                <w:color w:val="000000" w:themeColor="text1"/>
                <w:kern w:val="0"/>
                <w:szCs w:val="21"/>
                <w:highlight w:val="none"/>
                <w14:textFill>
                  <w14:solidFill>
                    <w14:schemeClr w14:val="tx1"/>
                  </w14:solidFill>
                </w14:textFill>
              </w:rPr>
              <w:t>噪声排放标准</w:t>
            </w:r>
          </w:p>
          <w:p w14:paraId="0893129A">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color w:val="000000" w:themeColor="text1"/>
                <w:kern w:val="0"/>
                <w:sz w:val="24"/>
                <w:highlight w:val="none"/>
                <w14:textFill>
                  <w14:solidFill>
                    <w14:schemeClr w14:val="tx1"/>
                  </w14:solidFill>
                </w14:textFill>
              </w:rPr>
              <w:t>施工期噪声执行《建筑施工场界环境噪声排放标准》（GB12523-2011）</w:t>
            </w:r>
            <w:r>
              <w:rPr>
                <w:rFonts w:hint="eastAsia"/>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具体标准限值见表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F3045ED">
            <w:pPr>
              <w:spacing w:line="240" w:lineRule="auto"/>
              <w:ind w:firstLine="0" w:firstLineChars="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表3.</w:t>
            </w:r>
            <w:r>
              <w:rPr>
                <w:rFonts w:hint="eastAsia"/>
                <w:b/>
                <w:bCs/>
                <w:color w:val="000000" w:themeColor="text1"/>
                <w:highlight w:val="none"/>
                <w:lang w:val="en-US" w:eastAsia="zh-CN"/>
                <w14:textFill>
                  <w14:solidFill>
                    <w14:schemeClr w14:val="tx1"/>
                  </w14:solidFill>
                </w14:textFill>
              </w:rPr>
              <w:t>7</w:t>
            </w:r>
            <w:r>
              <w:rPr>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6</w:t>
            </w:r>
            <w:r>
              <w:rPr>
                <w:b/>
                <w:bCs/>
                <w:color w:val="000000" w:themeColor="text1"/>
                <w:highlight w:val="none"/>
                <w14:textFill>
                  <w14:solidFill>
                    <w14:schemeClr w14:val="tx1"/>
                  </w14:solidFill>
                </w14:textFill>
              </w:rPr>
              <w:t xml:space="preserve">  建筑施工场界环境噪声排放标准</w:t>
            </w:r>
            <w:r>
              <w:rPr>
                <w:rFonts w:hint="eastAsia"/>
                <w:b/>
                <w:bCs/>
                <w:color w:val="000000" w:themeColor="text1"/>
                <w:highlight w:val="none"/>
                <w14:textFill>
                  <w14:solidFill>
                    <w14:schemeClr w14:val="tx1"/>
                  </w14:solidFill>
                </w14:textFill>
              </w:rPr>
              <w:t xml:space="preserve"> </w:t>
            </w:r>
            <w:r>
              <w:rPr>
                <w:b/>
                <w:bCs/>
                <w:color w:val="000000" w:themeColor="text1"/>
                <w:highlight w:val="none"/>
                <w14:textFill>
                  <w14:solidFill>
                    <w14:schemeClr w14:val="tx1"/>
                  </w14:solidFill>
                </w14:textFill>
              </w:rPr>
              <w:t xml:space="preserve">  </w:t>
            </w:r>
            <w:r>
              <w:rPr>
                <w:rFonts w:hint="eastAsia"/>
                <w:b/>
                <w:bCs/>
                <w:color w:val="000000" w:themeColor="text1"/>
                <w:highlight w:val="none"/>
                <w:lang w:val="en-US" w:eastAsia="zh-CN"/>
                <w14:textFill>
                  <w14:solidFill>
                    <w14:schemeClr w14:val="tx1"/>
                  </w14:solidFill>
                </w14:textFill>
              </w:rPr>
              <w:t xml:space="preserve"> </w:t>
            </w:r>
            <w:r>
              <w:rPr>
                <w:b/>
                <w:bCs/>
                <w:color w:val="000000" w:themeColor="text1"/>
                <w:highlight w:val="none"/>
                <w14:textFill>
                  <w14:solidFill>
                    <w14:schemeClr w14:val="tx1"/>
                  </w14:solidFill>
                </w14:textFill>
              </w:rPr>
              <w:t>单位：dB（A）</w:t>
            </w:r>
          </w:p>
          <w:tbl>
            <w:tblPr>
              <w:tblStyle w:val="2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26"/>
              <w:gridCol w:w="4527"/>
            </w:tblGrid>
            <w:tr w14:paraId="03035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5" w:type="dxa"/>
                  <w:tcBorders>
                    <w:tl2br w:val="nil"/>
                    <w:tr2bl w:val="nil"/>
                  </w:tcBorders>
                  <w:noWrap w:val="0"/>
                  <w:vAlign w:val="center"/>
                </w:tcPr>
                <w:p w14:paraId="7E9DF58A">
                  <w:pPr>
                    <w:pStyle w:val="4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2946" w:type="dxa"/>
                  <w:tcBorders>
                    <w:tl2br w:val="nil"/>
                    <w:tr2bl w:val="nil"/>
                  </w:tcBorders>
                  <w:noWrap w:val="0"/>
                  <w:vAlign w:val="center"/>
                </w:tcPr>
                <w:p w14:paraId="7B99025C">
                  <w:pPr>
                    <w:pStyle w:val="45"/>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r>
            <w:tr w14:paraId="58C44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5" w:type="dxa"/>
                  <w:tcBorders>
                    <w:tl2br w:val="nil"/>
                    <w:tr2bl w:val="nil"/>
                  </w:tcBorders>
                  <w:noWrap w:val="0"/>
                  <w:vAlign w:val="center"/>
                </w:tcPr>
                <w:p w14:paraId="537C228A">
                  <w:pPr>
                    <w:pStyle w:val="45"/>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70</w:t>
                  </w:r>
                </w:p>
              </w:tc>
              <w:tc>
                <w:tcPr>
                  <w:tcW w:w="2946" w:type="dxa"/>
                  <w:tcBorders>
                    <w:tl2br w:val="nil"/>
                    <w:tr2bl w:val="nil"/>
                  </w:tcBorders>
                  <w:noWrap w:val="0"/>
                  <w:vAlign w:val="center"/>
                </w:tcPr>
                <w:p w14:paraId="6634B3C8">
                  <w:pPr>
                    <w:pStyle w:val="45"/>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55</w:t>
                  </w:r>
                </w:p>
              </w:tc>
            </w:tr>
          </w:tbl>
          <w:p w14:paraId="4BA43217">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厂界北侧、东侧、西侧</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噪声执行《工业企业厂界环境噪声排放标准》（GB12348-2008）中3类，厂界南侧紧挨福山路，福山路位于声环境</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4a</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类区</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，因此</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厂界</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南侧噪声执行《工业企业厂界环境噪声排放标准》（GB12348-2008</w:t>
            </w:r>
            <w:r>
              <w:rPr>
                <w:color w:val="000000" w:themeColor="text1"/>
                <w:kern w:val="0"/>
                <w:szCs w:val="21"/>
                <w:highlight w:val="none"/>
                <w14:textFill>
                  <w14:solidFill>
                    <w14:schemeClr w14:val="tx1"/>
                  </w14:solidFill>
                </w14:textFill>
              </w:rPr>
              <w:t>）中</w:t>
            </w:r>
            <w:r>
              <w:rPr>
                <w:rFonts w:hint="eastAsia"/>
                <w:color w:val="000000" w:themeColor="text1"/>
                <w:kern w:val="0"/>
                <w:szCs w:val="21"/>
                <w:highlight w:val="none"/>
                <w:lang w:val="en-US" w:eastAsia="zh-CN"/>
                <w14:textFill>
                  <w14:solidFill>
                    <w14:schemeClr w14:val="tx1"/>
                  </w14:solidFill>
                </w14:textFill>
              </w:rPr>
              <w:t>4类</w:t>
            </w:r>
            <w:r>
              <w:rPr>
                <w:color w:val="000000" w:themeColor="text1"/>
                <w:kern w:val="0"/>
                <w:szCs w:val="21"/>
                <w:highlight w:val="none"/>
                <w14:textFill>
                  <w14:solidFill>
                    <w14:schemeClr w14:val="tx1"/>
                  </w14:solidFill>
                </w14:textFill>
              </w:rPr>
              <w:t>标准，具体排放限值详见下表。</w:t>
            </w:r>
          </w:p>
          <w:p w14:paraId="03B255B3">
            <w:pPr>
              <w:pStyle w:val="4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 xml:space="preserve">  工业企业厂界环境噪声排放标准    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3270"/>
              <w:gridCol w:w="2220"/>
              <w:gridCol w:w="2164"/>
            </w:tblGrid>
            <w:tr w14:paraId="2F0E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04" w:type="dxa"/>
                  <w:vAlign w:val="center"/>
                </w:tcPr>
                <w:p w14:paraId="74815788">
                  <w:pPr>
                    <w:pStyle w:val="45"/>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类别</w:t>
                  </w:r>
                </w:p>
              </w:tc>
              <w:tc>
                <w:tcPr>
                  <w:tcW w:w="3270" w:type="dxa"/>
                  <w:vAlign w:val="center"/>
                </w:tcPr>
                <w:p w14:paraId="7EF036DB">
                  <w:pPr>
                    <w:pStyle w:val="45"/>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适用区域</w:t>
                  </w:r>
                </w:p>
              </w:tc>
              <w:tc>
                <w:tcPr>
                  <w:tcW w:w="2220" w:type="dxa"/>
                  <w:vAlign w:val="center"/>
                </w:tcPr>
                <w:p w14:paraId="403E40F0">
                  <w:pPr>
                    <w:pStyle w:val="45"/>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昼间</w:t>
                  </w:r>
                </w:p>
              </w:tc>
              <w:tc>
                <w:tcPr>
                  <w:tcW w:w="2164" w:type="dxa"/>
                  <w:vAlign w:val="center"/>
                </w:tcPr>
                <w:p w14:paraId="25F554BC">
                  <w:pPr>
                    <w:pStyle w:val="45"/>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夜间</w:t>
                  </w:r>
                </w:p>
              </w:tc>
            </w:tr>
            <w:tr w14:paraId="6937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4" w:type="dxa"/>
                  <w:vAlign w:val="center"/>
                </w:tcPr>
                <w:p w14:paraId="159EFEE4">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3类</w:t>
                  </w:r>
                </w:p>
              </w:tc>
              <w:tc>
                <w:tcPr>
                  <w:tcW w:w="3270" w:type="dxa"/>
                  <w:vAlign w:val="center"/>
                </w:tcPr>
                <w:p w14:paraId="461FF765">
                  <w:pPr>
                    <w:pStyle w:val="45"/>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厂界</w:t>
                  </w:r>
                  <w:r>
                    <w:rPr>
                      <w:rFonts w:hint="default" w:ascii="Times New Roman" w:hAnsi="Times New Roman" w:cs="Times New Roman"/>
                      <w:color w:val="000000" w:themeColor="text1"/>
                      <w:sz w:val="21"/>
                      <w:szCs w:val="21"/>
                      <w:highlight w:val="none"/>
                      <w:lang w:eastAsia="zh-CN"/>
                      <w14:textFill>
                        <w14:solidFill>
                          <w14:schemeClr w14:val="tx1"/>
                        </w14:solidFill>
                      </w14:textFill>
                    </w:rPr>
                    <w:t>北侧、东侧、西侧</w:t>
                  </w:r>
                </w:p>
              </w:tc>
              <w:tc>
                <w:tcPr>
                  <w:tcW w:w="2220" w:type="dxa"/>
                  <w:vAlign w:val="center"/>
                </w:tcPr>
                <w:p w14:paraId="160876EB">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65</w:t>
                  </w:r>
                </w:p>
              </w:tc>
              <w:tc>
                <w:tcPr>
                  <w:tcW w:w="2164" w:type="dxa"/>
                  <w:vAlign w:val="center"/>
                </w:tcPr>
                <w:p w14:paraId="3FBD8DF2">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55</w:t>
                  </w:r>
                </w:p>
              </w:tc>
            </w:tr>
            <w:tr w14:paraId="3A3A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4" w:type="dxa"/>
                  <w:vAlign w:val="center"/>
                </w:tcPr>
                <w:p w14:paraId="590DA85D">
                  <w:pPr>
                    <w:pStyle w:val="4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4类</w:t>
                  </w:r>
                </w:p>
              </w:tc>
              <w:tc>
                <w:tcPr>
                  <w:tcW w:w="3270" w:type="dxa"/>
                  <w:vAlign w:val="center"/>
                </w:tcPr>
                <w:p w14:paraId="3366BA7F">
                  <w:pPr>
                    <w:pStyle w:val="45"/>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厂界</w:t>
                  </w:r>
                  <w:r>
                    <w:rPr>
                      <w:rFonts w:hint="default" w:ascii="Times New Roman" w:hAnsi="Times New Roman" w:cs="Times New Roman"/>
                      <w:color w:val="000000" w:themeColor="text1"/>
                      <w:sz w:val="21"/>
                      <w:szCs w:val="21"/>
                      <w:highlight w:val="none"/>
                      <w:lang w:eastAsia="zh-CN"/>
                      <w14:textFill>
                        <w14:solidFill>
                          <w14:schemeClr w14:val="tx1"/>
                        </w14:solidFill>
                      </w14:textFill>
                    </w:rPr>
                    <w:t>南侧</w:t>
                  </w:r>
                </w:p>
              </w:tc>
              <w:tc>
                <w:tcPr>
                  <w:tcW w:w="2220" w:type="dxa"/>
                  <w:vAlign w:val="center"/>
                </w:tcPr>
                <w:p w14:paraId="649E51E0">
                  <w:pPr>
                    <w:pStyle w:val="4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70</w:t>
                  </w:r>
                </w:p>
              </w:tc>
              <w:tc>
                <w:tcPr>
                  <w:tcW w:w="2164" w:type="dxa"/>
                  <w:vAlign w:val="center"/>
                </w:tcPr>
                <w:p w14:paraId="63BBC8B3">
                  <w:pPr>
                    <w:pStyle w:val="45"/>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r>
          </w:tbl>
          <w:p w14:paraId="42D4D846">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b/>
                <w:color w:val="000000" w:themeColor="text1"/>
                <w:kern w:val="0"/>
                <w:szCs w:val="21"/>
                <w:highlight w:val="none"/>
                <w14:textFill>
                  <w14:solidFill>
                    <w14:schemeClr w14:val="tx1"/>
                  </w14:solidFill>
                </w14:textFill>
              </w:rPr>
            </w:pPr>
            <w:r>
              <w:rPr>
                <w:rFonts w:hint="eastAsia"/>
                <w:b/>
                <w:color w:val="000000" w:themeColor="text1"/>
                <w:kern w:val="0"/>
                <w:szCs w:val="21"/>
                <w:highlight w:val="none"/>
                <w:lang w:val="en-US" w:eastAsia="zh-CN"/>
                <w14:textFill>
                  <w14:solidFill>
                    <w14:schemeClr w14:val="tx1"/>
                  </w14:solidFill>
                </w14:textFill>
              </w:rPr>
              <w:t>4、</w:t>
            </w:r>
            <w:r>
              <w:rPr>
                <w:b/>
                <w:color w:val="000000" w:themeColor="text1"/>
                <w:kern w:val="0"/>
                <w:szCs w:val="21"/>
                <w:highlight w:val="none"/>
                <w14:textFill>
                  <w14:solidFill>
                    <w14:schemeClr w14:val="tx1"/>
                  </w14:solidFill>
                </w14:textFill>
              </w:rPr>
              <w:t>固体废物</w:t>
            </w:r>
          </w:p>
          <w:p w14:paraId="77033A58">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一般工业固体废物贮存和填埋污染控制标准》（GB18599-2020）中要求，采用库房、包装工具（罐、桶、包装袋等）贮存一般工业固体废物过程的污染控制，不适用GB18599-2020时，其贮存过程应满足相应防渗漏、防雨淋、防扬尘等环境保护要求。同时一般固体废物分类执行《固体废物分类与代码目录》（生态环境部 公告2024年第4号）相关要求。</w:t>
            </w:r>
          </w:p>
        </w:tc>
      </w:tr>
      <w:tr w14:paraId="5F575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8" w:hRule="atLeast"/>
          <w:jc w:val="center"/>
        </w:trPr>
        <w:tc>
          <w:tcPr>
            <w:tcW w:w="557" w:type="dxa"/>
            <w:vAlign w:val="center"/>
          </w:tcPr>
          <w:p w14:paraId="2BE524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总量控制指标</w:t>
            </w:r>
          </w:p>
        </w:tc>
        <w:tc>
          <w:tcPr>
            <w:tcW w:w="9170" w:type="dxa"/>
          </w:tcPr>
          <w:p w14:paraId="4193DC5D">
            <w:pPr>
              <w:spacing w:before="120" w:beforeLines="50"/>
              <w:ind w:firstLine="48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根据本项目的排污特点、环境质量要求和国家、重庆市的总量控制要求，确定排污总量控制因子为：</w:t>
            </w:r>
          </w:p>
          <w:p w14:paraId="163A996B">
            <w:pPr>
              <w:ind w:firstLine="48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废水：COD、NH</w:t>
            </w:r>
            <w:r>
              <w:rPr>
                <w:color w:val="000000" w:themeColor="text1"/>
                <w:kern w:val="0"/>
                <w:szCs w:val="21"/>
                <w:highlight w:val="none"/>
                <w:vertAlign w:val="subscript"/>
                <w14:textFill>
                  <w14:solidFill>
                    <w14:schemeClr w14:val="tx1"/>
                  </w14:solidFill>
                </w14:textFill>
              </w:rPr>
              <w:t>3</w:t>
            </w:r>
            <w:r>
              <w:rPr>
                <w:color w:val="000000" w:themeColor="text1"/>
                <w:kern w:val="0"/>
                <w:szCs w:val="21"/>
                <w:highlight w:val="none"/>
                <w14:textFill>
                  <w14:solidFill>
                    <w14:schemeClr w14:val="tx1"/>
                  </w14:solidFill>
                </w14:textFill>
              </w:rPr>
              <w:t>-N；</w:t>
            </w:r>
          </w:p>
          <w:p w14:paraId="06C78E34">
            <w:pPr>
              <w:ind w:firstLine="480"/>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废气：SO</w:t>
            </w:r>
            <w:r>
              <w:rPr>
                <w:rFonts w:hint="eastAsia"/>
                <w:color w:val="000000" w:themeColor="text1"/>
                <w:kern w:val="0"/>
                <w:szCs w:val="21"/>
                <w:highlight w:val="none"/>
                <w:vertAlign w:val="subscript"/>
                <w14:textFill>
                  <w14:solidFill>
                    <w14:schemeClr w14:val="tx1"/>
                  </w14:solidFill>
                </w14:textFill>
              </w:rPr>
              <w:t>2</w:t>
            </w:r>
            <w:r>
              <w:rPr>
                <w:rFonts w:hint="eastAsia"/>
                <w:color w:val="000000" w:themeColor="text1"/>
                <w:kern w:val="0"/>
                <w:szCs w:val="21"/>
                <w:highlight w:val="none"/>
                <w14:textFill>
                  <w14:solidFill>
                    <w14:schemeClr w14:val="tx1"/>
                  </w14:solidFill>
                </w14:textFill>
              </w:rPr>
              <w:t>、NO</w:t>
            </w:r>
            <w:r>
              <w:rPr>
                <w:rFonts w:hint="eastAsia"/>
                <w:color w:val="000000" w:themeColor="text1"/>
                <w:kern w:val="0"/>
                <w:szCs w:val="21"/>
                <w:highlight w:val="none"/>
                <w:vertAlign w:val="subscript"/>
                <w14:textFill>
                  <w14:solidFill>
                    <w14:schemeClr w14:val="tx1"/>
                  </w14:solidFill>
                </w14:textFill>
              </w:rPr>
              <w:t>x</w:t>
            </w:r>
            <w:r>
              <w:rPr>
                <w:rFonts w:hint="eastAsia"/>
                <w:color w:val="000000" w:themeColor="text1"/>
                <w:kern w:val="0"/>
                <w:szCs w:val="21"/>
                <w:highlight w:val="none"/>
                <w14:textFill>
                  <w14:solidFill>
                    <w14:schemeClr w14:val="tx1"/>
                  </w14:solidFill>
                </w14:textFill>
              </w:rPr>
              <w:t>、颗粒物</w:t>
            </w:r>
          </w:p>
          <w:p w14:paraId="6106DF97">
            <w:pPr>
              <w:pStyle w:val="44"/>
              <w:spacing w:before="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项目总量指标汇总表（进入环境的量）单位：t/a</w:t>
            </w:r>
          </w:p>
          <w:tbl>
            <w:tblPr>
              <w:tblStyle w:val="28"/>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0"/>
              <w:gridCol w:w="3098"/>
              <w:gridCol w:w="3999"/>
            </w:tblGrid>
            <w:tr w14:paraId="0327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16" w:type="dxa"/>
                  <w:noWrap w:val="0"/>
                  <w:vAlign w:val="center"/>
                </w:tcPr>
                <w:p w14:paraId="24C01A19">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类别</w:t>
                  </w:r>
                </w:p>
              </w:tc>
              <w:tc>
                <w:tcPr>
                  <w:tcW w:w="3076" w:type="dxa"/>
                  <w:noWrap w:val="0"/>
                  <w:vAlign w:val="center"/>
                </w:tcPr>
                <w:p w14:paraId="311069C6">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污染物</w:t>
                  </w:r>
                </w:p>
              </w:tc>
              <w:tc>
                <w:tcPr>
                  <w:tcW w:w="3971" w:type="dxa"/>
                  <w:noWrap w:val="0"/>
                  <w:vAlign w:val="center"/>
                </w:tcPr>
                <w:p w14:paraId="6681DD91">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eastAsia="zh-CN"/>
                      <w14:textFill>
                        <w14:solidFill>
                          <w14:schemeClr w14:val="tx1"/>
                        </w14:solidFill>
                      </w14:textFill>
                    </w:rPr>
                    <w:t>本项目</w:t>
                  </w: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排放量</w:t>
                  </w:r>
                </w:p>
              </w:tc>
            </w:tr>
            <w:tr w14:paraId="1BF8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16" w:type="dxa"/>
                  <w:vMerge w:val="restart"/>
                  <w:noWrap w:val="0"/>
                  <w:vAlign w:val="center"/>
                </w:tcPr>
                <w:p w14:paraId="5CCF3101">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废气</w:t>
                  </w:r>
                </w:p>
              </w:tc>
              <w:tc>
                <w:tcPr>
                  <w:tcW w:w="3076" w:type="dxa"/>
                  <w:noWrap w:val="0"/>
                  <w:vAlign w:val="center"/>
                </w:tcPr>
                <w:p w14:paraId="03CD4E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颗粒物</w:t>
                  </w:r>
                </w:p>
              </w:tc>
              <w:tc>
                <w:tcPr>
                  <w:tcW w:w="3971" w:type="dxa"/>
                  <w:noWrap w:val="0"/>
                  <w:vAlign w:val="center"/>
                </w:tcPr>
                <w:p w14:paraId="6EDC65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r>
            <w:tr w14:paraId="29C4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16" w:type="dxa"/>
                  <w:vMerge w:val="continue"/>
                  <w:noWrap w:val="0"/>
                  <w:vAlign w:val="center"/>
                </w:tcPr>
                <w:p w14:paraId="56E3710C">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76" w:type="dxa"/>
                  <w:noWrap w:val="0"/>
                  <w:vAlign w:val="center"/>
                </w:tcPr>
                <w:p w14:paraId="28F03A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0"/>
                      <w:sz w:val="21"/>
                      <w:szCs w:val="21"/>
                      <w:highlight w:val="none"/>
                      <w:vertAlign w:val="subscript"/>
                      <w:lang w:val="en-US" w:eastAsia="zh-CN"/>
                      <w14:textFill>
                        <w14:solidFill>
                          <w14:schemeClr w14:val="tx1"/>
                        </w14:solidFill>
                      </w14:textFill>
                    </w:rPr>
                    <w:t>2</w:t>
                  </w:r>
                </w:p>
              </w:tc>
              <w:tc>
                <w:tcPr>
                  <w:tcW w:w="3971" w:type="dxa"/>
                  <w:noWrap w:val="0"/>
                  <w:vAlign w:val="center"/>
                </w:tcPr>
                <w:p w14:paraId="683BDA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r>
            <w:tr w14:paraId="30AB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16" w:type="dxa"/>
                  <w:vMerge w:val="continue"/>
                  <w:noWrap w:val="0"/>
                  <w:vAlign w:val="center"/>
                </w:tcPr>
                <w:p w14:paraId="0C70F84D">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76" w:type="dxa"/>
                  <w:noWrap w:val="0"/>
                  <w:vAlign w:val="center"/>
                </w:tcPr>
                <w:p w14:paraId="2B9F5B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NO</w:t>
                  </w:r>
                  <w:r>
                    <w:rPr>
                      <w:rFonts w:hint="default" w:ascii="Times New Roman" w:hAnsi="Times New Roman" w:eastAsia="宋体" w:cs="Times New Roman"/>
                      <w:snapToGrid w:val="0"/>
                      <w:color w:val="000000" w:themeColor="text1"/>
                      <w:kern w:val="0"/>
                      <w:sz w:val="21"/>
                      <w:szCs w:val="21"/>
                      <w:highlight w:val="none"/>
                      <w:vertAlign w:val="subscript"/>
                      <w:lang w:val="en-US" w:eastAsia="zh-CN"/>
                      <w14:textFill>
                        <w14:solidFill>
                          <w14:schemeClr w14:val="tx1"/>
                        </w14:solidFill>
                      </w14:textFill>
                    </w:rPr>
                    <w:t>X</w:t>
                  </w:r>
                </w:p>
              </w:tc>
              <w:tc>
                <w:tcPr>
                  <w:tcW w:w="3971" w:type="dxa"/>
                  <w:noWrap w:val="0"/>
                  <w:vAlign w:val="center"/>
                </w:tcPr>
                <w:p w14:paraId="1694C9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r>
            <w:tr w14:paraId="5F62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16" w:type="dxa"/>
                  <w:vMerge w:val="restart"/>
                  <w:noWrap w:val="0"/>
                  <w:vAlign w:val="center"/>
                </w:tcPr>
                <w:p w14:paraId="051F8138">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废水</w:t>
                  </w:r>
                </w:p>
              </w:tc>
              <w:tc>
                <w:tcPr>
                  <w:tcW w:w="3076" w:type="dxa"/>
                  <w:noWrap w:val="0"/>
                  <w:vAlign w:val="center"/>
                </w:tcPr>
                <w:p w14:paraId="16596989">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COD</w:t>
                  </w:r>
                </w:p>
              </w:tc>
              <w:tc>
                <w:tcPr>
                  <w:tcW w:w="3971" w:type="dxa"/>
                  <w:noWrap w:val="0"/>
                  <w:vAlign w:val="center"/>
                </w:tcPr>
                <w:p w14:paraId="48F9D5F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3.62</w:t>
                  </w:r>
                </w:p>
              </w:tc>
            </w:tr>
            <w:tr w14:paraId="121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16" w:type="dxa"/>
                  <w:vMerge w:val="continue"/>
                  <w:noWrap w:val="0"/>
                  <w:vAlign w:val="center"/>
                </w:tcPr>
                <w:p w14:paraId="33F4CC45">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76" w:type="dxa"/>
                  <w:noWrap w:val="0"/>
                  <w:vAlign w:val="center"/>
                </w:tcPr>
                <w:p w14:paraId="384C97E7">
                  <w:pPr>
                    <w:pStyle w:val="79"/>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NH</w:t>
                  </w:r>
                  <w:r>
                    <w:rPr>
                      <w:rFonts w:hint="default" w:ascii="Times New Roman" w:hAnsi="Times New Roman" w:eastAsia="宋体" w:cs="Times New Roman"/>
                      <w:snapToGrid w:val="0"/>
                      <w:color w:val="000000" w:themeColor="text1"/>
                      <w:kern w:val="0"/>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-N</w:t>
                  </w:r>
                </w:p>
              </w:tc>
              <w:tc>
                <w:tcPr>
                  <w:tcW w:w="3971" w:type="dxa"/>
                  <w:noWrap w:val="0"/>
                  <w:vAlign w:val="center"/>
                </w:tcPr>
                <w:p w14:paraId="273790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0.48</w:t>
                  </w:r>
                </w:p>
              </w:tc>
            </w:tr>
          </w:tbl>
          <w:p w14:paraId="0DF63AE3">
            <w:pPr>
              <w:adjustRightInd w:val="0"/>
              <w:snapToGrid w:val="0"/>
              <w:ind w:firstLine="480"/>
              <w:rPr>
                <w:color w:val="000000" w:themeColor="text1"/>
                <w:kern w:val="0"/>
                <w:szCs w:val="21"/>
                <w:highlight w:val="none"/>
                <w14:textFill>
                  <w14:solidFill>
                    <w14:schemeClr w14:val="tx1"/>
                  </w14:solidFill>
                </w14:textFill>
              </w:rPr>
            </w:pPr>
          </w:p>
          <w:p w14:paraId="4D7579DF">
            <w:pPr>
              <w:adjustRightInd w:val="0"/>
              <w:snapToGrid w:val="0"/>
              <w:ind w:firstLine="480"/>
              <w:rPr>
                <w:color w:val="000000" w:themeColor="text1"/>
                <w:kern w:val="0"/>
                <w:szCs w:val="21"/>
                <w:highlight w:val="none"/>
                <w14:textFill>
                  <w14:solidFill>
                    <w14:schemeClr w14:val="tx1"/>
                  </w14:solidFill>
                </w14:textFill>
              </w:rPr>
            </w:pPr>
          </w:p>
        </w:tc>
      </w:tr>
    </w:tbl>
    <w:p w14:paraId="55348CBF">
      <w:pPr>
        <w:ind w:firstLine="720"/>
        <w:jc w:val="center"/>
        <w:outlineLvl w:val="0"/>
        <w:rPr>
          <w:snapToGrid w:val="0"/>
          <w:color w:val="000000" w:themeColor="text1"/>
          <w:sz w:val="30"/>
          <w:szCs w:val="30"/>
          <w:highlight w:val="none"/>
          <w14:textFill>
            <w14:solidFill>
              <w14:schemeClr w14:val="tx1"/>
            </w14:solidFill>
          </w14:textFill>
        </w:rPr>
      </w:pPr>
      <w:r>
        <w:rPr>
          <w:snapToGrid w:val="0"/>
          <w:color w:val="000000" w:themeColor="text1"/>
          <w:sz w:val="36"/>
          <w:szCs w:val="36"/>
          <w:highlight w:val="none"/>
          <w14:textFill>
            <w14:solidFill>
              <w14:schemeClr w14:val="tx1"/>
            </w14:solidFill>
          </w14:textFill>
        </w:rPr>
        <w:br w:type="page"/>
      </w:r>
      <w:r>
        <w:rPr>
          <w:b/>
          <w:bCs/>
          <w:snapToGrid w:val="0"/>
          <w:color w:val="000000" w:themeColor="text1"/>
          <w:sz w:val="30"/>
          <w:szCs w:val="30"/>
          <w:highlight w:val="none"/>
          <w14:textFill>
            <w14:solidFill>
              <w14:schemeClr w14:val="tx1"/>
            </w14:solidFill>
          </w14:textFill>
        </w:rPr>
        <w:t>四、主要环境影响和保护措施</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861"/>
        <w:gridCol w:w="9102"/>
      </w:tblGrid>
      <w:tr w14:paraId="342325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880" w:hRule="atLeast"/>
          <w:jc w:val="center"/>
        </w:trPr>
        <w:tc>
          <w:tcPr>
            <w:tcW w:w="432" w:type="pct"/>
            <w:vAlign w:val="center"/>
          </w:tcPr>
          <w:p w14:paraId="3FFE8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施工期环境保护措施</w:t>
            </w:r>
          </w:p>
        </w:tc>
        <w:tc>
          <w:tcPr>
            <w:tcW w:w="4568" w:type="pct"/>
          </w:tcPr>
          <w:p w14:paraId="7AE0E9A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highlight w:val="none"/>
                <w14:textFill>
                  <w14:solidFill>
                    <w14:schemeClr w14:val="tx1"/>
                  </w14:solidFill>
                </w14:textFill>
              </w:rPr>
              <w:t>4.1施工期</w:t>
            </w:r>
            <w:r>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t>环境影响和保护措施</w:t>
            </w:r>
          </w:p>
          <w:p w14:paraId="002A3E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highlight w:val="none"/>
                <w14:textFill>
                  <w14:solidFill>
                    <w14:schemeClr w14:val="tx1"/>
                  </w14:solidFill>
                </w14:textFill>
              </w:rPr>
              <w:t>4.1.1</w:t>
            </w:r>
            <w:r>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t>施工期大气环境</w:t>
            </w:r>
            <w:r>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t>影响和</w:t>
            </w:r>
            <w:r>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t>防治措施</w:t>
            </w:r>
          </w:p>
          <w:p w14:paraId="5588E8A0">
            <w:pPr>
              <w:spacing w:line="360" w:lineRule="auto"/>
              <w:ind w:firstLine="480"/>
              <w:jc w:val="left"/>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本项目施工期产生的废气主要为运输车辆排放废气</w:t>
            </w:r>
            <w:r>
              <w:rPr>
                <w:rFonts w:hint="eastAsia"/>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装修废气</w:t>
            </w:r>
            <w:r>
              <w:rPr>
                <w:rFonts w:hint="eastAsia" w:ascii="Times New Roman" w:hAnsi="Times New Roman"/>
                <w:color w:val="000000" w:themeColor="text1"/>
                <w:sz w:val="24"/>
                <w:highlight w:val="none"/>
                <w14:textFill>
                  <w14:solidFill>
                    <w14:schemeClr w14:val="tx1"/>
                  </w14:solidFill>
                </w14:textFill>
              </w:rPr>
              <w:t>及设备安装产生的粉尘，废气产生量小，无组织排放，对项目周边大气环境的影响较小。</w:t>
            </w:r>
          </w:p>
          <w:p w14:paraId="42F52770">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pPr>
            <w:r>
              <w:rPr>
                <w:rFonts w:hint="eastAsia" w:ascii="Times New Roman" w:hAnsi="Times New Roman" w:eastAsia="宋体" w:cs="Times New Roman"/>
                <w:color w:val="000000" w:themeColor="text1"/>
                <w:spacing w:val="0"/>
                <w:kern w:val="0"/>
                <w:sz w:val="24"/>
                <w:szCs w:val="32"/>
                <w:highlight w:val="none"/>
                <w:lang w:eastAsia="zh-CN"/>
                <w14:textFill>
                  <w14:solidFill>
                    <w14:schemeClr w14:val="tx1"/>
                  </w14:solidFill>
                </w14:textFill>
              </w:rPr>
              <w:t>本</w:t>
            </w: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项目通过采取施工现场架设围墙封闭施工现场。对施工现场定期浇水，运输车辆加盖篷布措施，且施工时按照</w:t>
            </w:r>
            <w:r>
              <w:rPr>
                <w:rFonts w:hint="eastAsia" w:ascii="Times New Roman" w:hAnsi="Times New Roman" w:eastAsia="宋体" w:cs="Times New Roman"/>
                <w:color w:val="000000" w:themeColor="text1"/>
                <w:spacing w:val="0"/>
                <w:kern w:val="0"/>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六个不准</w:t>
            </w:r>
            <w:r>
              <w:rPr>
                <w:rFonts w:hint="eastAsia" w:ascii="Times New Roman" w:hAnsi="Times New Roman" w:eastAsia="宋体" w:cs="Times New Roman"/>
                <w:color w:val="000000" w:themeColor="text1"/>
                <w:spacing w:val="0"/>
                <w:kern w:val="0"/>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和</w:t>
            </w:r>
            <w:r>
              <w:rPr>
                <w:rFonts w:hint="eastAsia" w:ascii="Times New Roman" w:hAnsi="Times New Roman" w:eastAsia="宋体" w:cs="Times New Roman"/>
                <w:color w:val="000000" w:themeColor="text1"/>
                <w:spacing w:val="0"/>
                <w:kern w:val="0"/>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六个必须</w:t>
            </w:r>
            <w:r>
              <w:rPr>
                <w:rFonts w:hint="eastAsia" w:ascii="Times New Roman" w:hAnsi="Times New Roman" w:eastAsia="宋体" w:cs="Times New Roman"/>
                <w:color w:val="000000" w:themeColor="text1"/>
                <w:spacing w:val="0"/>
                <w:kern w:val="0"/>
                <w:sz w:val="24"/>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实施后其浓度可得到有效控制，能够实现达标排放。</w:t>
            </w:r>
          </w:p>
          <w:p w14:paraId="6ADF7427">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施工机械废气由于排放量小，且属间断性无组织排放，加之施工场地开阔，扩散条件良好，因此对其不加处理也可以达到相应的排放标准。</w:t>
            </w:r>
          </w:p>
          <w:p w14:paraId="7A1136C0">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针对装修废气，装修应尽量使用环保，采用符合国家标准的室内装饰和装修材料；保持室内的空气流通，或选用确有效果的室内空气净化器和空气净化装置，可有效清除室内的有害气体；可以在室内有</w:t>
            </w:r>
            <w:r>
              <w:rPr>
                <w:rFonts w:hint="eastAsia" w:cs="Times New Roman"/>
                <w:color w:val="000000" w:themeColor="text1"/>
                <w:spacing w:val="0"/>
                <w:kern w:val="0"/>
                <w:sz w:val="24"/>
                <w:szCs w:val="32"/>
                <w:highlight w:val="none"/>
                <w:lang w:eastAsia="zh-CN"/>
                <w14:textFill>
                  <w14:solidFill>
                    <w14:schemeClr w14:val="tx1"/>
                  </w14:solidFill>
                </w14:textFill>
              </w:rPr>
              <w:t>选择地</w:t>
            </w: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进行养花植草，既可美化室内环境，又可降低室内有害气体的浓度。</w:t>
            </w:r>
          </w:p>
          <w:p w14:paraId="08B6523B">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综上所述，</w:t>
            </w:r>
            <w:r>
              <w:rPr>
                <w:rFonts w:hint="eastAsia" w:ascii="Times New Roman" w:hAnsi="Times New Roman" w:eastAsia="宋体" w:cs="Times New Roman"/>
                <w:color w:val="000000" w:themeColor="text1"/>
                <w:spacing w:val="0"/>
                <w:kern w:val="0"/>
                <w:sz w:val="24"/>
                <w:szCs w:val="32"/>
                <w:highlight w:val="none"/>
                <w:lang w:eastAsia="zh-CN"/>
                <w14:textFill>
                  <w14:solidFill>
                    <w14:schemeClr w14:val="tx1"/>
                  </w14:solidFill>
                </w14:textFill>
              </w:rPr>
              <w:t>本</w:t>
            </w:r>
            <w:r>
              <w:rPr>
                <w:rFonts w:hint="default" w:ascii="Times New Roman" w:hAnsi="Times New Roman" w:eastAsia="宋体" w:cs="Times New Roman"/>
                <w:color w:val="000000" w:themeColor="text1"/>
                <w:spacing w:val="0"/>
                <w:kern w:val="0"/>
                <w:sz w:val="24"/>
                <w:szCs w:val="32"/>
                <w:highlight w:val="none"/>
                <w14:textFill>
                  <w14:solidFill>
                    <w14:schemeClr w14:val="tx1"/>
                  </w14:solidFill>
                </w14:textFill>
              </w:rPr>
              <w:t>项目在做到以上扬尘控制和施工机械废气治理措施后，不会对项目周围环境造成明显的影响。</w:t>
            </w:r>
          </w:p>
          <w:p w14:paraId="60EEB81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t>4.1.2施工期水环境</w:t>
            </w:r>
            <w:r>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t>影响和</w:t>
            </w:r>
            <w:r>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t>防治措施</w:t>
            </w:r>
          </w:p>
          <w:p w14:paraId="586B1EA2">
            <w:pPr>
              <w:ind w:firstLine="480"/>
              <w:rPr>
                <w:rFonts w:hAnsi="Calibri"/>
                <w:color w:val="000000" w:themeColor="text1"/>
                <w:highlight w:val="none"/>
                <w14:textFill>
                  <w14:solidFill>
                    <w14:schemeClr w14:val="tx1"/>
                  </w14:solidFill>
                </w14:textFill>
              </w:rPr>
            </w:pPr>
            <w:r>
              <w:rPr>
                <w:rFonts w:hint="eastAsia" w:hAnsi="Calibri" w:cs="宋体"/>
                <w:color w:val="000000" w:themeColor="text1"/>
                <w:highlight w:val="none"/>
                <w:lang w:bidi="ar"/>
                <w14:textFill>
                  <w14:solidFill>
                    <w14:schemeClr w14:val="tx1"/>
                  </w14:solidFill>
                </w14:textFill>
              </w:rPr>
              <w:t>项目施工期废水为机械设备养护等施工废水和施工人员生活污水。</w:t>
            </w:r>
          </w:p>
          <w:p w14:paraId="1A41631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eastAsia" w:hAnsi="Calibri" w:cs="宋体"/>
                <w:color w:val="000000" w:themeColor="text1"/>
                <w:highlight w:val="none"/>
                <w:lang w:bidi="ar"/>
                <w14:textFill>
                  <w14:solidFill>
                    <w14:schemeClr w14:val="tx1"/>
                  </w14:solidFill>
                </w14:textFill>
              </w:rPr>
              <w:t>在场区内设置排水沟与集水井，对施工废水进行收集，经隔油、沉淀处理后回用。施工人员的生活污水经污水处理站处理后排入园区市政污水管网，施工期废水对环境影响甚微。</w:t>
            </w:r>
          </w:p>
          <w:p w14:paraId="3D74DFD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t>4.1.3施工期噪声</w:t>
            </w:r>
            <w:r>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t>影响和</w:t>
            </w:r>
            <w:r>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t>防治措施</w:t>
            </w:r>
          </w:p>
          <w:p w14:paraId="67318624">
            <w:pPr>
              <w:adjustRightInd w:val="0"/>
              <w:snapToGrid w:val="0"/>
              <w:spacing w:line="360" w:lineRule="auto"/>
              <w:ind w:firstLine="480" w:firstLineChars="200"/>
              <w:jc w:val="both"/>
              <w:rPr>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t>本项目施工期主要噪声为基础工程和主体工程建设、装修工程、设备安装等</w:t>
            </w:r>
            <w:r>
              <w:rPr>
                <w:color w:val="000000" w:themeColor="text1"/>
                <w:sz w:val="24"/>
                <w:szCs w:val="24"/>
                <w:highlight w:val="none"/>
                <w14:textFill>
                  <w14:solidFill>
                    <w14:schemeClr w14:val="tx1"/>
                  </w14:solidFill>
                </w14:textFill>
              </w:rPr>
              <w:t>以及运输车辆行驶产生的噪声</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噪声源设备主要</w:t>
            </w:r>
            <w:r>
              <w:rPr>
                <w:rFonts w:hint="eastAsia"/>
                <w:color w:val="000000" w:themeColor="text1"/>
                <w:sz w:val="24"/>
                <w:szCs w:val="24"/>
                <w:highlight w:val="none"/>
                <w14:textFill>
                  <w14:solidFill>
                    <w14:schemeClr w14:val="tx1"/>
                  </w14:solidFill>
                </w14:textFill>
              </w:rPr>
              <w:t>为</w:t>
            </w:r>
            <w:r>
              <w:rPr>
                <w:rFonts w:hint="eastAsia"/>
                <w:color w:val="000000" w:themeColor="text1"/>
                <w:sz w:val="24"/>
                <w:szCs w:val="24"/>
                <w:highlight w:val="none"/>
                <w:lang w:val="en-US" w:eastAsia="zh-CN"/>
                <w14:textFill>
                  <w14:solidFill>
                    <w14:schemeClr w14:val="tx1"/>
                  </w14:solidFill>
                </w14:textFill>
              </w:rPr>
              <w:t>推土</w:t>
            </w:r>
            <w:r>
              <w:rPr>
                <w:rFonts w:hint="eastAsia"/>
                <w:color w:val="000000" w:themeColor="text1"/>
                <w:sz w:val="24"/>
                <w:szCs w:val="24"/>
                <w:highlight w:val="none"/>
                <w14:textFill>
                  <w14:solidFill>
                    <w14:schemeClr w14:val="tx1"/>
                  </w14:solidFill>
                </w14:textFill>
              </w:rPr>
              <w:t>机、</w:t>
            </w:r>
            <w:r>
              <w:rPr>
                <w:rFonts w:hint="eastAsia"/>
                <w:color w:val="000000" w:themeColor="text1"/>
                <w:sz w:val="24"/>
                <w:szCs w:val="24"/>
                <w:highlight w:val="none"/>
                <w:lang w:val="en-US" w:eastAsia="zh-CN"/>
                <w14:textFill>
                  <w14:solidFill>
                    <w14:schemeClr w14:val="tx1"/>
                  </w14:solidFill>
                </w14:textFill>
              </w:rPr>
              <w:t>挖掘</w:t>
            </w:r>
            <w:r>
              <w:rPr>
                <w:rFonts w:hint="eastAsia"/>
                <w:color w:val="000000" w:themeColor="text1"/>
                <w:sz w:val="24"/>
                <w:szCs w:val="24"/>
                <w:highlight w:val="none"/>
                <w14:textFill>
                  <w14:solidFill>
                    <w14:schemeClr w14:val="tx1"/>
                  </w14:solidFill>
                </w14:textFill>
              </w:rPr>
              <w:t>机、钻机、吊车</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载重汽车</w:t>
            </w:r>
            <w:r>
              <w:rPr>
                <w:rFonts w:hint="eastAsia"/>
                <w:color w:val="000000" w:themeColor="text1"/>
                <w:sz w:val="24"/>
                <w:szCs w:val="24"/>
                <w:highlight w:val="none"/>
                <w:lang w:val="en-US" w:eastAsia="zh-CN"/>
                <w14:textFill>
                  <w14:solidFill>
                    <w14:schemeClr w14:val="tx1"/>
                  </w14:solidFill>
                </w14:textFill>
              </w:rPr>
              <w:t>等</w:t>
            </w:r>
            <w:r>
              <w:rPr>
                <w:color w:val="000000" w:themeColor="text1"/>
                <w:sz w:val="24"/>
                <w:szCs w:val="24"/>
                <w:highlight w:val="none"/>
                <w14:textFill>
                  <w14:solidFill>
                    <w14:schemeClr w14:val="tx1"/>
                  </w14:solidFill>
                </w14:textFill>
              </w:rPr>
              <w:t>，施工期间不存在突发噪声。</w:t>
            </w:r>
          </w:p>
          <w:p w14:paraId="26D06A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为进一步减少施工期对周边居民的影响，必须采取以下措施，严格管理：</w:t>
            </w:r>
          </w:p>
          <w:p w14:paraId="091507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①优选低噪声机械设备，同时在施工过程中施工单位应设专人对设备进行定期保养和维护，并负责对现场工作人员进行培训，严格按操作规范使用各类机械。</w:t>
            </w:r>
          </w:p>
          <w:p w14:paraId="13C11C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②合理安排作业时间：施工方应合理安排施工时间，钻孔、切割等强噪声作业尽量安排在白天进行。</w:t>
            </w:r>
          </w:p>
          <w:p w14:paraId="1ECBC9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③材料装卸采用人工传递，严禁抛掷或汽车一次性下料。</w:t>
            </w:r>
          </w:p>
          <w:p w14:paraId="12BBC8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④加强车辆管理，控制车辆噪声，昼间进行材料、弃渣等运输，并避开休息 时段，运输车辆进入现场应减速，并减少鸣笛，减轻交通噪声对周边环境的影响。</w:t>
            </w:r>
          </w:p>
          <w:p w14:paraId="6AF7C7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⑤提倡文明施工，对人为活动噪声应有管理制度，特别是要杜绝人为敲打、叫嚷、野蛮装卸噪声等现象，增强全体施工人员防噪声扰民的自觉意识，尽量减少人为大声喧哗，最大限度地减少噪声扰民。</w:t>
            </w:r>
          </w:p>
          <w:p w14:paraId="4ECAB0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采取上述措施后，加之经墙体阻隔，可有效防止发生噪声扰民现象出现。施工期噪声对周围住户将造成一定的影响，但是施工噪声影响是暂时的，</w:t>
            </w:r>
            <w:r>
              <w:rPr>
                <w:rFonts w:hint="eastAsia" w:ascii="Times New Roman" w:hAnsi="Times New Roman" w:eastAsia="宋体" w:cs="Times New Roman"/>
                <w:color w:val="000000" w:themeColor="text1"/>
                <w:spacing w:val="0"/>
                <w:kern w:val="0"/>
                <w:sz w:val="24"/>
                <w:highlight w:val="none"/>
                <w:lang w:eastAsia="zh-CN"/>
                <w14:textFill>
                  <w14:solidFill>
                    <w14:schemeClr w14:val="tx1"/>
                  </w14:solidFill>
                </w14:textFill>
              </w:rPr>
              <w:t>施工</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期应做到合理安排施工时间、精心布局和文明施工，严格按照《建筑施工场界环境噪声排放标准》</w:t>
            </w:r>
            <w:r>
              <w:rPr>
                <w:rFonts w:hint="eastAsia" w:ascii="Times New Roman" w:hAnsi="Times New Roman" w:eastAsia="宋体" w:cs="Times New Roman"/>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GBl2523-2011</w:t>
            </w:r>
            <w:r>
              <w:rPr>
                <w:rFonts w:hint="eastAsia" w:ascii="Times New Roman" w:hAnsi="Times New Roman" w:eastAsia="宋体" w:cs="Times New Roman"/>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进行控制，施工噪声将随着施工期的结束而消失，在采取上述噪声防治措施后，项目施工噪声对评价范围内声学环境影响将降到最低。</w:t>
            </w:r>
          </w:p>
          <w:p w14:paraId="6235EFC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
                <w:color w:val="000000" w:themeColor="text1"/>
                <w:spacing w:val="0"/>
                <w:kern w:val="0"/>
                <w:sz w:val="24"/>
                <w:highlight w:val="none"/>
                <w14:textFill>
                  <w14:solidFill>
                    <w14:schemeClr w14:val="tx1"/>
                  </w14:solidFill>
                </w14:textFill>
              </w:rPr>
              <w:t>4.1.4施工期固体废物</w:t>
            </w:r>
            <w:r>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t>影响和</w:t>
            </w:r>
            <w:r>
              <w:rPr>
                <w:rFonts w:hint="default" w:ascii="Times New Roman" w:hAnsi="Times New Roman" w:eastAsia="宋体" w:cs="Times New Roman"/>
                <w:b/>
                <w:bCs/>
                <w:color w:val="000000" w:themeColor="text1"/>
                <w:spacing w:val="0"/>
                <w:kern w:val="0"/>
                <w:sz w:val="24"/>
                <w:highlight w:val="none"/>
                <w14:textFill>
                  <w14:solidFill>
                    <w14:schemeClr w14:val="tx1"/>
                  </w14:solidFill>
                </w14:textFill>
              </w:rPr>
              <w:t>防治措施</w:t>
            </w:r>
          </w:p>
          <w:p w14:paraId="7CFBD6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0"/>
                <w:kern w:val="0"/>
                <w:sz w:val="24"/>
                <w:szCs w:val="32"/>
                <w:highlight w:val="none"/>
                <w:lang w:eastAsia="zh-CN"/>
                <w14:textFill>
                  <w14:solidFill>
                    <w14:schemeClr w14:val="tx1"/>
                  </w14:solidFill>
                </w14:textFill>
              </w:rPr>
              <w:t>本</w:t>
            </w:r>
            <w:r>
              <w:rPr>
                <w:color w:val="000000" w:themeColor="text1"/>
                <w:kern w:val="0"/>
                <w:sz w:val="24"/>
                <w:highlight w:val="none"/>
                <w14:textFill>
                  <w14:solidFill>
                    <w14:schemeClr w14:val="tx1"/>
                  </w14:solidFill>
                </w14:textFill>
              </w:rPr>
              <w:t>项目施工期产生的固体废弃物为废包装材料</w:t>
            </w:r>
            <w:r>
              <w:rPr>
                <w:rFonts w:hint="eastAsia"/>
                <w:color w:val="000000" w:themeColor="text1"/>
                <w:kern w:val="0"/>
                <w:sz w:val="24"/>
                <w:highlight w:val="none"/>
                <w:lang w:eastAsia="zh-CN"/>
                <w14:textFill>
                  <w14:solidFill>
                    <w14:schemeClr w14:val="tx1"/>
                  </w14:solidFill>
                </w14:textFill>
              </w:rPr>
              <w:t>、装修废物</w:t>
            </w:r>
            <w:r>
              <w:rPr>
                <w:color w:val="000000" w:themeColor="text1"/>
                <w:kern w:val="0"/>
                <w:sz w:val="24"/>
                <w:highlight w:val="none"/>
                <w14:textFill>
                  <w14:solidFill>
                    <w14:schemeClr w14:val="tx1"/>
                  </w14:solidFill>
                </w14:textFill>
              </w:rPr>
              <w:t>和工人生活垃圾</w:t>
            </w:r>
            <w:r>
              <w:rPr>
                <w:rFonts w:hint="eastAsia"/>
                <w:color w:val="000000" w:themeColor="text1"/>
                <w:kern w:val="0"/>
                <w:sz w:val="24"/>
                <w:highlight w:val="none"/>
                <w:lang w:eastAsia="zh-CN"/>
                <w14:textFill>
                  <w14:solidFill>
                    <w14:schemeClr w14:val="tx1"/>
                  </w14:solidFill>
                </w14:textFill>
              </w:rPr>
              <w:t>。</w:t>
            </w:r>
            <w:r>
              <w:rPr>
                <w:color w:val="000000" w:themeColor="text1"/>
                <w:kern w:val="0"/>
                <w:sz w:val="24"/>
                <w:highlight w:val="none"/>
                <w14:textFill>
                  <w14:solidFill>
                    <w14:schemeClr w14:val="tx1"/>
                  </w14:solidFill>
                </w14:textFill>
              </w:rPr>
              <w:t>施工过程中产生的废包材量较小，外售废品回收站处置；施工人员生活垃圾由环卫部门统一进行处理</w:t>
            </w:r>
            <w:r>
              <w:rPr>
                <w:rFonts w:hint="eastAsia"/>
                <w:color w:val="000000" w:themeColor="text1"/>
                <w:kern w:val="0"/>
                <w:sz w:val="24"/>
                <w:highlight w:val="none"/>
                <w:lang w:eastAsia="zh-CN"/>
                <w14:textFill>
                  <w14:solidFill>
                    <w14:schemeClr w14:val="tx1"/>
                  </w14:solidFill>
                </w14:textFill>
              </w:rPr>
              <w:t>；</w:t>
            </w:r>
            <w:r>
              <w:rPr>
                <w:rFonts w:hint="eastAsia" w:ascii="Times New Roman" w:hAnsi="Times New Roman"/>
                <w:snapToGrid w:val="0"/>
                <w:color w:val="000000" w:themeColor="text1"/>
                <w:spacing w:val="0"/>
                <w:kern w:val="0"/>
                <w:sz w:val="24"/>
                <w:szCs w:val="24"/>
                <w:highlight w:val="none"/>
                <w:lang w:eastAsia="zh-CN"/>
                <w14:textFill>
                  <w14:solidFill>
                    <w14:schemeClr w14:val="tx1"/>
                  </w14:solidFill>
                </w14:textFill>
              </w:rPr>
              <w:t>施工期装修废物等需交由有资质单位处置</w:t>
            </w:r>
            <w:r>
              <w:rPr>
                <w:rFonts w:ascii="Times New Roman" w:hAnsi="Times New Roman"/>
                <w:snapToGrid w:val="0"/>
                <w:color w:val="000000" w:themeColor="text1"/>
                <w:spacing w:val="0"/>
                <w:kern w:val="0"/>
                <w:sz w:val="24"/>
                <w:szCs w:val="24"/>
                <w:highlight w:val="none"/>
                <w14:textFill>
                  <w14:solidFill>
                    <w14:schemeClr w14:val="tx1"/>
                  </w14:solidFill>
                </w14:textFill>
              </w:rPr>
              <w:t>。</w:t>
            </w:r>
            <w:r>
              <w:rPr>
                <w:rFonts w:hint="eastAsia" w:ascii="Times New Roman" w:hAnsi="Times New Roman"/>
                <w:snapToGrid w:val="0"/>
                <w:color w:val="000000" w:themeColor="text1"/>
                <w:spacing w:val="0"/>
                <w:kern w:val="0"/>
                <w:sz w:val="24"/>
                <w:szCs w:val="24"/>
                <w:highlight w:val="none"/>
                <w:lang w:eastAsia="zh-CN"/>
                <w14:textFill>
                  <w14:solidFill>
                    <w14:schemeClr w14:val="tx1"/>
                  </w14:solidFill>
                </w14:textFill>
              </w:rPr>
              <w:t>项目固体废物经合理处置后</w:t>
            </w:r>
            <w:r>
              <w:rPr>
                <w:color w:val="000000" w:themeColor="text1"/>
                <w:kern w:val="0"/>
                <w:sz w:val="24"/>
                <w:highlight w:val="none"/>
                <w14:textFill>
                  <w14:solidFill>
                    <w14:schemeClr w14:val="tx1"/>
                  </w14:solidFill>
                </w14:textFill>
              </w:rPr>
              <w:t>对周围环境影响较小</w:t>
            </w:r>
            <w:r>
              <w:rPr>
                <w:bCs/>
                <w:color w:val="000000" w:themeColor="text1"/>
                <w:kern w:val="0"/>
                <w:sz w:val="24"/>
                <w:highlight w:val="none"/>
                <w14:textFill>
                  <w14:solidFill>
                    <w14:schemeClr w14:val="tx1"/>
                  </w14:solidFill>
                </w14:textFill>
              </w:rPr>
              <w:t>。</w:t>
            </w:r>
          </w:p>
          <w:p w14:paraId="1D137E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highlight w:val="none"/>
                <w:lang w:eastAsia="zh-CN"/>
                <w14:textFill>
                  <w14:solidFill>
                    <w14:schemeClr w14:val="tx1"/>
                  </w14:solidFill>
                </w14:textFill>
              </w:rPr>
            </w:pPr>
          </w:p>
          <w:p w14:paraId="696F8B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highlight w:val="none"/>
                <w:lang w:eastAsia="zh-CN"/>
                <w14:textFill>
                  <w14:solidFill>
                    <w14:schemeClr w14:val="tx1"/>
                  </w14:solidFill>
                </w14:textFill>
              </w:rPr>
            </w:pPr>
          </w:p>
          <w:p w14:paraId="2D54D3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highlight w:val="none"/>
                <w:lang w:eastAsia="zh-CN"/>
                <w14:textFill>
                  <w14:solidFill>
                    <w14:schemeClr w14:val="tx1"/>
                  </w14:solidFill>
                </w14:textFill>
              </w:rPr>
            </w:pPr>
          </w:p>
          <w:p w14:paraId="720333AE">
            <w:pPr>
              <w:ind w:firstLine="480"/>
              <w:rPr>
                <w:snapToGrid w:val="0"/>
                <w:color w:val="000000" w:themeColor="text1"/>
                <w:highlight w:val="none"/>
                <w14:textFill>
                  <w14:solidFill>
                    <w14:schemeClr w14:val="tx1"/>
                  </w14:solidFill>
                </w14:textFill>
              </w:rPr>
            </w:pPr>
          </w:p>
        </w:tc>
      </w:tr>
    </w:tbl>
    <w:p w14:paraId="059D9C88">
      <w:pPr>
        <w:ind w:firstLine="480"/>
        <w:rPr>
          <w:snapToGrid w:val="0"/>
          <w:color w:val="000000" w:themeColor="text1"/>
          <w:highlight w:val="none"/>
          <w14:textFill>
            <w14:solidFill>
              <w14:schemeClr w14:val="tx1"/>
            </w14:solidFill>
          </w14:textFill>
        </w:rPr>
        <w:sectPr>
          <w:type w:val="continuous"/>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460"/>
      </w:tblGrid>
      <w:tr w14:paraId="42636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835" w:hRule="atLeast"/>
          <w:jc w:val="center"/>
        </w:trPr>
        <w:tc>
          <w:tcPr>
            <w:tcW w:w="214" w:type="pct"/>
            <w:tcMar>
              <w:left w:w="28" w:type="dxa"/>
              <w:right w:w="28" w:type="dxa"/>
            </w:tcMar>
            <w:vAlign w:val="center"/>
          </w:tcPr>
          <w:p w14:paraId="7B3CCB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运营期环境影响和保护措施</w:t>
            </w:r>
          </w:p>
        </w:tc>
        <w:tc>
          <w:tcPr>
            <w:tcW w:w="4786" w:type="pct"/>
          </w:tcPr>
          <w:p w14:paraId="6FB360F0">
            <w:pPr>
              <w:adjustRightInd w:val="0"/>
              <w:snapToGrid w:val="0"/>
              <w:spacing w:line="360" w:lineRule="auto"/>
              <w:ind w:left="0" w:leftChars="0" w:firstLine="0" w:firstLineChars="0"/>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t>4.2运营期环境影响和保护措施</w:t>
            </w:r>
          </w:p>
          <w:p w14:paraId="4CBC5C75">
            <w:pPr>
              <w:adjustRightInd w:val="0"/>
              <w:snapToGrid w:val="0"/>
              <w:spacing w:line="360" w:lineRule="auto"/>
              <w:ind w:left="0" w:leftChars="0" w:firstLine="0" w:firstLineChars="0"/>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t>4.2.1运营期大气环境影响和保护措施</w:t>
            </w:r>
          </w:p>
          <w:p w14:paraId="07BDFD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t>扩建</w:t>
            </w:r>
            <w:r>
              <w:rPr>
                <w:rFonts w:hint="default" w:ascii="Times New Roman" w:hAnsi="Times New Roman" w:eastAsia="宋体" w:cs="Times New Roman"/>
                <w:snapToGrid w:val="0"/>
                <w:color w:val="000000" w:themeColor="text1"/>
                <w:spacing w:val="0"/>
                <w:kern w:val="0"/>
                <w:sz w:val="24"/>
                <w:highlight w:val="none"/>
                <w14:textFill>
                  <w14:solidFill>
                    <w14:schemeClr w14:val="tx1"/>
                  </w14:solidFill>
                </w14:textFill>
              </w:rPr>
              <w:t>项目运营期废气主要为</w:t>
            </w:r>
            <w:r>
              <w:rPr>
                <w:rFonts w:hint="eastAsia"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t>锅炉</w:t>
            </w:r>
            <w:r>
              <w:rPr>
                <w:rFonts w:hint="default"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t>废气（</w:t>
            </w:r>
            <w:r>
              <w:rPr>
                <w:rFonts w:hint="default"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食堂</w:t>
            </w:r>
            <w:r>
              <w:rPr>
                <w:rFonts w:hint="default"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油烟</w:t>
            </w:r>
            <w:r>
              <w:rPr>
                <w:rFonts w:hint="default"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发电机废气（G3）、</w:t>
            </w:r>
            <w:r>
              <w:rPr>
                <w:rFonts w:hint="eastAsia"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t>污水处理站臭气</w:t>
            </w:r>
            <w:r>
              <w:rPr>
                <w:rFonts w:hint="default" w:ascii="Times New Roman" w:hAnsi="Times New Roman" w:eastAsia="宋体" w:cs="Times New Roman"/>
                <w:snapToGrid w:val="0"/>
                <w:color w:val="000000" w:themeColor="text1"/>
                <w:spacing w:val="0"/>
                <w:kern w:val="0"/>
                <w:sz w:val="24"/>
                <w:highlight w:val="none"/>
                <w14:textFill>
                  <w14:solidFill>
                    <w14:schemeClr w14:val="tx1"/>
                  </w14:solidFill>
                </w14:textFill>
              </w:rPr>
              <w:t>（G</w:t>
            </w:r>
            <w:r>
              <w:rPr>
                <w:rFonts w:hint="eastAsia"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4</w:t>
            </w:r>
            <w:r>
              <w:rPr>
                <w:rFonts w:hint="default" w:ascii="Times New Roman" w:hAnsi="Times New Roman" w:eastAsia="宋体" w:cs="Times New Roman"/>
                <w:snapToGrid w:val="0"/>
                <w:color w:val="000000" w:themeColor="text1"/>
                <w:spacing w:val="0"/>
                <w:kern w:val="0"/>
                <w:sz w:val="24"/>
                <w:highlight w:val="none"/>
                <w14:textFill>
                  <w14:solidFill>
                    <w14:schemeClr w14:val="tx1"/>
                  </w14:solidFill>
                </w14:textFill>
              </w:rPr>
              <w:t>）</w:t>
            </w:r>
            <w:r>
              <w:rPr>
                <w:rFonts w:hint="eastAsia" w:cs="Times New Roman"/>
                <w:snapToGrid w:val="0"/>
                <w:color w:val="000000" w:themeColor="text1"/>
                <w:spacing w:val="0"/>
                <w:kern w:val="0"/>
                <w:sz w:val="24"/>
                <w:highlight w:val="none"/>
                <w:lang w:eastAsia="zh-CN"/>
                <w14:textFill>
                  <w14:solidFill>
                    <w14:schemeClr w14:val="tx1"/>
                  </w14:solidFill>
                </w14:textFill>
              </w:rPr>
              <w:t>、车间异味（</w:t>
            </w:r>
            <w:r>
              <w:rPr>
                <w:rFonts w:hint="eastAsia" w:cs="Times New Roman"/>
                <w:snapToGrid w:val="0"/>
                <w:color w:val="000000" w:themeColor="text1"/>
                <w:spacing w:val="0"/>
                <w:kern w:val="0"/>
                <w:sz w:val="24"/>
                <w:highlight w:val="none"/>
                <w:lang w:val="en-US" w:eastAsia="zh-CN"/>
                <w14:textFill>
                  <w14:solidFill>
                    <w14:schemeClr w14:val="tx1"/>
                  </w14:solidFill>
                </w14:textFill>
              </w:rPr>
              <w:t>G5</w:t>
            </w:r>
            <w:r>
              <w:rPr>
                <w:rFonts w:hint="eastAsia" w:cs="Times New Roman"/>
                <w:snapToGrid w:val="0"/>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highlight w:val="none"/>
                <w14:textFill>
                  <w14:solidFill>
                    <w14:schemeClr w14:val="tx1"/>
                  </w14:solidFill>
                </w14:textFill>
              </w:rPr>
              <w:t>。</w:t>
            </w:r>
          </w:p>
          <w:p w14:paraId="4360BD4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snapToGrid w:val="0"/>
                <w:color w:val="000000" w:themeColor="text1"/>
                <w:highlight w:val="none"/>
                <w14:textFill>
                  <w14:solidFill>
                    <w14:schemeClr w14:val="tx1"/>
                  </w14:solidFill>
                </w14:textFill>
              </w:rPr>
            </w:pPr>
            <w:r>
              <w:rPr>
                <w:rFonts w:hint="eastAsia" w:cs="Times New Roman"/>
                <w:b/>
                <w:bCs/>
                <w:snapToGrid w:val="0"/>
                <w:color w:val="000000" w:themeColor="text1"/>
                <w:spacing w:val="0"/>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源强核算</w:t>
            </w:r>
          </w:p>
          <w:p w14:paraId="12E9E359">
            <w:pPr>
              <w:ind w:firstLine="482"/>
              <w:rPr>
                <w:b/>
                <w:bCs/>
                <w:snapToGrid w:val="0"/>
                <w:color w:val="000000" w:themeColor="text1"/>
                <w:highlight w:val="none"/>
                <w14:textFill>
                  <w14:solidFill>
                    <w14:schemeClr w14:val="tx1"/>
                  </w14:solidFill>
                </w14:textFill>
              </w:rPr>
            </w:pPr>
            <w:r>
              <w:rPr>
                <w:rFonts w:hint="eastAsia"/>
                <w:b w:val="0"/>
                <w:bCs w:val="0"/>
                <w:snapToGrid w:val="0"/>
                <w:color w:val="000000" w:themeColor="text1"/>
                <w:highlight w:val="none"/>
                <w:lang w:eastAsia="zh-CN"/>
                <w14:textFill>
                  <w14:solidFill>
                    <w14:schemeClr w14:val="tx1"/>
                  </w14:solidFill>
                </w14:textFill>
              </w:rPr>
              <w:t>（</w:t>
            </w:r>
            <w:r>
              <w:rPr>
                <w:rFonts w:hint="eastAsia"/>
                <w:b w:val="0"/>
                <w:bCs w:val="0"/>
                <w:snapToGrid w:val="0"/>
                <w:color w:val="000000" w:themeColor="text1"/>
                <w:highlight w:val="none"/>
                <w:lang w:val="en-US" w:eastAsia="zh-CN"/>
                <w14:textFill>
                  <w14:solidFill>
                    <w14:schemeClr w14:val="tx1"/>
                  </w14:solidFill>
                </w14:textFill>
              </w:rPr>
              <w:t>1</w:t>
            </w:r>
            <w:r>
              <w:rPr>
                <w:rFonts w:hint="eastAsia"/>
                <w:b w:val="0"/>
                <w:bCs w:val="0"/>
                <w:snapToGrid w:val="0"/>
                <w:color w:val="000000" w:themeColor="text1"/>
                <w:highlight w:val="none"/>
                <w:lang w:eastAsia="zh-CN"/>
                <w14:textFill>
                  <w14:solidFill>
                    <w14:schemeClr w14:val="tx1"/>
                  </w14:solidFill>
                </w14:textFill>
              </w:rPr>
              <w:t>）</w:t>
            </w:r>
            <w:r>
              <w:rPr>
                <w:rFonts w:hint="eastAsia"/>
                <w:b w:val="0"/>
                <w:bCs w:val="0"/>
                <w:snapToGrid w:val="0"/>
                <w:color w:val="000000" w:themeColor="text1"/>
                <w:highlight w:val="none"/>
                <w14:textFill>
                  <w14:solidFill>
                    <w14:schemeClr w14:val="tx1"/>
                  </w14:solidFill>
                </w14:textFill>
              </w:rPr>
              <w:t>锅炉废气</w:t>
            </w:r>
          </w:p>
          <w:p w14:paraId="55D1A64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项目设有</w:t>
            </w:r>
            <w:r>
              <w:rPr>
                <w:rFonts w:hint="eastAsia"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台</w:t>
            </w:r>
            <w:r>
              <w:rPr>
                <w:rFonts w:hint="eastAsia"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2</w:t>
            </w: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t/h</w:t>
            </w:r>
            <w:r>
              <w:rPr>
                <w:rFonts w:hint="eastAsia"/>
                <w:snapToGrid w:val="0"/>
                <w:color w:val="000000" w:themeColor="text1"/>
                <w:highlight w:val="none"/>
                <w14:textFill>
                  <w14:solidFill>
                    <w14:schemeClr w14:val="tx1"/>
                  </w14:solidFill>
                </w14:textFill>
              </w:rPr>
              <w:t>锅炉</w:t>
            </w: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，根据建设单位提供资料，天然气使用量为</w:t>
            </w:r>
            <w:r>
              <w:rPr>
                <w:rFonts w:hint="eastAsia"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150</w:t>
            </w: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snapToGrid w:val="0"/>
                <w:color w:val="000000" w:themeColor="text1"/>
                <w:spacing w:val="0"/>
                <w:kern w:val="0"/>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/h，每天运行8h，年运行300d，年用气量约</w:t>
            </w:r>
            <w:r>
              <w:rPr>
                <w:rFonts w:hint="eastAsia"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36</w:t>
            </w: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万Nm</w:t>
            </w:r>
            <w:r>
              <w:rPr>
                <w:rFonts w:hint="default" w:ascii="Times New Roman" w:hAnsi="Times New Roman" w:eastAsia="宋体" w:cs="Times New Roman"/>
                <w:b w:val="0"/>
                <w:bCs w:val="0"/>
                <w:snapToGrid w:val="0"/>
                <w:color w:val="000000" w:themeColor="text1"/>
                <w:spacing w:val="0"/>
                <w:kern w:val="0"/>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天然气。</w:t>
            </w:r>
          </w:p>
          <w:p w14:paraId="0EF9F31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4"/>
                <w:szCs w:val="32"/>
                <w:highlight w:val="none"/>
                <w:lang w:val="en-US" w:eastAsia="zh-CN"/>
                <w14:textFill>
                  <w14:solidFill>
                    <w14:schemeClr w14:val="tx1"/>
                  </w14:solidFill>
                </w14:textFill>
              </w:rPr>
              <w:t>本次评价参考《污</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染源源强核算技术指南 锅炉》（HJ991-2018）对废气量进行核算。 </w:t>
            </w:r>
          </w:p>
          <w:p w14:paraId="2396404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烟气量核算 </w:t>
            </w:r>
          </w:p>
          <w:p w14:paraId="07AF9B9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jc w:val="left"/>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重庆市天然气的收到基低位发热量Qnet,ar=38.46MJ/m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=38460KJ/m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&gt;10467KJ/m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，则天然气燃烧烟气排放量： </w:t>
            </w:r>
          </w:p>
          <w:p w14:paraId="44F633A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jc w:val="center"/>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drawing>
                <wp:inline distT="0" distB="0" distL="114300" distR="114300">
                  <wp:extent cx="2376805" cy="566420"/>
                  <wp:effectExtent l="0" t="0" r="44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2376805" cy="566420"/>
                          </a:xfrm>
                          <a:prstGeom prst="rect">
                            <a:avLst/>
                          </a:prstGeom>
                          <a:noFill/>
                          <a:ln>
                            <a:noFill/>
                          </a:ln>
                        </pic:spPr>
                      </pic:pic>
                    </a:graphicData>
                  </a:graphic>
                </wp:inline>
              </w:drawing>
            </w:r>
          </w:p>
          <w:p w14:paraId="4FB32BF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其中：          </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drawing>
                <wp:inline distT="0" distB="0" distL="114300" distR="114300">
                  <wp:extent cx="1906270" cy="432435"/>
                  <wp:effectExtent l="0" t="0" r="1778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1906270" cy="432435"/>
                          </a:xfrm>
                          <a:prstGeom prst="rect">
                            <a:avLst/>
                          </a:prstGeom>
                          <a:noFill/>
                          <a:ln>
                            <a:noFill/>
                          </a:ln>
                        </pic:spPr>
                      </pic:pic>
                    </a:graphicData>
                  </a:graphic>
                </wp:inline>
              </w:drawing>
            </w:r>
          </w:p>
          <w:p w14:paraId="0DEE0D6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式中：V0——理论空气量，m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4D269F1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Qnet,ar——收到基低位发热量，KJ/m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38E1D14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Vs——湿烟气排放量，m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7172D73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α——过量空气系数，取1.2。（参照《排污许可证申请与核发技术规范 锅炉》（HJ953-2018）中</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5.2.3.2燃气锅炉的过量空气系数为1.2</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w:t>
            </w:r>
          </w:p>
          <w:p w14:paraId="2BE00BB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则项目</w:t>
            </w:r>
            <w:r>
              <w:rPr>
                <w:rFonts w:hint="eastAsia" w:cs="Times New Roman"/>
                <w:color w:val="000000" w:themeColor="text1"/>
                <w:sz w:val="24"/>
                <w:szCs w:val="3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t/h</w:t>
            </w:r>
            <w:r>
              <w:rPr>
                <w:rFonts w:hint="eastAsia" w:cs="Times New Roman"/>
                <w:color w:val="000000" w:themeColor="text1"/>
                <w:sz w:val="24"/>
                <w:szCs w:val="32"/>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天然气燃烧：</w:t>
            </w:r>
          </w:p>
          <w:p w14:paraId="3CB934B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烟气量Q=12.19m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4388400</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1829</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/h。 </w:t>
            </w:r>
          </w:p>
          <w:p w14:paraId="7C6D970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颗粒物源强核算 </w:t>
            </w:r>
          </w:p>
          <w:p w14:paraId="4CABDD5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参考《污染源源强核算技术指南 锅炉》（HJ991-2018）中颗粒物的计算方法。 </w:t>
            </w:r>
          </w:p>
          <w:p w14:paraId="5787F0C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jc w:val="center"/>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drawing>
                <wp:inline distT="0" distB="0" distL="114300" distR="114300">
                  <wp:extent cx="2301875" cy="466090"/>
                  <wp:effectExtent l="0" t="0" r="3175" b="1016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0"/>
                          <a:stretch>
                            <a:fillRect/>
                          </a:stretch>
                        </pic:blipFill>
                        <pic:spPr>
                          <a:xfrm>
                            <a:off x="0" y="0"/>
                            <a:ext cx="2301875" cy="466090"/>
                          </a:xfrm>
                          <a:prstGeom prst="rect">
                            <a:avLst/>
                          </a:prstGeom>
                          <a:noFill/>
                          <a:ln>
                            <a:noFill/>
                          </a:ln>
                        </pic:spPr>
                      </pic:pic>
                    </a:graphicData>
                  </a:graphic>
                </wp:inline>
              </w:drawing>
            </w:r>
          </w:p>
          <w:p w14:paraId="4EA1638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式中：Ej——核算时段内第j种污染物排放量，t； </w:t>
            </w:r>
          </w:p>
          <w:p w14:paraId="25C7FC3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R——核算时间段内燃料耗量，t或万m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6A1F25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βj——产污系数，kg/t或kg/万m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623D981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92" w:firstLineChars="3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η——污染物的脱除效率，%。</w:t>
            </w:r>
          </w:p>
          <w:p w14:paraId="2B4197B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通过查询《环境保护实用数据手册》，天然气燃烧锅炉颗粒物产生系数 </w:t>
            </w:r>
          </w:p>
          <w:p w14:paraId="528898D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β=2.4kg/万m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燃料。 </w:t>
            </w:r>
          </w:p>
          <w:p w14:paraId="27C048B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产生颗粒物直排无治理措施，则项目</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中颗粒物排放量如下：E1=</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/a×2.4kg/万m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燃料×10</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86</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t/a。 </w:t>
            </w:r>
          </w:p>
          <w:p w14:paraId="58D59A7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源强核算 </w:t>
            </w:r>
          </w:p>
          <w:p w14:paraId="74F5408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参考《污染源源强核算技术指南 锅炉》（HJ991-2018）中SO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的计算方法。 </w:t>
            </w:r>
          </w:p>
          <w:p w14:paraId="28FBBEA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jc w:val="center"/>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drawing>
                <wp:inline distT="0" distB="0" distL="114300" distR="114300">
                  <wp:extent cx="2464435" cy="445135"/>
                  <wp:effectExtent l="0" t="0" r="12065"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1"/>
                          <a:stretch>
                            <a:fillRect/>
                          </a:stretch>
                        </pic:blipFill>
                        <pic:spPr>
                          <a:xfrm>
                            <a:off x="0" y="0"/>
                            <a:ext cx="2464435" cy="445135"/>
                          </a:xfrm>
                          <a:prstGeom prst="rect">
                            <a:avLst/>
                          </a:prstGeom>
                          <a:noFill/>
                          <a:ln>
                            <a:noFill/>
                          </a:ln>
                        </pic:spPr>
                      </pic:pic>
                    </a:graphicData>
                  </a:graphic>
                </wp:inline>
              </w:drawing>
            </w:r>
          </w:p>
          <w:p w14:paraId="6C6E057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式中：ESO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——核算时段内二氧化硫排放量，t； </w:t>
            </w:r>
          </w:p>
          <w:p w14:paraId="67E9788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R——核算时间段内燃料耗量，万m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4BBE401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St——燃料总硫的质量浓度，mg/m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31403AF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ηs——脱硫效率，%； </w:t>
            </w:r>
          </w:p>
          <w:p w14:paraId="3AAE281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K——燃料中的硫燃烧后氧化成二氧化硫的份额，量纲一的量。 </w:t>
            </w:r>
          </w:p>
          <w:p w14:paraId="6377E3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项目使用商业天然气为二类天然气，其含硫量参考《天然气》（GB17820-2018）二类气技术指标，本次评价取最大指标值100mg/m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计，则St=100。根据</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表B.3燃料中硫转化率的一般取值</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中燃气锅炉K取1。</w:t>
            </w:r>
          </w:p>
          <w:p w14:paraId="6B011D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则项目燃气锅炉中SO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产生量如下：</w:t>
            </w:r>
          </w:p>
          <w:p w14:paraId="3D02BCC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ESO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00×10 </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72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t/a。 </w:t>
            </w:r>
          </w:p>
          <w:p w14:paraId="2D9E49C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cs="Times New Roman"/>
                <w:color w:val="000000" w:themeColor="text1"/>
                <w:sz w:val="24"/>
                <w:szCs w:val="32"/>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NOx源强核算 </w:t>
            </w:r>
          </w:p>
          <w:p w14:paraId="5DF5625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jc w:val="center"/>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drawing>
                <wp:inline distT="0" distB="0" distL="114300" distR="114300">
                  <wp:extent cx="2049145" cy="504190"/>
                  <wp:effectExtent l="0" t="0" r="825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2"/>
                          <a:stretch>
                            <a:fillRect/>
                          </a:stretch>
                        </pic:blipFill>
                        <pic:spPr>
                          <a:xfrm>
                            <a:off x="0" y="0"/>
                            <a:ext cx="2049145" cy="504190"/>
                          </a:xfrm>
                          <a:prstGeom prst="rect">
                            <a:avLst/>
                          </a:prstGeom>
                          <a:noFill/>
                          <a:ln>
                            <a:noFill/>
                          </a:ln>
                        </pic:spPr>
                      </pic:pic>
                    </a:graphicData>
                  </a:graphic>
                </wp:inline>
              </w:drawing>
            </w:r>
          </w:p>
          <w:p w14:paraId="691BCE3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式中：ENO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——核算时段内氮氧化物排放量，t； </w:t>
            </w:r>
          </w:p>
          <w:p w14:paraId="57E9929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92" w:firstLineChars="3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ρNO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——锅炉炉膛出口氮氧化物质量浓度，mg/m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02F8988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92" w:firstLineChars="3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Q——核算时段内标态干烟气排放量，m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225E142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892" w:firstLineChars="3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ηNO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——脱硝效率，%； </w:t>
            </w:r>
          </w:p>
          <w:p w14:paraId="2296F73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参照《污染源源强核算技术指南 锅炉》（HJ 991-2018），天然气锅炉炉膛出口氮氧化物质量浓度为30~300mg/m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，项目采用低氮燃烧技术，根据</w:t>
            </w:r>
            <w:r>
              <w:rPr>
                <w:rFonts w:hint="eastAsia" w:cs="Times New Roman"/>
                <w:color w:val="000000" w:themeColor="text1"/>
                <w:sz w:val="24"/>
                <w:szCs w:val="32"/>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厂商核实，</w:t>
            </w:r>
            <w:r>
              <w:rPr>
                <w:rFonts w:hint="eastAsia" w:cs="Times New Roman"/>
                <w:color w:val="000000" w:themeColor="text1"/>
                <w:sz w:val="24"/>
                <w:szCs w:val="32"/>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天然气燃烧的氮氧化物浓度可控制在50mg/m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以下，因此本次评价</w:t>
            </w:r>
            <w:r>
              <w:rPr>
                <w:rFonts w:hint="eastAsia" w:cs="Times New Roman"/>
                <w:color w:val="000000" w:themeColor="text1"/>
                <w:sz w:val="24"/>
                <w:szCs w:val="32"/>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天然气燃烧废气出口氮氧化物质量浓度取值为50mg/m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p>
          <w:p w14:paraId="264DBAE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干烟气计算方法： </w:t>
            </w:r>
          </w:p>
          <w:p w14:paraId="6E19247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jc w:val="center"/>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drawing>
                <wp:inline distT="0" distB="0" distL="114300" distR="114300">
                  <wp:extent cx="1769745" cy="520065"/>
                  <wp:effectExtent l="0" t="0" r="1905" b="133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3"/>
                          <a:stretch>
                            <a:fillRect/>
                          </a:stretch>
                        </pic:blipFill>
                        <pic:spPr>
                          <a:xfrm>
                            <a:off x="0" y="0"/>
                            <a:ext cx="1769745" cy="520065"/>
                          </a:xfrm>
                          <a:prstGeom prst="rect">
                            <a:avLst/>
                          </a:prstGeom>
                          <a:noFill/>
                          <a:ln>
                            <a:noFill/>
                          </a:ln>
                        </pic:spPr>
                      </pic:pic>
                    </a:graphicData>
                  </a:graphic>
                </wp:inline>
              </w:drawing>
            </w:r>
          </w:p>
          <w:p w14:paraId="79A3899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式中：Vg——每台锅炉干烟气排放量，m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/h； </w:t>
            </w:r>
          </w:p>
          <w:p w14:paraId="72116C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Vs——每台锅炉湿烟气排放量，m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/h； </w:t>
            </w:r>
          </w:p>
          <w:p w14:paraId="2907718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132" w:firstLineChars="4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XH</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O——烟气含湿量，%； </w:t>
            </w:r>
          </w:p>
          <w:p w14:paraId="50DE649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气体燃料中水分含量一般为10g/kg，即烟气含湿量1%，则天然气燃烧干烟气量计算如下： </w:t>
            </w:r>
          </w:p>
          <w:p w14:paraId="2F90341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Vg=</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1829</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/h×（1-1%）=</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1811</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/h。 </w:t>
            </w:r>
          </w:p>
          <w:p w14:paraId="1980F09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排放量计算如下： </w:t>
            </w:r>
          </w:p>
          <w:p w14:paraId="407273A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12" w:firstLineChars="172"/>
              <w:textAlignment w:val="auto"/>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ENO</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=50mg/m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1811</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/h×2400h×10</w:t>
            </w:r>
            <w:r>
              <w:rPr>
                <w:rFonts w:hint="default" w:ascii="Times New Roman" w:hAnsi="Times New Roman" w:eastAsia="宋体" w:cs="Times New Roman"/>
                <w:color w:val="000000" w:themeColor="text1"/>
                <w:sz w:val="24"/>
                <w:szCs w:val="32"/>
                <w:highlight w:val="none"/>
                <w:vertAlign w:val="superscript"/>
                <w:lang w:val="en-US" w:eastAsia="zh-CN"/>
                <w14:textFill>
                  <w14:solidFill>
                    <w14:schemeClr w14:val="tx1"/>
                  </w14:solidFill>
                </w14:textFill>
              </w:rPr>
              <w:t xml:space="preserve"> -9</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t/a。</w:t>
            </w:r>
          </w:p>
          <w:p w14:paraId="5E6AA9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4.2-</w:t>
            </w:r>
            <w:r>
              <w:rPr>
                <w:rFonts w:hint="eastAsia"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eastAsia" w:cs="Times New Roman"/>
                <w:b/>
                <w:color w:val="000000" w:themeColor="text1"/>
                <w:sz w:val="24"/>
                <w:szCs w:val="24"/>
                <w:highlight w:val="none"/>
                <w:lang w:val="en-US" w:eastAsia="zh-CN"/>
                <w14:textFill>
                  <w14:solidFill>
                    <w14:schemeClr w14:val="tx1"/>
                  </w14:solidFill>
                </w14:textFill>
              </w:rPr>
              <w:t>锅炉</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天然气燃烧</w:t>
            </w:r>
            <w:r>
              <w:rPr>
                <w:rFonts w:hint="default" w:ascii="Times New Roman" w:hAnsi="Times New Roman" w:eastAsia="宋体" w:cs="Times New Roman"/>
                <w:b/>
                <w:color w:val="000000" w:themeColor="text1"/>
                <w:sz w:val="24"/>
                <w:szCs w:val="24"/>
                <w:highlight w:val="none"/>
                <w14:textFill>
                  <w14:solidFill>
                    <w14:schemeClr w14:val="tx1"/>
                  </w14:solidFill>
                </w14:textFill>
              </w:rPr>
              <w:t>废气产生与排放情况一览表</w:t>
            </w:r>
          </w:p>
          <w:tbl>
            <w:tblPr>
              <w:tblStyle w:val="28"/>
              <w:tblW w:w="4983"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93"/>
              <w:gridCol w:w="674"/>
              <w:gridCol w:w="839"/>
              <w:gridCol w:w="849"/>
              <w:gridCol w:w="962"/>
              <w:gridCol w:w="1095"/>
              <w:gridCol w:w="885"/>
              <w:gridCol w:w="915"/>
              <w:gridCol w:w="1210"/>
            </w:tblGrid>
            <w:tr w14:paraId="2D1A66C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82" w:type="pct"/>
                  <w:vMerge w:val="restart"/>
                  <w:tcBorders>
                    <w:top w:val="single" w:color="auto" w:sz="2" w:space="0"/>
                    <w:left w:val="single" w:color="auto" w:sz="0" w:space="0"/>
                  </w:tcBorders>
                  <w:noWrap w:val="0"/>
                  <w:vAlign w:val="center"/>
                </w:tcPr>
                <w:p w14:paraId="754F4A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污染源</w:t>
                  </w:r>
                </w:p>
              </w:tc>
              <w:tc>
                <w:tcPr>
                  <w:tcW w:w="484" w:type="pct"/>
                  <w:vMerge w:val="restart"/>
                  <w:tcBorders>
                    <w:top w:val="single" w:color="auto" w:sz="2" w:space="0"/>
                  </w:tcBorders>
                  <w:noWrap w:val="0"/>
                  <w:vAlign w:val="center"/>
                </w:tcPr>
                <w:p w14:paraId="60E6C8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365" w:type="pct"/>
                  <w:vMerge w:val="restart"/>
                  <w:tcBorders>
                    <w:top w:val="single" w:color="auto" w:sz="2" w:space="0"/>
                  </w:tcBorders>
                  <w:noWrap w:val="0"/>
                  <w:vAlign w:val="center"/>
                </w:tcPr>
                <w:p w14:paraId="538AE5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烟气量m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/h</w:t>
                  </w:r>
                </w:p>
              </w:tc>
              <w:tc>
                <w:tcPr>
                  <w:tcW w:w="1438" w:type="pct"/>
                  <w:gridSpan w:val="3"/>
                  <w:tcBorders>
                    <w:top w:val="single" w:color="auto" w:sz="2" w:space="0"/>
                  </w:tcBorders>
                  <w:noWrap w:val="0"/>
                  <w:vAlign w:val="center"/>
                </w:tcPr>
                <w:p w14:paraId="6C1DDF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产生情况</w:t>
                  </w:r>
                </w:p>
              </w:tc>
              <w:tc>
                <w:tcPr>
                  <w:tcW w:w="594" w:type="pct"/>
                  <w:vMerge w:val="restart"/>
                  <w:tcBorders>
                    <w:top w:val="single" w:color="auto" w:sz="2" w:space="0"/>
                  </w:tcBorders>
                  <w:noWrap w:val="0"/>
                  <w:vAlign w:val="center"/>
                </w:tcPr>
                <w:p w14:paraId="6B1D02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治理措施</w:t>
                  </w:r>
                </w:p>
              </w:tc>
              <w:tc>
                <w:tcPr>
                  <w:tcW w:w="1633" w:type="pct"/>
                  <w:gridSpan w:val="3"/>
                  <w:tcBorders>
                    <w:top w:val="single" w:color="auto" w:sz="2" w:space="0"/>
                    <w:right w:val="single" w:color="auto" w:sz="2" w:space="0"/>
                  </w:tcBorders>
                  <w:noWrap w:val="0"/>
                  <w:vAlign w:val="center"/>
                </w:tcPr>
                <w:p w14:paraId="10463C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排放情况</w:t>
                  </w:r>
                </w:p>
              </w:tc>
            </w:tr>
            <w:tr w14:paraId="3E0EE1B2">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82" w:type="pct"/>
                  <w:vMerge w:val="continue"/>
                  <w:tcBorders>
                    <w:left w:val="single" w:color="auto" w:sz="4" w:space="0"/>
                  </w:tcBorders>
                  <w:noWrap w:val="0"/>
                  <w:vAlign w:val="center"/>
                </w:tcPr>
                <w:p w14:paraId="6560BF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84" w:type="pct"/>
                  <w:vMerge w:val="continue"/>
                  <w:noWrap w:val="0"/>
                  <w:vAlign w:val="center"/>
                </w:tcPr>
                <w:p w14:paraId="51574A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65" w:type="pct"/>
                  <w:vMerge w:val="continue"/>
                  <w:noWrap w:val="0"/>
                  <w:vAlign w:val="center"/>
                </w:tcPr>
                <w:p w14:paraId="64A65C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55" w:type="pct"/>
                  <w:noWrap w:val="0"/>
                  <w:vAlign w:val="center"/>
                </w:tcPr>
                <w:p w14:paraId="7CB5AD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产生量t/a</w:t>
                  </w:r>
                </w:p>
              </w:tc>
              <w:tc>
                <w:tcPr>
                  <w:tcW w:w="460" w:type="pct"/>
                  <w:noWrap w:val="0"/>
                  <w:vAlign w:val="center"/>
                </w:tcPr>
                <w:p w14:paraId="28483F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速率kg/h</w:t>
                  </w:r>
                </w:p>
              </w:tc>
              <w:tc>
                <w:tcPr>
                  <w:tcW w:w="522" w:type="pct"/>
                  <w:noWrap w:val="0"/>
                  <w:vAlign w:val="center"/>
                </w:tcPr>
                <w:p w14:paraId="66DC73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浓度mg/m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c>
              <w:tc>
                <w:tcPr>
                  <w:tcW w:w="594" w:type="pct"/>
                  <w:vMerge w:val="continue"/>
                  <w:noWrap w:val="0"/>
                  <w:vAlign w:val="center"/>
                </w:tcPr>
                <w:p w14:paraId="6D4698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80" w:type="pct"/>
                  <w:noWrap w:val="0"/>
                  <w:vAlign w:val="center"/>
                </w:tcPr>
                <w:p w14:paraId="2A2C0A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排放量t/a</w:t>
                  </w:r>
                </w:p>
              </w:tc>
              <w:tc>
                <w:tcPr>
                  <w:tcW w:w="496" w:type="pct"/>
                  <w:noWrap w:val="0"/>
                  <w:vAlign w:val="center"/>
                </w:tcPr>
                <w:p w14:paraId="781EF2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速率kg/h</w:t>
                  </w:r>
                </w:p>
              </w:tc>
              <w:tc>
                <w:tcPr>
                  <w:tcW w:w="656" w:type="pct"/>
                  <w:tcBorders>
                    <w:right w:val="single" w:color="auto" w:sz="2" w:space="0"/>
                  </w:tcBorders>
                  <w:noWrap w:val="0"/>
                  <w:vAlign w:val="center"/>
                </w:tcPr>
                <w:p w14:paraId="125AA7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浓度mg/m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c>
            </w:tr>
            <w:tr w14:paraId="3C10DF3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82" w:type="pct"/>
                  <w:vMerge w:val="restart"/>
                  <w:tcBorders>
                    <w:left w:val="single" w:color="auto" w:sz="4" w:space="0"/>
                  </w:tcBorders>
                  <w:noWrap w:val="0"/>
                  <w:vAlign w:val="center"/>
                </w:tcPr>
                <w:p w14:paraId="291683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1#锅炉</w:t>
                  </w:r>
                </w:p>
              </w:tc>
              <w:tc>
                <w:tcPr>
                  <w:tcW w:w="484" w:type="pct"/>
                  <w:noWrap w:val="0"/>
                  <w:vAlign w:val="center"/>
                </w:tcPr>
                <w:p w14:paraId="5D9635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365" w:type="pct"/>
                  <w:vMerge w:val="restart"/>
                  <w:noWrap w:val="0"/>
                  <w:vAlign w:val="center"/>
                </w:tcPr>
                <w:p w14:paraId="30A042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1829</w:t>
                  </w:r>
                </w:p>
              </w:tc>
              <w:tc>
                <w:tcPr>
                  <w:tcW w:w="455" w:type="pct"/>
                  <w:noWrap w:val="0"/>
                  <w:vAlign w:val="center"/>
                </w:tcPr>
                <w:p w14:paraId="2B2BBC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c>
                <w:tcPr>
                  <w:tcW w:w="460" w:type="pct"/>
                  <w:noWrap w:val="0"/>
                  <w:vAlign w:val="center"/>
                </w:tcPr>
                <w:p w14:paraId="6F85EA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0.036 </w:t>
                  </w:r>
                </w:p>
              </w:tc>
              <w:tc>
                <w:tcPr>
                  <w:tcW w:w="522" w:type="pct"/>
                  <w:noWrap w:val="0"/>
                  <w:vAlign w:val="center"/>
                </w:tcPr>
                <w:p w14:paraId="1E5C4C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19.59 </w:t>
                  </w:r>
                </w:p>
              </w:tc>
              <w:tc>
                <w:tcPr>
                  <w:tcW w:w="594" w:type="pct"/>
                  <w:vMerge w:val="restart"/>
                  <w:noWrap w:val="0"/>
                  <w:vAlign w:val="center"/>
                </w:tcPr>
                <w:p w14:paraId="1ACD2E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低氮燃烧</w:t>
                  </w:r>
                </w:p>
              </w:tc>
              <w:tc>
                <w:tcPr>
                  <w:tcW w:w="480" w:type="pct"/>
                  <w:shd w:val="clear" w:color="auto" w:fill="auto"/>
                  <w:noWrap w:val="0"/>
                  <w:vAlign w:val="center"/>
                </w:tcPr>
                <w:p w14:paraId="2998E4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c>
                <w:tcPr>
                  <w:tcW w:w="496" w:type="pct"/>
                  <w:shd w:val="clear" w:color="auto" w:fill="auto"/>
                  <w:noWrap w:val="0"/>
                  <w:vAlign w:val="center"/>
                </w:tcPr>
                <w:p w14:paraId="7A91E6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0.036 </w:t>
                  </w:r>
                </w:p>
              </w:tc>
              <w:tc>
                <w:tcPr>
                  <w:tcW w:w="656" w:type="pct"/>
                  <w:tcBorders>
                    <w:right w:val="single" w:color="auto" w:sz="2" w:space="0"/>
                  </w:tcBorders>
                  <w:shd w:val="clear" w:color="auto" w:fill="auto"/>
                  <w:noWrap w:val="0"/>
                  <w:vAlign w:val="center"/>
                </w:tcPr>
                <w:p w14:paraId="453263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19.59 </w:t>
                  </w:r>
                </w:p>
              </w:tc>
            </w:tr>
            <w:tr w14:paraId="2C640EC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82" w:type="pct"/>
                  <w:vMerge w:val="continue"/>
                  <w:tcBorders>
                    <w:left w:val="single" w:color="auto" w:sz="4" w:space="0"/>
                  </w:tcBorders>
                  <w:noWrap w:val="0"/>
                  <w:vAlign w:val="center"/>
                </w:tcPr>
                <w:p w14:paraId="228492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4" w:type="pct"/>
                  <w:noWrap w:val="0"/>
                  <w:vAlign w:val="center"/>
                </w:tcPr>
                <w:p w14:paraId="5AA353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365" w:type="pct"/>
                  <w:vMerge w:val="continue"/>
                  <w:noWrap w:val="0"/>
                  <w:vAlign w:val="center"/>
                </w:tcPr>
                <w:p w14:paraId="1AE6C5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5" w:type="pct"/>
                  <w:noWrap w:val="0"/>
                  <w:vAlign w:val="center"/>
                </w:tcPr>
                <w:p w14:paraId="06AAD7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c>
                <w:tcPr>
                  <w:tcW w:w="460" w:type="pct"/>
                  <w:noWrap w:val="0"/>
                  <w:vAlign w:val="center"/>
                </w:tcPr>
                <w:p w14:paraId="4D626F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0.03 </w:t>
                  </w:r>
                </w:p>
              </w:tc>
              <w:tc>
                <w:tcPr>
                  <w:tcW w:w="522" w:type="pct"/>
                  <w:noWrap w:val="0"/>
                  <w:vAlign w:val="center"/>
                </w:tcPr>
                <w:p w14:paraId="7E1380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16.4 </w:t>
                  </w:r>
                </w:p>
              </w:tc>
              <w:tc>
                <w:tcPr>
                  <w:tcW w:w="594" w:type="pct"/>
                  <w:vMerge w:val="continue"/>
                  <w:noWrap w:val="0"/>
                  <w:vAlign w:val="center"/>
                </w:tcPr>
                <w:p w14:paraId="072721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0" w:type="pct"/>
                  <w:shd w:val="clear" w:color="auto" w:fill="auto"/>
                  <w:noWrap w:val="0"/>
                  <w:vAlign w:val="center"/>
                </w:tcPr>
                <w:p w14:paraId="7299EE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c>
                <w:tcPr>
                  <w:tcW w:w="496" w:type="pct"/>
                  <w:shd w:val="clear" w:color="auto" w:fill="auto"/>
                  <w:noWrap w:val="0"/>
                  <w:vAlign w:val="center"/>
                </w:tcPr>
                <w:p w14:paraId="695240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0.03 </w:t>
                  </w:r>
                </w:p>
              </w:tc>
              <w:tc>
                <w:tcPr>
                  <w:tcW w:w="656" w:type="pct"/>
                  <w:tcBorders>
                    <w:right w:val="single" w:color="auto" w:sz="2" w:space="0"/>
                  </w:tcBorders>
                  <w:shd w:val="clear" w:color="auto" w:fill="auto"/>
                  <w:noWrap w:val="0"/>
                  <w:vAlign w:val="center"/>
                </w:tcPr>
                <w:p w14:paraId="3B40BF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16.4 </w:t>
                  </w:r>
                </w:p>
              </w:tc>
            </w:tr>
            <w:tr w14:paraId="1A12B0F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2" w:type="pct"/>
                  <w:vMerge w:val="continue"/>
                  <w:tcBorders>
                    <w:left w:val="single" w:color="auto" w:sz="4" w:space="0"/>
                  </w:tcBorders>
                  <w:noWrap w:val="0"/>
                  <w:vAlign w:val="center"/>
                </w:tcPr>
                <w:p w14:paraId="5345F4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4" w:type="pct"/>
                  <w:noWrap w:val="0"/>
                  <w:vAlign w:val="center"/>
                </w:tcPr>
                <w:p w14:paraId="46B24B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X</w:t>
                  </w:r>
                </w:p>
              </w:tc>
              <w:tc>
                <w:tcPr>
                  <w:tcW w:w="365" w:type="pct"/>
                  <w:vMerge w:val="continue"/>
                  <w:noWrap w:val="0"/>
                  <w:vAlign w:val="center"/>
                </w:tcPr>
                <w:p w14:paraId="62BB60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5" w:type="pct"/>
                  <w:noWrap w:val="0"/>
                  <w:vAlign w:val="center"/>
                </w:tcPr>
                <w:p w14:paraId="086969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c>
                <w:tcPr>
                  <w:tcW w:w="460" w:type="pct"/>
                  <w:noWrap w:val="0"/>
                  <w:vAlign w:val="center"/>
                </w:tcPr>
                <w:p w14:paraId="632C48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0.09 </w:t>
                  </w:r>
                </w:p>
              </w:tc>
              <w:tc>
                <w:tcPr>
                  <w:tcW w:w="522" w:type="pct"/>
                  <w:noWrap w:val="0"/>
                  <w:vAlign w:val="center"/>
                </w:tcPr>
                <w:p w14:paraId="024BD3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49.44</w:t>
                  </w:r>
                </w:p>
              </w:tc>
              <w:tc>
                <w:tcPr>
                  <w:tcW w:w="594" w:type="pct"/>
                  <w:vMerge w:val="continue"/>
                  <w:noWrap w:val="0"/>
                  <w:vAlign w:val="center"/>
                </w:tcPr>
                <w:p w14:paraId="3EBE5B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0" w:type="pct"/>
                  <w:shd w:val="clear" w:color="auto" w:fill="auto"/>
                  <w:noWrap w:val="0"/>
                  <w:vAlign w:val="center"/>
                </w:tcPr>
                <w:p w14:paraId="329676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c>
                <w:tcPr>
                  <w:tcW w:w="496" w:type="pct"/>
                  <w:shd w:val="clear" w:color="auto" w:fill="auto"/>
                  <w:noWrap w:val="0"/>
                  <w:vAlign w:val="center"/>
                </w:tcPr>
                <w:p w14:paraId="3892B9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0.09 </w:t>
                  </w:r>
                </w:p>
              </w:tc>
              <w:tc>
                <w:tcPr>
                  <w:tcW w:w="656" w:type="pct"/>
                  <w:tcBorders>
                    <w:right w:val="single" w:color="auto" w:sz="2" w:space="0"/>
                  </w:tcBorders>
                  <w:shd w:val="clear" w:color="auto" w:fill="auto"/>
                  <w:noWrap w:val="0"/>
                  <w:vAlign w:val="center"/>
                </w:tcPr>
                <w:p w14:paraId="3C2F03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49.44</w:t>
                  </w:r>
                </w:p>
              </w:tc>
            </w:tr>
          </w:tbl>
          <w:p w14:paraId="5361CFA0">
            <w:pPr>
              <w:keepNext w:val="0"/>
              <w:keepLines w:val="0"/>
              <w:pageBreakBefore w:val="0"/>
              <w:widowControl w:val="0"/>
              <w:kinsoku/>
              <w:wordWrap/>
              <w:overflowPunct/>
              <w:topLinePunct w:val="0"/>
              <w:autoSpaceDE/>
              <w:autoSpaceDN/>
              <w:bidi w:val="0"/>
              <w:adjustRightInd/>
              <w:snapToGrid/>
              <w:ind w:firstLine="482"/>
              <w:textAlignment w:val="auto"/>
              <w:rPr>
                <w:b w:val="0"/>
                <w:bCs/>
                <w:color w:val="000000" w:themeColor="text1"/>
                <w:szCs w:val="21"/>
                <w:highlight w:val="none"/>
                <w14:textFill>
                  <w14:solidFill>
                    <w14:schemeClr w14:val="tx1"/>
                  </w14:solidFill>
                </w14:textFill>
              </w:rPr>
            </w:pPr>
            <w:r>
              <w:rPr>
                <w:rFonts w:hint="eastAsia"/>
                <w:b w:val="0"/>
                <w:bCs/>
                <w:color w:val="000000" w:themeColor="text1"/>
                <w:szCs w:val="21"/>
                <w:highlight w:val="none"/>
                <w:lang w:eastAsia="zh-CN"/>
                <w14:textFill>
                  <w14:solidFill>
                    <w14:schemeClr w14:val="tx1"/>
                  </w14:solidFill>
                </w14:textFill>
              </w:rPr>
              <w:t>（</w:t>
            </w:r>
            <w:r>
              <w:rPr>
                <w:rFonts w:hint="eastAsia"/>
                <w:b w:val="0"/>
                <w:bCs/>
                <w:color w:val="000000" w:themeColor="text1"/>
                <w:szCs w:val="21"/>
                <w:highlight w:val="none"/>
                <w:lang w:val="en-US" w:eastAsia="zh-CN"/>
                <w14:textFill>
                  <w14:solidFill>
                    <w14:schemeClr w14:val="tx1"/>
                  </w14:solidFill>
                </w14:textFill>
              </w:rPr>
              <w:t>2</w:t>
            </w:r>
            <w:r>
              <w:rPr>
                <w:rFonts w:hint="eastAsia"/>
                <w:b w:val="0"/>
                <w:bCs/>
                <w:color w:val="000000" w:themeColor="text1"/>
                <w:szCs w:val="21"/>
                <w:highlight w:val="none"/>
                <w:lang w:eastAsia="zh-CN"/>
                <w14:textFill>
                  <w14:solidFill>
                    <w14:schemeClr w14:val="tx1"/>
                  </w14:solidFill>
                </w14:textFill>
              </w:rPr>
              <w:t>）</w:t>
            </w:r>
            <w:r>
              <w:rPr>
                <w:rFonts w:hint="eastAsia"/>
                <w:b w:val="0"/>
                <w:bCs/>
                <w:color w:val="000000" w:themeColor="text1"/>
                <w:szCs w:val="21"/>
                <w:highlight w:val="none"/>
                <w14:textFill>
                  <w14:solidFill>
                    <w14:schemeClr w14:val="tx1"/>
                  </w14:solidFill>
                </w14:textFill>
              </w:rPr>
              <w:t>食堂油烟</w:t>
            </w:r>
          </w:p>
          <w:p w14:paraId="0CDBBBBC">
            <w:pPr>
              <w:keepNext w:val="0"/>
              <w:keepLines w:val="0"/>
              <w:pageBreakBefore w:val="0"/>
              <w:widowControl w:val="0"/>
              <w:kinsoku/>
              <w:wordWrap/>
              <w:overflowPunct/>
              <w:topLinePunct w:val="0"/>
              <w:autoSpaceDE/>
              <w:autoSpaceDN/>
              <w:bidi w:val="0"/>
              <w:adjustRightInd/>
              <w:snapToGrid/>
              <w:ind w:firstLine="480"/>
              <w:textAlignment w:val="auto"/>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本项目</w:t>
            </w:r>
            <w:r>
              <w:rPr>
                <w:rFonts w:hint="eastAsia"/>
                <w:bCs/>
                <w:color w:val="000000" w:themeColor="text1"/>
                <w:szCs w:val="21"/>
                <w:highlight w:val="none"/>
                <w:lang w:eastAsia="zh-CN"/>
                <w14:textFill>
                  <w14:solidFill>
                    <w14:schemeClr w14:val="tx1"/>
                  </w14:solidFill>
                </w14:textFill>
              </w:rPr>
              <w:t>劳动定员</w:t>
            </w:r>
            <w:r>
              <w:rPr>
                <w:rFonts w:hint="eastAsia"/>
                <w:bCs/>
                <w:color w:val="000000" w:themeColor="text1"/>
                <w:szCs w:val="21"/>
                <w:highlight w:val="none"/>
                <w:lang w:val="en-US" w:eastAsia="zh-CN"/>
                <w14:textFill>
                  <w14:solidFill>
                    <w14:schemeClr w14:val="tx1"/>
                  </w14:solidFill>
                </w14:textFill>
              </w:rPr>
              <w:t>120</w:t>
            </w:r>
            <w:r>
              <w:rPr>
                <w:rFonts w:hint="eastAsia"/>
                <w:bCs/>
                <w:color w:val="000000" w:themeColor="text1"/>
                <w:szCs w:val="21"/>
                <w:highlight w:val="none"/>
                <w14:textFill>
                  <w14:solidFill>
                    <w14:schemeClr w14:val="tx1"/>
                  </w14:solidFill>
                </w14:textFill>
              </w:rPr>
              <w:t>人，食堂食用油用量按照0.03kg/人</w:t>
            </w:r>
            <w:r>
              <w:rPr>
                <w:rFonts w:hint="default" w:ascii="Times New Roman" w:hAnsi="Times New Roman" w:cs="Times New Roman"/>
                <w:bCs/>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天，项目耗油量为</w:t>
            </w:r>
            <w:r>
              <w:rPr>
                <w:rFonts w:hint="eastAsia"/>
                <w:bCs/>
                <w:color w:val="000000" w:themeColor="text1"/>
                <w:szCs w:val="21"/>
                <w:highlight w:val="none"/>
                <w:lang w:val="en-US" w:eastAsia="zh-CN"/>
                <w14:textFill>
                  <w14:solidFill>
                    <w14:schemeClr w14:val="tx1"/>
                  </w14:solidFill>
                </w14:textFill>
              </w:rPr>
              <w:t>3</w:t>
            </w:r>
            <w:r>
              <w:rPr>
                <w:rFonts w:hint="eastAsia"/>
                <w:bCs/>
                <w:color w:val="000000" w:themeColor="text1"/>
                <w:szCs w:val="21"/>
                <w:highlight w:val="none"/>
                <w14:textFill>
                  <w14:solidFill>
                    <w14:schemeClr w14:val="tx1"/>
                  </w14:solidFill>
                </w14:textFill>
              </w:rPr>
              <w:t>.6kg/d</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1.8t/a</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。食堂烹饪时烟气主要为油烟和非甲烷总烃，所排烟气中按油烟含量占耗油量的2.5%计，非甲烷总烃挥发量以5%计，则项目食堂油烟量产生为0.0</w:t>
            </w:r>
            <w:r>
              <w:rPr>
                <w:rFonts w:hint="eastAsia"/>
                <w:bCs/>
                <w:color w:val="000000" w:themeColor="text1"/>
                <w:szCs w:val="21"/>
                <w:highlight w:val="none"/>
                <w:lang w:val="en-US" w:eastAsia="zh-CN"/>
                <w14:textFill>
                  <w14:solidFill>
                    <w14:schemeClr w14:val="tx1"/>
                  </w14:solidFill>
                </w14:textFill>
              </w:rPr>
              <w:t>45</w:t>
            </w:r>
            <w:r>
              <w:rPr>
                <w:rFonts w:hint="eastAsia"/>
                <w:bCs/>
                <w:color w:val="000000" w:themeColor="text1"/>
                <w:szCs w:val="21"/>
                <w:highlight w:val="none"/>
                <w14:textFill>
                  <w14:solidFill>
                    <w14:schemeClr w14:val="tx1"/>
                  </w14:solidFill>
                </w14:textFill>
              </w:rPr>
              <w:t>t/a、非甲烷总烃产生量为0.0</w:t>
            </w:r>
            <w:r>
              <w:rPr>
                <w:rFonts w:hint="eastAsia"/>
                <w:bCs/>
                <w:color w:val="000000" w:themeColor="text1"/>
                <w:szCs w:val="21"/>
                <w:highlight w:val="none"/>
                <w:lang w:val="en-US" w:eastAsia="zh-CN"/>
                <w14:textFill>
                  <w14:solidFill>
                    <w14:schemeClr w14:val="tx1"/>
                  </w14:solidFill>
                </w14:textFill>
              </w:rPr>
              <w:t>9</w:t>
            </w:r>
            <w:r>
              <w:rPr>
                <w:rFonts w:hint="eastAsia"/>
                <w:bCs/>
                <w:color w:val="000000" w:themeColor="text1"/>
                <w:szCs w:val="21"/>
                <w:highlight w:val="none"/>
                <w14:textFill>
                  <w14:solidFill>
                    <w14:schemeClr w14:val="tx1"/>
                  </w14:solidFill>
                </w14:textFill>
              </w:rPr>
              <w:t>t/a。项目</w:t>
            </w:r>
            <w:r>
              <w:rPr>
                <w:rFonts w:hint="eastAsia"/>
                <w:bCs/>
                <w:color w:val="000000" w:themeColor="text1"/>
                <w:szCs w:val="21"/>
                <w:highlight w:val="none"/>
                <w:lang w:eastAsia="zh-CN"/>
                <w14:textFill>
                  <w14:solidFill>
                    <w14:schemeClr w14:val="tx1"/>
                  </w14:solidFill>
                </w14:textFill>
              </w:rPr>
              <w:t>设置</w:t>
            </w:r>
            <w:r>
              <w:rPr>
                <w:rFonts w:hint="eastAsia"/>
                <w:bCs/>
                <w:color w:val="000000" w:themeColor="text1"/>
                <w:szCs w:val="21"/>
                <w:highlight w:val="none"/>
                <w:lang w:val="en-US" w:eastAsia="zh-CN"/>
                <w14:textFill>
                  <w14:solidFill>
                    <w14:schemeClr w14:val="tx1"/>
                  </w14:solidFill>
                </w14:textFill>
              </w:rPr>
              <w:t>3个基准灶头，</w:t>
            </w:r>
            <w:r>
              <w:rPr>
                <w:rFonts w:hint="eastAsia"/>
                <w:color w:val="000000" w:themeColor="text1"/>
                <w:highlight w:val="none"/>
                <w:lang w:eastAsia="zh-CN"/>
                <w14:textFill>
                  <w14:solidFill>
                    <w14:schemeClr w14:val="tx1"/>
                  </w14:solidFill>
                </w14:textFill>
              </w:rPr>
              <w:t>食堂规模</w:t>
            </w:r>
            <w:r>
              <w:rPr>
                <w:rFonts w:hint="eastAsia"/>
                <w:bCs/>
                <w:color w:val="000000" w:themeColor="text1"/>
                <w:szCs w:val="21"/>
                <w:highlight w:val="none"/>
                <w:lang w:val="en-US" w:eastAsia="zh-CN"/>
                <w14:textFill>
                  <w14:solidFill>
                    <w14:schemeClr w14:val="tx1"/>
                  </w14:solidFill>
                </w14:textFill>
              </w:rPr>
              <w:t>属于中型，</w:t>
            </w:r>
            <w:r>
              <w:rPr>
                <w:rFonts w:hint="eastAsia"/>
                <w:bCs/>
                <w:color w:val="000000" w:themeColor="text1"/>
                <w:szCs w:val="21"/>
                <w:highlight w:val="none"/>
                <w14:textFill>
                  <w14:solidFill>
                    <w14:schemeClr w14:val="tx1"/>
                  </w14:solidFill>
                </w14:textFill>
              </w:rPr>
              <w:t>食堂每日工作时间按5h计，厨房灶头配套油烟净化器，</w:t>
            </w:r>
            <w:r>
              <w:rPr>
                <w:rFonts w:hint="eastAsia"/>
                <w:bCs/>
                <w:color w:val="000000" w:themeColor="text1"/>
                <w:szCs w:val="21"/>
                <w:highlight w:val="none"/>
                <w:lang w:eastAsia="zh-CN"/>
                <w14:textFill>
                  <w14:solidFill>
                    <w14:schemeClr w14:val="tx1"/>
                  </w14:solidFill>
                </w14:textFill>
              </w:rPr>
              <w:t>集气罩风量约</w:t>
            </w:r>
            <w:r>
              <w:rPr>
                <w:rFonts w:hint="eastAsia"/>
                <w:bCs/>
                <w:color w:val="000000" w:themeColor="text1"/>
                <w:szCs w:val="21"/>
                <w:highlight w:val="none"/>
                <w:lang w:val="en-US" w:eastAsia="zh-CN"/>
                <w14:textFill>
                  <w14:solidFill>
                    <w14:schemeClr w14:val="tx1"/>
                  </w14:solidFill>
                </w14:textFill>
              </w:rPr>
              <w:t>6</w:t>
            </w:r>
            <w:r>
              <w:rPr>
                <w:rFonts w:hint="eastAsia"/>
                <w:bCs/>
                <w:color w:val="000000" w:themeColor="text1"/>
                <w:szCs w:val="21"/>
                <w:highlight w:val="none"/>
                <w14:textFill>
                  <w14:solidFill>
                    <w14:schemeClr w14:val="tx1"/>
                  </w14:solidFill>
                </w14:textFill>
              </w:rPr>
              <w:t>000m</w:t>
            </w:r>
            <w:r>
              <w:rPr>
                <w:rFonts w:hint="eastAsia"/>
                <w:bCs/>
                <w:color w:val="000000" w:themeColor="text1"/>
                <w:szCs w:val="21"/>
                <w:highlight w:val="none"/>
                <w:vertAlign w:val="superscript"/>
                <w14:textFill>
                  <w14:solidFill>
                    <w14:schemeClr w14:val="tx1"/>
                  </w14:solidFill>
                </w14:textFill>
              </w:rPr>
              <w:t>3</w:t>
            </w:r>
            <w:r>
              <w:rPr>
                <w:rFonts w:hint="eastAsia"/>
                <w:bCs/>
                <w:color w:val="000000" w:themeColor="text1"/>
                <w:szCs w:val="21"/>
                <w:highlight w:val="none"/>
                <w14:textFill>
                  <w14:solidFill>
                    <w14:schemeClr w14:val="tx1"/>
                  </w14:solidFill>
                </w14:textFill>
              </w:rPr>
              <w:t>/h</w:t>
            </w:r>
            <w:r>
              <w:rPr>
                <w:rFonts w:hint="eastAsia"/>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单个基准灶头的基准风量以</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2000</w:t>
            </w:r>
            <w:r>
              <w:rPr>
                <w:rFonts w:hint="eastAsia"/>
                <w:bCs/>
                <w:color w:val="000000" w:themeColor="text1"/>
                <w:szCs w:val="21"/>
                <w:highlight w:val="none"/>
                <w14:textFill>
                  <w14:solidFill>
                    <w14:schemeClr w14:val="tx1"/>
                  </w14:solidFill>
                </w14:textFill>
              </w:rPr>
              <w:t>m</w:t>
            </w:r>
            <w:r>
              <w:rPr>
                <w:rFonts w:hint="eastAsia"/>
                <w:bCs/>
                <w:color w:val="000000" w:themeColor="text1"/>
                <w:szCs w:val="21"/>
                <w:highlight w:val="none"/>
                <w:vertAlign w:val="superscript"/>
                <w14:textFill>
                  <w14:solidFill>
                    <w14:schemeClr w14:val="tx1"/>
                  </w14:solidFill>
                </w14:textFill>
              </w:rPr>
              <w:t>3</w:t>
            </w:r>
            <w:r>
              <w:rPr>
                <w:rFonts w:hint="eastAsia"/>
                <w:bCs/>
                <w:color w:val="000000" w:themeColor="text1"/>
                <w:szCs w:val="21"/>
                <w:highlight w:val="none"/>
                <w14:textFill>
                  <w14:solidFill>
                    <w14:schemeClr w14:val="tx1"/>
                  </w14:solidFill>
                </w14:textFill>
              </w:rPr>
              <w:t>/h</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集气罩收集效率约为80%，静电油烟净化器对油烟的处置效率约为90%，对非甲烷总烃的去除率约</w:t>
            </w:r>
            <w:r>
              <w:rPr>
                <w:rFonts w:hint="eastAsia"/>
                <w:bCs/>
                <w:color w:val="000000" w:themeColor="text1"/>
                <w:szCs w:val="21"/>
                <w:highlight w:val="none"/>
                <w:lang w:val="en-US" w:eastAsia="zh-CN"/>
                <w14:textFill>
                  <w14:solidFill>
                    <w14:schemeClr w14:val="tx1"/>
                  </w14:solidFill>
                </w14:textFill>
              </w:rPr>
              <w:t>7</w:t>
            </w:r>
            <w:r>
              <w:rPr>
                <w:rFonts w:hint="eastAsia"/>
                <w:bCs/>
                <w:color w:val="000000" w:themeColor="text1"/>
                <w:szCs w:val="21"/>
                <w:highlight w:val="none"/>
                <w14:textFill>
                  <w14:solidFill>
                    <w14:schemeClr w14:val="tx1"/>
                  </w14:solidFill>
                </w14:textFill>
              </w:rPr>
              <w:t>5%。</w:t>
            </w:r>
            <w:r>
              <w:rPr>
                <w:rFonts w:hint="eastAsia"/>
                <w:color w:val="000000" w:themeColor="text1"/>
                <w:highlight w:val="none"/>
                <w:lang w:val="zh-CN" w:bidi="ar"/>
                <w14:textFill>
                  <w14:solidFill>
                    <w14:schemeClr w14:val="tx1"/>
                  </w14:solidFill>
                </w14:textFill>
              </w:rPr>
              <w:t>食堂油烟有组织年排放量为</w:t>
            </w:r>
            <w:r>
              <w:rPr>
                <w:color w:val="000000" w:themeColor="text1"/>
                <w:highlight w:val="none"/>
                <w:lang w:val="zh-CN" w:bidi="ar"/>
                <w14:textFill>
                  <w14:solidFill>
                    <w14:schemeClr w14:val="tx1"/>
                  </w14:solidFill>
                </w14:textFill>
              </w:rPr>
              <w:t>0.0</w:t>
            </w:r>
            <w:r>
              <w:rPr>
                <w:rFonts w:hint="eastAsia"/>
                <w:color w:val="000000" w:themeColor="text1"/>
                <w:highlight w:val="none"/>
                <w:lang w:val="en-US" w:eastAsia="zh-CN" w:bidi="ar"/>
                <w14:textFill>
                  <w14:solidFill>
                    <w14:schemeClr w14:val="tx1"/>
                  </w14:solidFill>
                </w14:textFill>
              </w:rPr>
              <w:t>022</w:t>
            </w:r>
            <w:r>
              <w:rPr>
                <w:color w:val="000000" w:themeColor="text1"/>
                <w:highlight w:val="none"/>
                <w:lang w:val="zh-CN" w:bidi="ar"/>
                <w14:textFill>
                  <w14:solidFill>
                    <w14:schemeClr w14:val="tx1"/>
                  </w14:solidFill>
                </w14:textFill>
              </w:rPr>
              <w:t>t/a</w:t>
            </w:r>
            <w:r>
              <w:rPr>
                <w:rFonts w:hint="eastAsia"/>
                <w:color w:val="000000" w:themeColor="text1"/>
                <w:highlight w:val="none"/>
                <w:lang w:val="zh-CN" w:bidi="ar"/>
                <w14:textFill>
                  <w14:solidFill>
                    <w14:schemeClr w14:val="tx1"/>
                  </w14:solidFill>
                </w14:textFill>
              </w:rPr>
              <w:t>，排放速率</w:t>
            </w:r>
            <w:r>
              <w:rPr>
                <w:rFonts w:hint="eastAsia"/>
                <w:color w:val="000000" w:themeColor="text1"/>
                <w:highlight w:val="none"/>
                <w:lang w:bidi="ar"/>
                <w14:textFill>
                  <w14:solidFill>
                    <w14:schemeClr w14:val="tx1"/>
                  </w14:solidFill>
                </w14:textFill>
              </w:rPr>
              <w:t>0.0</w:t>
            </w:r>
            <w:r>
              <w:rPr>
                <w:rFonts w:hint="eastAsia"/>
                <w:color w:val="000000" w:themeColor="text1"/>
                <w:highlight w:val="none"/>
                <w:lang w:val="en-US" w:eastAsia="zh-CN" w:bidi="ar"/>
                <w14:textFill>
                  <w14:solidFill>
                    <w14:schemeClr w14:val="tx1"/>
                  </w14:solidFill>
                </w14:textFill>
              </w:rPr>
              <w:t>014</w:t>
            </w:r>
            <w:r>
              <w:rPr>
                <w:color w:val="000000" w:themeColor="text1"/>
                <w:highlight w:val="none"/>
                <w:lang w:val="zh-CN" w:bidi="ar"/>
                <w14:textFill>
                  <w14:solidFill>
                    <w14:schemeClr w14:val="tx1"/>
                  </w14:solidFill>
                </w14:textFill>
              </w:rPr>
              <w:t>kg/h</w:t>
            </w:r>
            <w:r>
              <w:rPr>
                <w:rFonts w:hint="eastAsia"/>
                <w:color w:val="000000" w:themeColor="text1"/>
                <w:highlight w:val="none"/>
                <w:lang w:val="zh-CN" w:bidi="ar"/>
                <w14:textFill>
                  <w14:solidFill>
                    <w14:schemeClr w14:val="tx1"/>
                  </w14:solidFill>
                </w14:textFill>
              </w:rPr>
              <w:t>，排放浓度为</w:t>
            </w:r>
            <w:r>
              <w:rPr>
                <w:rFonts w:hint="eastAsia"/>
                <w:color w:val="000000" w:themeColor="text1"/>
                <w:highlight w:val="none"/>
                <w:lang w:val="en-US" w:eastAsia="zh-CN" w:bidi="ar"/>
                <w14:textFill>
                  <w14:solidFill>
                    <w14:schemeClr w14:val="tx1"/>
                  </w14:solidFill>
                </w14:textFill>
              </w:rPr>
              <w:t>0.24</w:t>
            </w:r>
            <w:r>
              <w:rPr>
                <w:color w:val="000000" w:themeColor="text1"/>
                <w:highlight w:val="none"/>
                <w:lang w:val="zh-CN" w:bidi="ar"/>
                <w14:textFill>
                  <w14:solidFill>
                    <w14:schemeClr w14:val="tx1"/>
                  </w14:solidFill>
                </w14:textFill>
              </w:rPr>
              <w:t>mg/m</w:t>
            </w:r>
            <w:r>
              <w:rPr>
                <w:color w:val="000000" w:themeColor="text1"/>
                <w:highlight w:val="none"/>
                <w:vertAlign w:val="superscript"/>
                <w:lang w:val="zh-CN" w:bidi="ar"/>
                <w14:textFill>
                  <w14:solidFill>
                    <w14:schemeClr w14:val="tx1"/>
                  </w14:solidFill>
                </w14:textFill>
              </w:rPr>
              <w:t>3</w:t>
            </w:r>
            <w:r>
              <w:rPr>
                <w:rFonts w:hint="eastAsia"/>
                <w:color w:val="000000" w:themeColor="text1"/>
                <w:highlight w:val="none"/>
                <w:lang w:val="zh-CN" w:bidi="ar"/>
                <w14:textFill>
                  <w14:solidFill>
                    <w14:schemeClr w14:val="tx1"/>
                  </w14:solidFill>
                </w14:textFill>
              </w:rPr>
              <w:t>；非甲烷总烃年排放量</w:t>
            </w:r>
            <w:r>
              <w:rPr>
                <w:rFonts w:hint="eastAsia"/>
                <w:color w:val="000000" w:themeColor="text1"/>
                <w:highlight w:val="none"/>
                <w:lang w:bidi="ar"/>
                <w14:textFill>
                  <w14:solidFill>
                    <w14:schemeClr w14:val="tx1"/>
                  </w14:solidFill>
                </w14:textFill>
              </w:rPr>
              <w:t>0.0</w:t>
            </w:r>
            <w:r>
              <w:rPr>
                <w:rFonts w:hint="eastAsia"/>
                <w:color w:val="000000" w:themeColor="text1"/>
                <w:highlight w:val="none"/>
                <w:lang w:val="en-US" w:eastAsia="zh-CN" w:bidi="ar"/>
                <w14:textFill>
                  <w14:solidFill>
                    <w14:schemeClr w14:val="tx1"/>
                  </w14:solidFill>
                </w14:textFill>
              </w:rPr>
              <w:t>11</w:t>
            </w:r>
            <w:r>
              <w:rPr>
                <w:color w:val="000000" w:themeColor="text1"/>
                <w:highlight w:val="none"/>
                <w:lang w:val="zh-CN" w:bidi="ar"/>
                <w14:textFill>
                  <w14:solidFill>
                    <w14:schemeClr w14:val="tx1"/>
                  </w14:solidFill>
                </w14:textFill>
              </w:rPr>
              <w:t>t/a</w:t>
            </w:r>
            <w:r>
              <w:rPr>
                <w:rFonts w:hint="eastAsia"/>
                <w:color w:val="000000" w:themeColor="text1"/>
                <w:highlight w:val="none"/>
                <w:lang w:val="zh-CN" w:bidi="ar"/>
                <w14:textFill>
                  <w14:solidFill>
                    <w14:schemeClr w14:val="tx1"/>
                  </w14:solidFill>
                </w14:textFill>
              </w:rPr>
              <w:t>，排放速率</w:t>
            </w:r>
            <w:r>
              <w:rPr>
                <w:color w:val="000000" w:themeColor="text1"/>
                <w:highlight w:val="none"/>
                <w:lang w:val="zh-CN" w:bidi="ar"/>
                <w14:textFill>
                  <w14:solidFill>
                    <w14:schemeClr w14:val="tx1"/>
                  </w14:solidFill>
                </w14:textFill>
              </w:rPr>
              <w:t>0.0</w:t>
            </w:r>
            <w:r>
              <w:rPr>
                <w:rFonts w:hint="eastAsia"/>
                <w:color w:val="000000" w:themeColor="text1"/>
                <w:highlight w:val="none"/>
                <w:lang w:val="en-US" w:eastAsia="zh-CN" w:bidi="ar"/>
                <w14:textFill>
                  <w14:solidFill>
                    <w14:schemeClr w14:val="tx1"/>
                  </w14:solidFill>
                </w14:textFill>
              </w:rPr>
              <w:t>072</w:t>
            </w:r>
            <w:r>
              <w:rPr>
                <w:color w:val="000000" w:themeColor="text1"/>
                <w:highlight w:val="none"/>
                <w:lang w:val="zh-CN" w:bidi="ar"/>
                <w14:textFill>
                  <w14:solidFill>
                    <w14:schemeClr w14:val="tx1"/>
                  </w14:solidFill>
                </w14:textFill>
              </w:rPr>
              <w:t>kg/h</w:t>
            </w:r>
            <w:r>
              <w:rPr>
                <w:rFonts w:hint="eastAsia"/>
                <w:color w:val="000000" w:themeColor="text1"/>
                <w:highlight w:val="none"/>
                <w:lang w:val="zh-CN" w:bidi="ar"/>
                <w14:textFill>
                  <w14:solidFill>
                    <w14:schemeClr w14:val="tx1"/>
                  </w14:solidFill>
                </w14:textFill>
              </w:rPr>
              <w:t>，排放浓度为</w:t>
            </w:r>
            <w:r>
              <w:rPr>
                <w:rFonts w:hint="eastAsia"/>
                <w:color w:val="000000" w:themeColor="text1"/>
                <w:highlight w:val="none"/>
                <w:lang w:val="en-US" w:eastAsia="zh-CN" w:bidi="ar"/>
                <w14:textFill>
                  <w14:solidFill>
                    <w14:schemeClr w14:val="tx1"/>
                  </w14:solidFill>
                </w14:textFill>
              </w:rPr>
              <w:t>1.2</w:t>
            </w:r>
            <w:r>
              <w:rPr>
                <w:color w:val="000000" w:themeColor="text1"/>
                <w:highlight w:val="none"/>
                <w:lang w:val="zh-CN" w:bidi="ar"/>
                <w14:textFill>
                  <w14:solidFill>
                    <w14:schemeClr w14:val="tx1"/>
                  </w14:solidFill>
                </w14:textFill>
              </w:rPr>
              <w:t>mg/m</w:t>
            </w:r>
            <w:r>
              <w:rPr>
                <w:color w:val="000000" w:themeColor="text1"/>
                <w:highlight w:val="none"/>
                <w:vertAlign w:val="superscript"/>
                <w:lang w:val="zh-CN" w:bidi="ar"/>
                <w14:textFill>
                  <w14:solidFill>
                    <w14:schemeClr w14:val="tx1"/>
                  </w14:solidFill>
                </w14:textFill>
              </w:rPr>
              <w:t>3</w:t>
            </w:r>
            <w:r>
              <w:rPr>
                <w:rFonts w:hint="eastAsia"/>
                <w:bCs/>
                <w:color w:val="000000" w:themeColor="text1"/>
                <w:szCs w:val="21"/>
                <w:highlight w:val="none"/>
                <w14:textFill>
                  <w14:solidFill>
                    <w14:schemeClr w14:val="tx1"/>
                  </w14:solidFill>
                </w14:textFill>
              </w:rPr>
              <w:t>，</w:t>
            </w:r>
            <w:r>
              <w:rPr>
                <w:rFonts w:hint="eastAsia"/>
                <w:color w:val="000000" w:themeColor="text1"/>
                <w:highlight w:val="none"/>
                <w:lang w:val="zh-CN" w:bidi="ar"/>
                <w14:textFill>
                  <w14:solidFill>
                    <w14:schemeClr w14:val="tx1"/>
                  </w14:solidFill>
                </w14:textFill>
              </w:rPr>
              <w:t>食堂油烟废气经油烟净化器处理后</w:t>
            </w:r>
            <w:r>
              <w:rPr>
                <w:rFonts w:hint="eastAsia"/>
                <w:color w:val="000000" w:themeColor="text1"/>
                <w:highlight w:val="none"/>
                <w:lang w:bidi="ar"/>
                <w14:textFill>
                  <w14:solidFill>
                    <w14:schemeClr w14:val="tx1"/>
                  </w14:solidFill>
                </w14:textFill>
              </w:rPr>
              <w:t>引至屋顶排放</w:t>
            </w:r>
            <w:r>
              <w:rPr>
                <w:rFonts w:hint="eastAsia"/>
                <w:color w:val="000000" w:themeColor="text1"/>
                <w:highlight w:val="none"/>
                <w:lang w:val="zh-CN" w:bidi="ar"/>
                <w14:textFill>
                  <w14:solidFill>
                    <w14:schemeClr w14:val="tx1"/>
                  </w14:solidFill>
                </w14:textFill>
              </w:rPr>
              <w:t>。</w:t>
            </w:r>
          </w:p>
          <w:p w14:paraId="08A819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highlight w:val="none"/>
                <w:lang w:val="en-US" w:eastAsia="zh-CN"/>
                <w14:textFill>
                  <w14:solidFill>
                    <w14:schemeClr w14:val="tx1"/>
                  </w14:solidFill>
                </w14:textFill>
              </w:rPr>
              <w:t>（3）发电机废气</w:t>
            </w:r>
          </w:p>
          <w:p w14:paraId="1EACE1FE">
            <w:pPr>
              <w:keepNext w:val="0"/>
              <w:keepLines w:val="0"/>
              <w:widowControl/>
              <w:suppressLineNumbers w:val="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本项目发电机房内设有</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台柴油发电机，作应急备用电源。柴油发电机废气经管道收集后引至站房顶部排放，污染物主要为</w:t>
            </w:r>
            <w:r>
              <w:rPr>
                <w:rFonts w:hint="default" w:ascii="Times New Roman" w:hAnsi="Times New Roman" w:cs="Times New Roman"/>
                <w:bCs/>
                <w:color w:val="000000" w:themeColor="text1"/>
                <w:sz w:val="24"/>
                <w:szCs w:val="24"/>
                <w:highlight w:val="none"/>
                <w14:textFill>
                  <w14:solidFill>
                    <w14:schemeClr w14:val="tx1"/>
                  </w14:solidFill>
                </w14:textFill>
              </w:rPr>
              <w:t>HC、CO、NO</w:t>
            </w:r>
            <w:r>
              <w:rPr>
                <w:rFonts w:hint="default" w:ascii="Times New Roman" w:hAnsi="Times New Roman" w:cs="Times New Roman"/>
                <w:bCs/>
                <w:color w:val="000000" w:themeColor="text1"/>
                <w:sz w:val="24"/>
                <w:szCs w:val="24"/>
                <w:highlight w:val="none"/>
                <w:vertAlign w:val="subscript"/>
                <w14:textFill>
                  <w14:solidFill>
                    <w14:schemeClr w14:val="tx1"/>
                  </w14:solidFill>
                </w14:textFill>
              </w:rPr>
              <w:t>x</w:t>
            </w:r>
            <w:r>
              <w:rPr>
                <w:rFonts w:hint="default" w:ascii="Times New Roman" w:hAnsi="Times New Roman" w:cs="Times New Roman"/>
                <w:bCs/>
                <w:color w:val="000000" w:themeColor="text1"/>
                <w:sz w:val="24"/>
                <w:szCs w:val="24"/>
                <w:highlight w:val="none"/>
                <w14:textFill>
                  <w14:solidFill>
                    <w14:schemeClr w14:val="tx1"/>
                  </w14:solidFill>
                </w14:textFill>
              </w:rPr>
              <w:t>、SO</w:t>
            </w:r>
            <w:r>
              <w:rPr>
                <w:rFonts w:hint="default" w:ascii="Times New Roman" w:hAnsi="Times New Roman" w:cs="Times New Roman"/>
                <w:bCs/>
                <w:color w:val="000000" w:themeColor="text1"/>
                <w:sz w:val="24"/>
                <w:szCs w:val="24"/>
                <w:highlight w:val="none"/>
                <w:vertAlign w:val="subscript"/>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。该设备使用频次少，污染物产生量少，对环境影响较小。</w:t>
            </w:r>
          </w:p>
          <w:p w14:paraId="6B960E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pPr>
            <w:r>
              <w:rPr>
                <w:rFonts w:hint="eastAsia" w:ascii="Times New Roman" w:hAnsi="Times New Roman" w:cs="Times New Roman"/>
                <w:b w:val="0"/>
                <w:bCs w:val="0"/>
                <w:snapToGrid w:val="0"/>
                <w:color w:val="000000" w:themeColor="text1"/>
                <w:spacing w:val="0"/>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污水处理站臭气</w:t>
            </w:r>
          </w:p>
          <w:p w14:paraId="774A23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pPr>
            <w:r>
              <w:rPr>
                <w:rFonts w:hint="eastAsia" w:ascii="Times New Roman" w:hAnsi="Times New Roman" w:cs="Times New Roman"/>
                <w:b w:val="0"/>
                <w:bCs w:val="0"/>
                <w:snapToGrid w:val="0"/>
                <w:color w:val="000000" w:themeColor="text1"/>
                <w:spacing w:val="0"/>
                <w:kern w:val="0"/>
                <w:sz w:val="24"/>
                <w:szCs w:val="24"/>
                <w:highlight w:val="none"/>
                <w:lang w:val="en-US" w:eastAsia="zh-CN"/>
                <w14:textFill>
                  <w14:solidFill>
                    <w14:schemeClr w14:val="tx1"/>
                  </w14:solidFill>
                </w14:textFill>
              </w:rPr>
              <w:t>本项目污水处理站</w:t>
            </w:r>
            <w:r>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处理工艺</w:t>
            </w:r>
            <w:r>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为</w:t>
            </w:r>
            <w:r>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格栅+</w:t>
            </w:r>
            <w:r>
              <w:rPr>
                <w:rFonts w:hint="eastAsia" w:cs="Times New Roman"/>
                <w:snapToGrid w:val="0"/>
                <w:color w:val="000000" w:themeColor="text1"/>
                <w:kern w:val="0"/>
                <w:sz w:val="21"/>
                <w:szCs w:val="21"/>
                <w:highlight w:val="none"/>
                <w:lang w:eastAsia="zh-CN"/>
                <w14:textFill>
                  <w14:solidFill>
                    <w14:schemeClr w14:val="tx1"/>
                  </w14:solidFill>
                </w14:textFill>
              </w:rPr>
              <w:t>隔油</w:t>
            </w:r>
            <w:r>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+调节+气浮+UASB+一级接触氧化+沉淀+二级接触氧化+沉淀</w:t>
            </w:r>
            <w:r>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，污水处理设施为</w:t>
            </w:r>
            <w:r>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地下式</w:t>
            </w:r>
            <w:r>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，设备密闭、周围加强绿化、定期在污水处理池内添加植物除臭剂；产生污泥通过脱水后及时清运并日产日清、污水站周边设置绿化带等措施进行控制。</w:t>
            </w:r>
          </w:p>
          <w:p w14:paraId="678BB1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（5）车间异味</w:t>
            </w:r>
          </w:p>
          <w:p w14:paraId="743105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本项目在生产过程中会产生一定的异味，如蒸煮时产生的异味等，通过加强车间通风，在车间呈无组织形式排放。</w:t>
            </w:r>
          </w:p>
          <w:p w14:paraId="6DF017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6</w:t>
            </w:r>
            <w:r>
              <w:rPr>
                <w:bCs/>
                <w:color w:val="000000" w:themeColor="text1"/>
                <w:szCs w:val="21"/>
                <w:highlight w:val="none"/>
                <w14:textFill>
                  <w14:solidFill>
                    <w14:schemeClr w14:val="tx1"/>
                  </w14:solidFill>
                </w14:textFill>
              </w:rPr>
              <w:t>）达标分析</w:t>
            </w:r>
          </w:p>
          <w:p w14:paraId="3922326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Ansi="宋体"/>
                <w:color w:val="000000" w:themeColor="text1"/>
                <w:szCs w:val="21"/>
                <w:highlight w:val="none"/>
                <w14:textFill>
                  <w14:solidFill>
                    <w14:schemeClr w14:val="tx1"/>
                  </w14:solidFill>
                </w14:textFill>
              </w:rPr>
            </w:pPr>
            <w:r>
              <w:rPr>
                <w:rFonts w:hint="eastAsia"/>
                <w:b/>
                <w:snapToGrid w:val="0"/>
                <w:color w:val="000000" w:themeColor="text1"/>
                <w:szCs w:val="21"/>
                <w:highlight w:val="none"/>
                <w14:textFill>
                  <w14:solidFill>
                    <w14:schemeClr w14:val="tx1"/>
                  </w14:solidFill>
                </w14:textFill>
              </w:rPr>
              <w:t>表4</w:t>
            </w:r>
            <w:r>
              <w:rPr>
                <w:rFonts w:hint="eastAsia"/>
                <w:b/>
                <w:snapToGrid w:val="0"/>
                <w:color w:val="000000" w:themeColor="text1"/>
                <w:szCs w:val="21"/>
                <w:highlight w:val="none"/>
                <w:lang w:val="en-US" w:eastAsia="zh-CN"/>
                <w14:textFill>
                  <w14:solidFill>
                    <w14:schemeClr w14:val="tx1"/>
                  </w14:solidFill>
                </w14:textFill>
              </w:rPr>
              <w:t>.2</w:t>
            </w:r>
            <w:r>
              <w:rPr>
                <w:rFonts w:hint="eastAsia"/>
                <w:b/>
                <w:snapToGrid w:val="0"/>
                <w:color w:val="000000" w:themeColor="text1"/>
                <w:szCs w:val="21"/>
                <w:highlight w:val="none"/>
                <w14:textFill>
                  <w14:solidFill>
                    <w14:schemeClr w14:val="tx1"/>
                  </w14:solidFill>
                </w14:textFill>
              </w:rPr>
              <w:t>-</w:t>
            </w:r>
            <w:r>
              <w:rPr>
                <w:rFonts w:hint="eastAsia"/>
                <w:b/>
                <w:snapToGrid w:val="0"/>
                <w:color w:val="000000" w:themeColor="text1"/>
                <w:szCs w:val="21"/>
                <w:highlight w:val="none"/>
                <w:lang w:val="en-US" w:eastAsia="zh-CN"/>
                <w14:textFill>
                  <w14:solidFill>
                    <w14:schemeClr w14:val="tx1"/>
                  </w14:solidFill>
                </w14:textFill>
              </w:rPr>
              <w:t>2</w:t>
            </w:r>
            <w:r>
              <w:rPr>
                <w:rFonts w:hint="eastAsia"/>
                <w:b/>
                <w:snapToGrid w:val="0"/>
                <w:color w:val="000000" w:themeColor="text1"/>
                <w:szCs w:val="21"/>
                <w:highlight w:val="none"/>
                <w14:textFill>
                  <w14:solidFill>
                    <w14:schemeClr w14:val="tx1"/>
                  </w14:solidFill>
                </w14:textFill>
              </w:rPr>
              <w:t xml:space="preserve">   正常工况下排气筒各污染物排放情况</w:t>
            </w:r>
          </w:p>
          <w:tbl>
            <w:tblPr>
              <w:tblStyle w:val="29"/>
              <w:tblW w:w="92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92"/>
              <w:gridCol w:w="1304"/>
              <w:gridCol w:w="1095"/>
              <w:gridCol w:w="1020"/>
              <w:gridCol w:w="1759"/>
              <w:gridCol w:w="1050"/>
              <w:gridCol w:w="930"/>
              <w:gridCol w:w="845"/>
            </w:tblGrid>
            <w:tr w14:paraId="7748A6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94" w:type="pct"/>
                  <w:vAlign w:val="center"/>
                </w:tcPr>
                <w:p w14:paraId="42D5F29D">
                  <w:pPr>
                    <w:pStyle w:val="45"/>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排放口编号及名称</w:t>
                  </w:r>
                </w:p>
              </w:tc>
              <w:tc>
                <w:tcPr>
                  <w:tcW w:w="701" w:type="pct"/>
                  <w:vAlign w:val="center"/>
                </w:tcPr>
                <w:p w14:paraId="24E7B3B0">
                  <w:pPr>
                    <w:pStyle w:val="45"/>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w:t>
                  </w:r>
                </w:p>
              </w:tc>
              <w:tc>
                <w:tcPr>
                  <w:tcW w:w="589" w:type="pct"/>
                  <w:vAlign w:val="center"/>
                </w:tcPr>
                <w:p w14:paraId="39B3416F">
                  <w:pPr>
                    <w:pStyle w:val="45"/>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排放浓度mg/m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p>
              </w:tc>
              <w:tc>
                <w:tcPr>
                  <w:tcW w:w="548" w:type="pct"/>
                  <w:vAlign w:val="center"/>
                </w:tcPr>
                <w:p w14:paraId="209195F1">
                  <w:pPr>
                    <w:pStyle w:val="45"/>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排放速率kg/h</w:t>
                  </w:r>
                </w:p>
              </w:tc>
              <w:tc>
                <w:tcPr>
                  <w:tcW w:w="946" w:type="pct"/>
                  <w:vAlign w:val="center"/>
                </w:tcPr>
                <w:p w14:paraId="232678A3">
                  <w:pPr>
                    <w:pStyle w:val="45"/>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执行标准</w:t>
                  </w:r>
                </w:p>
              </w:tc>
              <w:tc>
                <w:tcPr>
                  <w:tcW w:w="564" w:type="pct"/>
                  <w:vAlign w:val="center"/>
                </w:tcPr>
                <w:p w14:paraId="0BF747E2">
                  <w:pPr>
                    <w:pStyle w:val="45"/>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排放浓度mg/m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p>
              </w:tc>
              <w:tc>
                <w:tcPr>
                  <w:tcW w:w="500" w:type="pct"/>
                  <w:vAlign w:val="center"/>
                </w:tcPr>
                <w:p w14:paraId="00EBA890">
                  <w:pPr>
                    <w:pStyle w:val="45"/>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排放速率kg/h</w:t>
                  </w:r>
                </w:p>
              </w:tc>
              <w:tc>
                <w:tcPr>
                  <w:tcW w:w="454" w:type="pct"/>
                  <w:vAlign w:val="center"/>
                </w:tcPr>
                <w:p w14:paraId="403AF1AD">
                  <w:pPr>
                    <w:pStyle w:val="45"/>
                    <w:keepNext w:val="0"/>
                    <w:keepLines w:val="0"/>
                    <w:pageBreakBefore w:val="0"/>
                    <w:kinsoku/>
                    <w:wordWrap/>
                    <w:overflowPunct/>
                    <w:topLinePunct w:val="0"/>
                    <w:autoSpaceDE/>
                    <w:autoSpaceDN/>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达标情况</w:t>
                  </w:r>
                </w:p>
              </w:tc>
            </w:tr>
            <w:tr w14:paraId="5AC647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94" w:type="pct"/>
                  <w:vMerge w:val="restart"/>
                  <w:vAlign w:val="center"/>
                </w:tcPr>
                <w:p w14:paraId="57835AE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锅炉废气排放口DA001</w:t>
                  </w:r>
                </w:p>
              </w:tc>
              <w:tc>
                <w:tcPr>
                  <w:tcW w:w="701" w:type="pct"/>
                  <w:shd w:val="clear" w:color="auto" w:fill="auto"/>
                  <w:vAlign w:val="center"/>
                </w:tcPr>
                <w:p w14:paraId="48BCA2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589" w:type="pct"/>
                  <w:shd w:val="clear" w:color="auto" w:fill="auto"/>
                  <w:vAlign w:val="center"/>
                </w:tcPr>
                <w:p w14:paraId="00455D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19.59 </w:t>
                  </w:r>
                </w:p>
              </w:tc>
              <w:tc>
                <w:tcPr>
                  <w:tcW w:w="548" w:type="pct"/>
                  <w:shd w:val="clear" w:color="auto" w:fill="auto"/>
                  <w:vAlign w:val="center"/>
                </w:tcPr>
                <w:p w14:paraId="6F7900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0.036 </w:t>
                  </w:r>
                </w:p>
              </w:tc>
              <w:tc>
                <w:tcPr>
                  <w:tcW w:w="946" w:type="pct"/>
                  <w:vMerge w:val="restart"/>
                  <w:vAlign w:val="center"/>
                </w:tcPr>
                <w:p w14:paraId="12C289C1">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《锅炉大气污染物排放标准》（DB50/658-2016）表3标准及修改单</w:t>
                  </w:r>
                </w:p>
              </w:tc>
              <w:tc>
                <w:tcPr>
                  <w:tcW w:w="564" w:type="pct"/>
                  <w:vAlign w:val="center"/>
                </w:tcPr>
                <w:p w14:paraId="6E738B2C">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500" w:type="pct"/>
                  <w:vAlign w:val="center"/>
                </w:tcPr>
                <w:p w14:paraId="2E5111D6">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54" w:type="pct"/>
                  <w:vAlign w:val="center"/>
                </w:tcPr>
                <w:p w14:paraId="5AF63FC7">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31924B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94" w:type="pct"/>
                  <w:vMerge w:val="continue"/>
                  <w:vAlign w:val="center"/>
                </w:tcPr>
                <w:p w14:paraId="2A875AD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701" w:type="pct"/>
                  <w:shd w:val="clear" w:color="auto" w:fill="auto"/>
                  <w:vAlign w:val="center"/>
                </w:tcPr>
                <w:p w14:paraId="6BCE1D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589" w:type="pct"/>
                  <w:shd w:val="clear" w:color="auto" w:fill="auto"/>
                  <w:vAlign w:val="center"/>
                </w:tcPr>
                <w:p w14:paraId="4D6736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16.4 </w:t>
                  </w:r>
                </w:p>
              </w:tc>
              <w:tc>
                <w:tcPr>
                  <w:tcW w:w="548" w:type="pct"/>
                  <w:shd w:val="clear" w:color="auto" w:fill="auto"/>
                  <w:vAlign w:val="center"/>
                </w:tcPr>
                <w:p w14:paraId="6CBEC9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0.03 </w:t>
                  </w:r>
                </w:p>
              </w:tc>
              <w:tc>
                <w:tcPr>
                  <w:tcW w:w="946" w:type="pct"/>
                  <w:vMerge w:val="continue"/>
                  <w:vAlign w:val="center"/>
                </w:tcPr>
                <w:p w14:paraId="73A46077">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4" w:type="pct"/>
                  <w:vAlign w:val="center"/>
                </w:tcPr>
                <w:p w14:paraId="4293DF81">
                  <w:pPr>
                    <w:pStyle w:val="45"/>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50</w:t>
                  </w:r>
                </w:p>
              </w:tc>
              <w:tc>
                <w:tcPr>
                  <w:tcW w:w="500" w:type="pct"/>
                  <w:vAlign w:val="center"/>
                </w:tcPr>
                <w:p w14:paraId="4D808914">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54" w:type="pct"/>
                  <w:vAlign w:val="center"/>
                </w:tcPr>
                <w:p w14:paraId="107FEF93">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3A759E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94" w:type="pct"/>
                  <w:vMerge w:val="continue"/>
                  <w:vAlign w:val="center"/>
                </w:tcPr>
                <w:p w14:paraId="20223D7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701" w:type="pct"/>
                  <w:shd w:val="clear" w:color="auto" w:fill="auto"/>
                  <w:vAlign w:val="center"/>
                </w:tcPr>
                <w:p w14:paraId="0A52DD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X</w:t>
                  </w:r>
                </w:p>
              </w:tc>
              <w:tc>
                <w:tcPr>
                  <w:tcW w:w="589" w:type="pct"/>
                  <w:shd w:val="clear" w:color="auto" w:fill="auto"/>
                  <w:vAlign w:val="center"/>
                </w:tcPr>
                <w:p w14:paraId="365B00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49.44</w:t>
                  </w:r>
                </w:p>
              </w:tc>
              <w:tc>
                <w:tcPr>
                  <w:tcW w:w="548" w:type="pct"/>
                  <w:shd w:val="clear" w:color="auto" w:fill="auto"/>
                  <w:vAlign w:val="center"/>
                </w:tcPr>
                <w:p w14:paraId="376FA5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0.09 </w:t>
                  </w:r>
                </w:p>
              </w:tc>
              <w:tc>
                <w:tcPr>
                  <w:tcW w:w="946" w:type="pct"/>
                  <w:vMerge w:val="continue"/>
                  <w:vAlign w:val="center"/>
                </w:tcPr>
                <w:p w14:paraId="7672A3DA">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4" w:type="pct"/>
                  <w:vAlign w:val="center"/>
                </w:tcPr>
                <w:p w14:paraId="0ED11A93">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w:t>
                  </w:r>
                </w:p>
              </w:tc>
              <w:tc>
                <w:tcPr>
                  <w:tcW w:w="500" w:type="pct"/>
                  <w:vAlign w:val="center"/>
                </w:tcPr>
                <w:p w14:paraId="7CF2CCA9">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54" w:type="pct"/>
                  <w:vAlign w:val="center"/>
                </w:tcPr>
                <w:p w14:paraId="07EC1520">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5AA683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694" w:type="pct"/>
                  <w:vMerge w:val="restart"/>
                  <w:vAlign w:val="center"/>
                </w:tcPr>
                <w:p w14:paraId="281C294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食堂油烟</w:t>
                  </w:r>
                </w:p>
              </w:tc>
              <w:tc>
                <w:tcPr>
                  <w:tcW w:w="701" w:type="pct"/>
                  <w:vAlign w:val="center"/>
                </w:tcPr>
                <w:p w14:paraId="73DEDCB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bCs/>
                      <w:color w:val="000000" w:themeColor="text1"/>
                      <w:kern w:val="28"/>
                      <w:sz w:val="21"/>
                      <w:szCs w:val="21"/>
                      <w:highlight w:val="none"/>
                      <w14:textFill>
                        <w14:solidFill>
                          <w14:schemeClr w14:val="tx1"/>
                        </w14:solidFill>
                      </w14:textFill>
                    </w:rPr>
                  </w:pPr>
                  <w:r>
                    <w:rPr>
                      <w:rFonts w:hint="default" w:ascii="Times New Roman" w:hAnsi="Times New Roman" w:cs="Times New Roman"/>
                      <w:bCs/>
                      <w:color w:val="000000" w:themeColor="text1"/>
                      <w:kern w:val="28"/>
                      <w:sz w:val="21"/>
                      <w:szCs w:val="21"/>
                      <w:highlight w:val="none"/>
                      <w14:textFill>
                        <w14:solidFill>
                          <w14:schemeClr w14:val="tx1"/>
                        </w14:solidFill>
                      </w14:textFill>
                    </w:rPr>
                    <w:t>油烟</w:t>
                  </w:r>
                </w:p>
              </w:tc>
              <w:tc>
                <w:tcPr>
                  <w:tcW w:w="589" w:type="pct"/>
                  <w:vAlign w:val="center"/>
                </w:tcPr>
                <w:p w14:paraId="1F322DA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color w:val="000000" w:themeColor="text1"/>
                      <w:kern w:val="28"/>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1"/>
                      <w:szCs w:val="21"/>
                      <w:highlight w:val="none"/>
                      <w:lang w:val="en-US" w:eastAsia="zh-CN"/>
                      <w14:textFill>
                        <w14:solidFill>
                          <w14:schemeClr w14:val="tx1"/>
                        </w14:solidFill>
                      </w14:textFill>
                    </w:rPr>
                    <w:t>0.</w:t>
                  </w:r>
                  <w:r>
                    <w:rPr>
                      <w:rFonts w:hint="eastAsia" w:cs="Times New Roman"/>
                      <w:bCs/>
                      <w:color w:val="000000" w:themeColor="text1"/>
                      <w:kern w:val="28"/>
                      <w:sz w:val="21"/>
                      <w:szCs w:val="21"/>
                      <w:highlight w:val="none"/>
                      <w:lang w:val="en-US" w:eastAsia="zh-CN"/>
                      <w14:textFill>
                        <w14:solidFill>
                          <w14:schemeClr w14:val="tx1"/>
                        </w14:solidFill>
                      </w14:textFill>
                    </w:rPr>
                    <w:t>2</w:t>
                  </w:r>
                  <w:r>
                    <w:rPr>
                      <w:rFonts w:hint="default" w:ascii="Times New Roman" w:hAnsi="Times New Roman" w:cs="Times New Roman"/>
                      <w:bCs/>
                      <w:color w:val="000000" w:themeColor="text1"/>
                      <w:kern w:val="28"/>
                      <w:sz w:val="21"/>
                      <w:szCs w:val="21"/>
                      <w:highlight w:val="none"/>
                      <w:lang w:val="en-US" w:eastAsia="zh-CN"/>
                      <w14:textFill>
                        <w14:solidFill>
                          <w14:schemeClr w14:val="tx1"/>
                        </w14:solidFill>
                      </w14:textFill>
                    </w:rPr>
                    <w:t>4</w:t>
                  </w:r>
                </w:p>
              </w:tc>
              <w:tc>
                <w:tcPr>
                  <w:tcW w:w="548" w:type="pct"/>
                  <w:vAlign w:val="center"/>
                </w:tcPr>
                <w:p w14:paraId="7C2CD49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color w:val="000000" w:themeColor="text1"/>
                      <w:kern w:val="28"/>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1"/>
                      <w:szCs w:val="21"/>
                      <w:highlight w:val="none"/>
                      <w14:textFill>
                        <w14:solidFill>
                          <w14:schemeClr w14:val="tx1"/>
                        </w14:solidFill>
                      </w14:textFill>
                    </w:rPr>
                    <w:t>0.0</w:t>
                  </w:r>
                  <w:r>
                    <w:rPr>
                      <w:rFonts w:hint="default" w:ascii="Times New Roman" w:hAnsi="Times New Roman" w:cs="Times New Roman"/>
                      <w:bCs/>
                      <w:color w:val="000000" w:themeColor="text1"/>
                      <w:kern w:val="28"/>
                      <w:sz w:val="21"/>
                      <w:szCs w:val="21"/>
                      <w:highlight w:val="none"/>
                      <w:lang w:val="en-US" w:eastAsia="zh-CN"/>
                      <w14:textFill>
                        <w14:solidFill>
                          <w14:schemeClr w14:val="tx1"/>
                        </w14:solidFill>
                      </w14:textFill>
                    </w:rPr>
                    <w:t>0</w:t>
                  </w:r>
                  <w:r>
                    <w:rPr>
                      <w:rFonts w:hint="eastAsia" w:cs="Times New Roman"/>
                      <w:bCs/>
                      <w:color w:val="000000" w:themeColor="text1"/>
                      <w:kern w:val="28"/>
                      <w:sz w:val="21"/>
                      <w:szCs w:val="21"/>
                      <w:highlight w:val="none"/>
                      <w:lang w:val="en-US" w:eastAsia="zh-CN"/>
                      <w14:textFill>
                        <w14:solidFill>
                          <w14:schemeClr w14:val="tx1"/>
                        </w14:solidFill>
                      </w14:textFill>
                    </w:rPr>
                    <w:t>1</w:t>
                  </w:r>
                  <w:r>
                    <w:rPr>
                      <w:rFonts w:hint="default" w:ascii="Times New Roman" w:hAnsi="Times New Roman" w:cs="Times New Roman"/>
                      <w:bCs/>
                      <w:color w:val="000000" w:themeColor="text1"/>
                      <w:kern w:val="28"/>
                      <w:sz w:val="21"/>
                      <w:szCs w:val="21"/>
                      <w:highlight w:val="none"/>
                      <w:lang w:val="en-US" w:eastAsia="zh-CN"/>
                      <w14:textFill>
                        <w14:solidFill>
                          <w14:schemeClr w14:val="tx1"/>
                        </w14:solidFill>
                      </w14:textFill>
                    </w:rPr>
                    <w:t>4</w:t>
                  </w:r>
                </w:p>
              </w:tc>
              <w:tc>
                <w:tcPr>
                  <w:tcW w:w="946" w:type="pct"/>
                  <w:vMerge w:val="restart"/>
                  <w:vAlign w:val="center"/>
                </w:tcPr>
                <w:p w14:paraId="5AFABEF4">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《餐饮业大气污染物排放标准》（DB50/859-2018）</w:t>
                  </w:r>
                </w:p>
              </w:tc>
              <w:tc>
                <w:tcPr>
                  <w:tcW w:w="564" w:type="pct"/>
                  <w:vAlign w:val="center"/>
                </w:tcPr>
                <w:p w14:paraId="2F484194">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500" w:type="pct"/>
                  <w:vAlign w:val="center"/>
                </w:tcPr>
                <w:p w14:paraId="5323AE0D">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54" w:type="pct"/>
                  <w:vAlign w:val="center"/>
                </w:tcPr>
                <w:p w14:paraId="4303490B">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r w14:paraId="59BD20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94" w:type="pct"/>
                  <w:vMerge w:val="continue"/>
                  <w:vAlign w:val="center"/>
                </w:tcPr>
                <w:p w14:paraId="30D52A2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701" w:type="pct"/>
                  <w:vAlign w:val="center"/>
                </w:tcPr>
                <w:p w14:paraId="2EA7D01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bCs/>
                      <w:color w:val="000000" w:themeColor="text1"/>
                      <w:kern w:val="28"/>
                      <w:sz w:val="21"/>
                      <w:szCs w:val="21"/>
                      <w:highlight w:val="none"/>
                      <w14:textFill>
                        <w14:solidFill>
                          <w14:schemeClr w14:val="tx1"/>
                        </w14:solidFill>
                      </w14:textFill>
                    </w:rPr>
                  </w:pPr>
                  <w:r>
                    <w:rPr>
                      <w:rFonts w:hint="default" w:ascii="Times New Roman" w:hAnsi="Times New Roman" w:cs="Times New Roman"/>
                      <w:bCs/>
                      <w:color w:val="000000" w:themeColor="text1"/>
                      <w:kern w:val="28"/>
                      <w:sz w:val="21"/>
                      <w:szCs w:val="21"/>
                      <w:highlight w:val="none"/>
                      <w14:textFill>
                        <w14:solidFill>
                          <w14:schemeClr w14:val="tx1"/>
                        </w14:solidFill>
                      </w14:textFill>
                    </w:rPr>
                    <w:t>非甲烷总烃</w:t>
                  </w:r>
                </w:p>
              </w:tc>
              <w:tc>
                <w:tcPr>
                  <w:tcW w:w="589" w:type="pct"/>
                  <w:vAlign w:val="center"/>
                </w:tcPr>
                <w:p w14:paraId="405F569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color w:val="000000" w:themeColor="text1"/>
                      <w:kern w:val="28"/>
                      <w:sz w:val="21"/>
                      <w:szCs w:val="21"/>
                      <w:highlight w:val="none"/>
                      <w:lang w:val="en-US" w:eastAsia="zh-CN"/>
                      <w14:textFill>
                        <w14:solidFill>
                          <w14:schemeClr w14:val="tx1"/>
                        </w14:solidFill>
                      </w14:textFill>
                    </w:rPr>
                  </w:pPr>
                  <w:r>
                    <w:rPr>
                      <w:rFonts w:hint="eastAsia" w:cs="Times New Roman"/>
                      <w:bCs/>
                      <w:color w:val="000000" w:themeColor="text1"/>
                      <w:kern w:val="28"/>
                      <w:sz w:val="21"/>
                      <w:szCs w:val="21"/>
                      <w:highlight w:val="none"/>
                      <w:lang w:val="en-US" w:eastAsia="zh-CN"/>
                      <w14:textFill>
                        <w14:solidFill>
                          <w14:schemeClr w14:val="tx1"/>
                        </w14:solidFill>
                      </w14:textFill>
                    </w:rPr>
                    <w:t>1.2</w:t>
                  </w:r>
                </w:p>
              </w:tc>
              <w:tc>
                <w:tcPr>
                  <w:tcW w:w="548" w:type="pct"/>
                  <w:vAlign w:val="center"/>
                </w:tcPr>
                <w:p w14:paraId="718B847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color w:val="000000" w:themeColor="text1"/>
                      <w:kern w:val="28"/>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1"/>
                      <w:szCs w:val="21"/>
                      <w:highlight w:val="none"/>
                      <w14:textFill>
                        <w14:solidFill>
                          <w14:schemeClr w14:val="tx1"/>
                        </w14:solidFill>
                      </w14:textFill>
                    </w:rPr>
                    <w:t>0.0</w:t>
                  </w:r>
                  <w:r>
                    <w:rPr>
                      <w:rFonts w:hint="eastAsia" w:cs="Times New Roman"/>
                      <w:bCs/>
                      <w:color w:val="000000" w:themeColor="text1"/>
                      <w:kern w:val="28"/>
                      <w:sz w:val="21"/>
                      <w:szCs w:val="21"/>
                      <w:highlight w:val="none"/>
                      <w:lang w:val="en-US" w:eastAsia="zh-CN"/>
                      <w14:textFill>
                        <w14:solidFill>
                          <w14:schemeClr w14:val="tx1"/>
                        </w14:solidFill>
                      </w14:textFill>
                    </w:rPr>
                    <w:t>072</w:t>
                  </w:r>
                </w:p>
              </w:tc>
              <w:tc>
                <w:tcPr>
                  <w:tcW w:w="946" w:type="pct"/>
                  <w:vMerge w:val="continue"/>
                  <w:vAlign w:val="center"/>
                </w:tcPr>
                <w:p w14:paraId="2C2D1857">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4" w:type="pct"/>
                  <w:vAlign w:val="center"/>
                </w:tcPr>
                <w:p w14:paraId="0814E60B">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w:t>
                  </w:r>
                </w:p>
              </w:tc>
              <w:tc>
                <w:tcPr>
                  <w:tcW w:w="500" w:type="pct"/>
                  <w:vAlign w:val="center"/>
                </w:tcPr>
                <w:p w14:paraId="30A71F7C">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54" w:type="pct"/>
                  <w:vAlign w:val="center"/>
                </w:tcPr>
                <w:p w14:paraId="6E272491">
                  <w:pPr>
                    <w:pStyle w:val="45"/>
                    <w:keepNext w:val="0"/>
                    <w:keepLines w:val="0"/>
                    <w:pageBreakBefore w:val="0"/>
                    <w:kinsoku/>
                    <w:wordWrap/>
                    <w:overflowPunct/>
                    <w:topLinePunct w:val="0"/>
                    <w:autoSpaceDE/>
                    <w:autoSpaceDN/>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bl>
          <w:p w14:paraId="7C0E480D">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highlight w:val="none"/>
                <w14:textFill>
                  <w14:solidFill>
                    <w14:schemeClr w14:val="tx1"/>
                  </w14:solidFill>
                </w14:textFill>
              </w:rPr>
              <w:t>项目大气污染物排放量核算详见表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4.2-</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03BDBF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4.2-</w:t>
            </w:r>
            <w:r>
              <w:rPr>
                <w:rFonts w:hint="eastAsia"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大气污染物年排放量核算表</w:t>
            </w:r>
          </w:p>
          <w:tbl>
            <w:tblPr>
              <w:tblStyle w:val="2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2128"/>
              <w:gridCol w:w="5536"/>
            </w:tblGrid>
            <w:tr w14:paraId="5008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44" w:type="pct"/>
                  <w:vMerge w:val="restart"/>
                  <w:tcBorders>
                    <w:top w:val="single" w:color="auto" w:sz="4" w:space="0"/>
                    <w:left w:val="single" w:color="auto" w:sz="4" w:space="0"/>
                    <w:right w:val="single" w:color="auto" w:sz="4" w:space="0"/>
                  </w:tcBorders>
                  <w:noWrap w:val="0"/>
                  <w:vAlign w:val="center"/>
                </w:tcPr>
                <w:p w14:paraId="25EFF014">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序号</w:t>
                  </w:r>
                </w:p>
              </w:tc>
              <w:tc>
                <w:tcPr>
                  <w:tcW w:w="1153" w:type="pct"/>
                  <w:vMerge w:val="restart"/>
                  <w:tcBorders>
                    <w:top w:val="single" w:color="auto" w:sz="4" w:space="0"/>
                    <w:left w:val="single" w:color="auto" w:sz="4" w:space="0"/>
                    <w:right w:val="single" w:color="auto" w:sz="4" w:space="0"/>
                  </w:tcBorders>
                  <w:noWrap w:val="0"/>
                  <w:vAlign w:val="center"/>
                </w:tcPr>
                <w:p w14:paraId="2E2B23A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污染物</w:t>
                  </w:r>
                </w:p>
              </w:tc>
              <w:tc>
                <w:tcPr>
                  <w:tcW w:w="3001" w:type="pct"/>
                  <w:tcBorders>
                    <w:top w:val="single" w:color="auto" w:sz="4" w:space="0"/>
                    <w:left w:val="single" w:color="auto" w:sz="4" w:space="0"/>
                    <w:bottom w:val="single" w:color="auto" w:sz="4" w:space="0"/>
                    <w:right w:val="single" w:color="auto" w:sz="4" w:space="0"/>
                  </w:tcBorders>
                  <w:noWrap w:val="0"/>
                  <w:vAlign w:val="center"/>
                </w:tcPr>
                <w:p w14:paraId="4D5770CE">
                  <w:pPr>
                    <w:pStyle w:val="2"/>
                    <w:keepNext w:val="0"/>
                    <w:keepLines w:val="0"/>
                    <w:pageBreakBefore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年排放量</w:t>
                  </w:r>
                  <w: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t/a）</w:t>
                  </w:r>
                </w:p>
              </w:tc>
            </w:tr>
            <w:tr w14:paraId="6555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44" w:type="pct"/>
                  <w:vMerge w:val="continue"/>
                  <w:tcBorders>
                    <w:left w:val="single" w:color="auto" w:sz="4" w:space="0"/>
                    <w:bottom w:val="single" w:color="auto" w:sz="4" w:space="0"/>
                    <w:right w:val="single" w:color="auto" w:sz="4" w:space="0"/>
                  </w:tcBorders>
                  <w:noWrap w:val="0"/>
                  <w:vAlign w:val="center"/>
                </w:tcPr>
                <w:p w14:paraId="5EEB8DA8">
                  <w:pPr>
                    <w:pStyle w:val="2"/>
                    <w:keepNext w:val="0"/>
                    <w:keepLines w:val="0"/>
                    <w:pageBreakBefore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p>
              </w:tc>
              <w:tc>
                <w:tcPr>
                  <w:tcW w:w="1153" w:type="pct"/>
                  <w:vMerge w:val="continue"/>
                  <w:tcBorders>
                    <w:left w:val="single" w:color="auto" w:sz="4" w:space="0"/>
                    <w:bottom w:val="single" w:color="auto" w:sz="4" w:space="0"/>
                    <w:right w:val="single" w:color="auto" w:sz="4" w:space="0"/>
                  </w:tcBorders>
                  <w:noWrap w:val="0"/>
                  <w:vAlign w:val="center"/>
                </w:tcPr>
                <w:p w14:paraId="19B82657">
                  <w:pPr>
                    <w:pStyle w:val="2"/>
                    <w:keepNext w:val="0"/>
                    <w:keepLines w:val="0"/>
                    <w:pageBreakBefore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p>
              </w:tc>
              <w:tc>
                <w:tcPr>
                  <w:tcW w:w="3001" w:type="pct"/>
                  <w:tcBorders>
                    <w:top w:val="single" w:color="auto" w:sz="4" w:space="0"/>
                    <w:left w:val="single" w:color="auto" w:sz="4" w:space="0"/>
                    <w:bottom w:val="single" w:color="auto" w:sz="4" w:space="0"/>
                    <w:right w:val="single" w:color="auto" w:sz="4" w:space="0"/>
                  </w:tcBorders>
                  <w:noWrap w:val="0"/>
                  <w:vAlign w:val="center"/>
                </w:tcPr>
                <w:p w14:paraId="4FCF05E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14:textFill>
                        <w14:solidFill>
                          <w14:schemeClr w14:val="tx1"/>
                        </w14:solidFill>
                      </w14:textFill>
                    </w:rPr>
                    <w:t>有组织</w:t>
                  </w:r>
                </w:p>
              </w:tc>
            </w:tr>
            <w:tr w14:paraId="5374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44" w:type="pct"/>
                  <w:tcBorders>
                    <w:top w:val="single" w:color="auto" w:sz="4" w:space="0"/>
                    <w:left w:val="single" w:color="auto" w:sz="4" w:space="0"/>
                    <w:bottom w:val="single" w:color="auto" w:sz="4" w:space="0"/>
                    <w:right w:val="single" w:color="auto" w:sz="4" w:space="0"/>
                  </w:tcBorders>
                  <w:noWrap w:val="0"/>
                  <w:vAlign w:val="center"/>
                </w:tcPr>
                <w:p w14:paraId="0351434B">
                  <w:pPr>
                    <w:pStyle w:val="2"/>
                    <w:keepNext w:val="0"/>
                    <w:keepLines w:val="0"/>
                    <w:pageBreakBefore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w:t>
                  </w:r>
                </w:p>
              </w:tc>
              <w:tc>
                <w:tcPr>
                  <w:tcW w:w="1153" w:type="pct"/>
                  <w:tcBorders>
                    <w:top w:val="single" w:color="auto" w:sz="4" w:space="0"/>
                    <w:left w:val="single" w:color="auto" w:sz="4" w:space="0"/>
                    <w:bottom w:val="single" w:color="auto" w:sz="4" w:space="0"/>
                    <w:right w:val="single" w:color="auto" w:sz="4" w:space="0"/>
                  </w:tcBorders>
                  <w:noWrap w:val="0"/>
                  <w:vAlign w:val="center"/>
                </w:tcPr>
                <w:p w14:paraId="26DE22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5536" w:type="dxa"/>
                  <w:tcBorders>
                    <w:top w:val="single" w:color="auto" w:sz="4" w:space="0"/>
                    <w:left w:val="single" w:color="auto" w:sz="4" w:space="0"/>
                    <w:bottom w:val="single" w:color="auto" w:sz="4" w:space="0"/>
                    <w:right w:val="single" w:color="auto" w:sz="4" w:space="0"/>
                  </w:tcBorders>
                  <w:noWrap w:val="0"/>
                  <w:vAlign w:val="center"/>
                </w:tcPr>
                <w:p w14:paraId="3A7B21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r>
            <w:tr w14:paraId="2BFB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trPr>
              <w:tc>
                <w:tcPr>
                  <w:tcW w:w="844" w:type="pct"/>
                  <w:tcBorders>
                    <w:top w:val="single" w:color="auto" w:sz="4" w:space="0"/>
                    <w:left w:val="single" w:color="auto" w:sz="4" w:space="0"/>
                    <w:bottom w:val="single" w:color="auto" w:sz="4" w:space="0"/>
                    <w:right w:val="single" w:color="auto" w:sz="4" w:space="0"/>
                  </w:tcBorders>
                  <w:noWrap w:val="0"/>
                  <w:vAlign w:val="center"/>
                </w:tcPr>
                <w:p w14:paraId="25BF2FE6">
                  <w:pPr>
                    <w:pStyle w:val="2"/>
                    <w:keepNext w:val="0"/>
                    <w:keepLines w:val="0"/>
                    <w:pageBreakBefore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w:t>
                  </w:r>
                </w:p>
              </w:tc>
              <w:tc>
                <w:tcPr>
                  <w:tcW w:w="1153" w:type="pct"/>
                  <w:tcBorders>
                    <w:top w:val="single" w:color="auto" w:sz="4" w:space="0"/>
                    <w:left w:val="single" w:color="auto" w:sz="4" w:space="0"/>
                    <w:bottom w:val="single" w:color="auto" w:sz="4" w:space="0"/>
                    <w:right w:val="single" w:color="auto" w:sz="4" w:space="0"/>
                  </w:tcBorders>
                  <w:noWrap w:val="0"/>
                  <w:vAlign w:val="center"/>
                </w:tcPr>
                <w:p w14:paraId="13EB33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5536" w:type="dxa"/>
                  <w:tcBorders>
                    <w:top w:val="single" w:color="auto" w:sz="4" w:space="0"/>
                    <w:left w:val="single" w:color="auto" w:sz="4" w:space="0"/>
                    <w:bottom w:val="single" w:color="auto" w:sz="4" w:space="0"/>
                    <w:right w:val="single" w:color="auto" w:sz="4" w:space="0"/>
                  </w:tcBorders>
                  <w:noWrap w:val="0"/>
                  <w:vAlign w:val="center"/>
                </w:tcPr>
                <w:p w14:paraId="187ABE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r>
            <w:tr w14:paraId="2A15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trPr>
              <w:tc>
                <w:tcPr>
                  <w:tcW w:w="844" w:type="pct"/>
                  <w:tcBorders>
                    <w:top w:val="single" w:color="auto" w:sz="4" w:space="0"/>
                    <w:left w:val="single" w:color="auto" w:sz="4" w:space="0"/>
                    <w:bottom w:val="single" w:color="auto" w:sz="4" w:space="0"/>
                    <w:right w:val="single" w:color="auto" w:sz="4" w:space="0"/>
                  </w:tcBorders>
                  <w:noWrap w:val="0"/>
                  <w:vAlign w:val="center"/>
                </w:tcPr>
                <w:p w14:paraId="4FC29ED1">
                  <w:pPr>
                    <w:pStyle w:val="2"/>
                    <w:keepNext w:val="0"/>
                    <w:keepLines w:val="0"/>
                    <w:pageBreakBefore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w:t>
                  </w:r>
                </w:p>
              </w:tc>
              <w:tc>
                <w:tcPr>
                  <w:tcW w:w="1153" w:type="pct"/>
                  <w:tcBorders>
                    <w:top w:val="single" w:color="auto" w:sz="4" w:space="0"/>
                    <w:left w:val="single" w:color="auto" w:sz="4" w:space="0"/>
                    <w:bottom w:val="single" w:color="auto" w:sz="4" w:space="0"/>
                    <w:right w:val="single" w:color="auto" w:sz="4" w:space="0"/>
                  </w:tcBorders>
                  <w:noWrap w:val="0"/>
                  <w:vAlign w:val="center"/>
                </w:tcPr>
                <w:p w14:paraId="703032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X</w:t>
                  </w:r>
                </w:p>
              </w:tc>
              <w:tc>
                <w:tcPr>
                  <w:tcW w:w="5536" w:type="dxa"/>
                  <w:tcBorders>
                    <w:top w:val="single" w:color="auto" w:sz="4" w:space="0"/>
                    <w:left w:val="single" w:color="auto" w:sz="4" w:space="0"/>
                    <w:bottom w:val="single" w:color="auto" w:sz="4" w:space="0"/>
                    <w:right w:val="single" w:color="auto" w:sz="4" w:space="0"/>
                  </w:tcBorders>
                  <w:noWrap w:val="0"/>
                  <w:vAlign w:val="center"/>
                </w:tcPr>
                <w:p w14:paraId="096F83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r>
            <w:tr w14:paraId="48B9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trPr>
              <w:tc>
                <w:tcPr>
                  <w:tcW w:w="844" w:type="pct"/>
                  <w:tcBorders>
                    <w:top w:val="single" w:color="auto" w:sz="4" w:space="0"/>
                    <w:left w:val="single" w:color="auto" w:sz="4" w:space="0"/>
                    <w:bottom w:val="single" w:color="auto" w:sz="4" w:space="0"/>
                    <w:right w:val="single" w:color="auto" w:sz="4" w:space="0"/>
                  </w:tcBorders>
                  <w:noWrap w:val="0"/>
                  <w:vAlign w:val="center"/>
                </w:tcPr>
                <w:p w14:paraId="728C91F1">
                  <w:pPr>
                    <w:pStyle w:val="2"/>
                    <w:keepNext w:val="0"/>
                    <w:keepLines w:val="0"/>
                    <w:pageBreakBefore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w:t>
                  </w:r>
                </w:p>
              </w:tc>
              <w:tc>
                <w:tcPr>
                  <w:tcW w:w="1153" w:type="pct"/>
                  <w:tcBorders>
                    <w:top w:val="single" w:color="auto" w:sz="4" w:space="0"/>
                    <w:left w:val="single" w:color="auto" w:sz="4" w:space="0"/>
                    <w:bottom w:val="single" w:color="auto" w:sz="4" w:space="0"/>
                    <w:right w:val="single" w:color="auto" w:sz="4" w:space="0"/>
                  </w:tcBorders>
                  <w:noWrap w:val="0"/>
                  <w:vAlign w:val="center"/>
                </w:tcPr>
                <w:p w14:paraId="38725E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5536" w:type="dxa"/>
                  <w:tcBorders>
                    <w:top w:val="single" w:color="auto" w:sz="4" w:space="0"/>
                    <w:left w:val="single" w:color="auto" w:sz="4" w:space="0"/>
                    <w:bottom w:val="single" w:color="auto" w:sz="4" w:space="0"/>
                    <w:right w:val="single" w:color="auto" w:sz="4" w:space="0"/>
                  </w:tcBorders>
                  <w:noWrap w:val="0"/>
                  <w:vAlign w:val="center"/>
                </w:tcPr>
                <w:p w14:paraId="504228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1</w:t>
                  </w:r>
                </w:p>
              </w:tc>
            </w:tr>
            <w:tr w14:paraId="0482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4" w:type="pct"/>
                  <w:tcBorders>
                    <w:top w:val="single" w:color="auto" w:sz="4" w:space="0"/>
                    <w:left w:val="single" w:color="auto" w:sz="4" w:space="0"/>
                    <w:bottom w:val="single" w:color="auto" w:sz="4" w:space="0"/>
                    <w:right w:val="single" w:color="auto" w:sz="4" w:space="0"/>
                  </w:tcBorders>
                  <w:noWrap w:val="0"/>
                  <w:vAlign w:val="center"/>
                </w:tcPr>
                <w:p w14:paraId="4D67FC80">
                  <w:pPr>
                    <w:pStyle w:val="2"/>
                    <w:keepNext w:val="0"/>
                    <w:keepLines w:val="0"/>
                    <w:pageBreakBefore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w:t>
                  </w:r>
                </w:p>
              </w:tc>
              <w:tc>
                <w:tcPr>
                  <w:tcW w:w="1153" w:type="pct"/>
                  <w:tcBorders>
                    <w:top w:val="single" w:color="auto" w:sz="4" w:space="0"/>
                    <w:left w:val="single" w:color="auto" w:sz="4" w:space="0"/>
                    <w:bottom w:val="single" w:color="auto" w:sz="4" w:space="0"/>
                    <w:right w:val="single" w:color="auto" w:sz="4" w:space="0"/>
                  </w:tcBorders>
                  <w:noWrap w:val="0"/>
                  <w:vAlign w:val="center"/>
                </w:tcPr>
                <w:p w14:paraId="6C5747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5536" w:type="dxa"/>
                  <w:tcBorders>
                    <w:top w:val="single" w:color="auto" w:sz="4" w:space="0"/>
                    <w:left w:val="single" w:color="auto" w:sz="4" w:space="0"/>
                    <w:bottom w:val="single" w:color="auto" w:sz="4" w:space="0"/>
                    <w:right w:val="single" w:color="auto" w:sz="4" w:space="0"/>
                  </w:tcBorders>
                  <w:noWrap w:val="0"/>
                  <w:vAlign w:val="center"/>
                </w:tcPr>
                <w:p w14:paraId="4E4A5A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22</w:t>
                  </w:r>
                </w:p>
              </w:tc>
            </w:tr>
          </w:tbl>
          <w:p w14:paraId="6C172FA9">
            <w:pPr>
              <w:ind w:firstLine="480"/>
              <w:rPr>
                <w:color w:val="000000" w:themeColor="text1"/>
                <w:kern w:val="0"/>
                <w:szCs w:val="21"/>
                <w:highlight w:val="none"/>
                <w14:textFill>
                  <w14:solidFill>
                    <w14:schemeClr w14:val="tx1"/>
                  </w14:solidFill>
                </w14:textFill>
              </w:rPr>
            </w:pPr>
          </w:p>
        </w:tc>
      </w:tr>
    </w:tbl>
    <w:p w14:paraId="22A70676">
      <w:pPr>
        <w:ind w:firstLine="0" w:firstLineChars="0"/>
        <w:rPr>
          <w:snapToGrid w:val="0"/>
          <w:color w:val="000000" w:themeColor="text1"/>
          <w:highlight w:val="none"/>
          <w14:textFill>
            <w14:solidFill>
              <w14:schemeClr w14:val="tx1"/>
            </w14:solidFill>
          </w14:textFill>
        </w:rPr>
      </w:pPr>
    </w:p>
    <w:p w14:paraId="01CAFE0E">
      <w:pPr>
        <w:ind w:firstLine="0" w:firstLineChars="0"/>
        <w:rPr>
          <w:snapToGrid w:val="0"/>
          <w:color w:val="000000" w:themeColor="text1"/>
          <w:highlight w:val="none"/>
          <w14:textFill>
            <w14:solidFill>
              <w14:schemeClr w14:val="tx1"/>
            </w14:solidFill>
          </w14:textFill>
        </w:rPr>
        <w:sectPr>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4945C18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default" w:ascii="Times New Roman" w:hAnsi="Times New Roman" w:eastAsia="宋体" w:cs="Times New Roman"/>
          <w:b/>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snapToGrid w:val="0"/>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snapToGrid w:val="0"/>
          <w:color w:val="000000" w:themeColor="text1"/>
          <w:sz w:val="24"/>
          <w:szCs w:val="24"/>
          <w:highlight w:val="none"/>
          <w:lang w:val="en-US" w:eastAsia="zh-CN"/>
          <w14:textFill>
            <w14:solidFill>
              <w14:schemeClr w14:val="tx1"/>
            </w14:solidFill>
          </w14:textFill>
        </w:rPr>
        <w:t>4.2-</w:t>
      </w:r>
      <w:r>
        <w:rPr>
          <w:rFonts w:hint="eastAsia" w:ascii="Times New Roman" w:hAnsi="Times New Roman" w:eastAsia="宋体" w:cs="Times New Roman"/>
          <w:b/>
          <w:snapToGrid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snapToGrid w:val="0"/>
          <w:color w:val="000000" w:themeColor="text1"/>
          <w:sz w:val="24"/>
          <w:szCs w:val="24"/>
          <w:highlight w:val="none"/>
          <w:lang w:eastAsia="zh-CN"/>
          <w14:textFill>
            <w14:solidFill>
              <w14:schemeClr w14:val="tx1"/>
            </w14:solidFill>
          </w14:textFill>
        </w:rPr>
        <w:t xml:space="preserve">  </w:t>
      </w:r>
      <w:r>
        <w:rPr>
          <w:rFonts w:hint="eastAsia" w:ascii="Times New Roman" w:hAnsi="Times New Roman" w:eastAsia="宋体" w:cs="Times New Roman"/>
          <w:b/>
          <w:snapToGrid w:val="0"/>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b/>
          <w:snapToGrid w:val="0"/>
          <w:color w:val="000000" w:themeColor="text1"/>
          <w:sz w:val="24"/>
          <w:szCs w:val="24"/>
          <w:highlight w:val="none"/>
          <w:lang w:eastAsia="zh-CN"/>
          <w14:textFill>
            <w14:solidFill>
              <w14:schemeClr w14:val="tx1"/>
            </w14:solidFill>
          </w14:textFill>
        </w:rPr>
        <w:t>废气污染源源强核算结果及相关参数一览表</w:t>
      </w:r>
    </w:p>
    <w:tbl>
      <w:tblPr>
        <w:tblStyle w:val="28"/>
        <w:tblW w:w="5052"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09"/>
        <w:gridCol w:w="1072"/>
        <w:gridCol w:w="747"/>
        <w:gridCol w:w="779"/>
        <w:gridCol w:w="888"/>
        <w:gridCol w:w="744"/>
        <w:gridCol w:w="887"/>
        <w:gridCol w:w="691"/>
        <w:gridCol w:w="991"/>
        <w:gridCol w:w="831"/>
        <w:gridCol w:w="814"/>
        <w:gridCol w:w="739"/>
        <w:gridCol w:w="692"/>
        <w:gridCol w:w="545"/>
        <w:gridCol w:w="498"/>
        <w:gridCol w:w="664"/>
        <w:gridCol w:w="659"/>
        <w:gridCol w:w="745"/>
      </w:tblGrid>
      <w:tr w14:paraId="35996E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54" w:type="pct"/>
            <w:vMerge w:val="restart"/>
            <w:tcBorders>
              <w:tl2br w:val="nil"/>
              <w:tr2bl w:val="nil"/>
            </w:tcBorders>
            <w:noWrap w:val="0"/>
            <w:vAlign w:val="center"/>
          </w:tcPr>
          <w:p w14:paraId="2B0A491D">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工序</w:t>
            </w:r>
          </w:p>
        </w:tc>
        <w:tc>
          <w:tcPr>
            <w:tcW w:w="212" w:type="pct"/>
            <w:vMerge w:val="restart"/>
            <w:tcBorders>
              <w:tl2br w:val="nil"/>
              <w:tr2bl w:val="nil"/>
            </w:tcBorders>
            <w:noWrap w:val="0"/>
            <w:vAlign w:val="center"/>
          </w:tcPr>
          <w:p w14:paraId="6A8CF9D3">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排放源</w:t>
            </w:r>
          </w:p>
        </w:tc>
        <w:tc>
          <w:tcPr>
            <w:tcW w:w="374" w:type="pct"/>
            <w:vMerge w:val="restart"/>
            <w:tcBorders>
              <w:tl2br w:val="nil"/>
              <w:tr2bl w:val="nil"/>
            </w:tcBorders>
            <w:noWrap w:val="0"/>
            <w:vAlign w:val="center"/>
          </w:tcPr>
          <w:p w14:paraId="2CFE23DE">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污染物</w:t>
            </w:r>
          </w:p>
        </w:tc>
        <w:tc>
          <w:tcPr>
            <w:tcW w:w="842" w:type="pct"/>
            <w:gridSpan w:val="3"/>
            <w:tcBorders>
              <w:tl2br w:val="nil"/>
              <w:tr2bl w:val="nil"/>
            </w:tcBorders>
            <w:noWrap w:val="0"/>
            <w:vAlign w:val="center"/>
          </w:tcPr>
          <w:p w14:paraId="7BA5BA37">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污染物产生</w:t>
            </w:r>
          </w:p>
        </w:tc>
        <w:tc>
          <w:tcPr>
            <w:tcW w:w="810" w:type="pct"/>
            <w:gridSpan w:val="3"/>
            <w:tcBorders>
              <w:tl2br w:val="nil"/>
              <w:tr2bl w:val="nil"/>
            </w:tcBorders>
            <w:noWrap w:val="0"/>
            <w:vAlign w:val="center"/>
          </w:tcPr>
          <w:p w14:paraId="54B96BC3">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治理设施</w:t>
            </w:r>
          </w:p>
        </w:tc>
        <w:tc>
          <w:tcPr>
            <w:tcW w:w="2505" w:type="pct"/>
            <w:gridSpan w:val="10"/>
            <w:tcBorders>
              <w:tl2br w:val="nil"/>
              <w:tr2bl w:val="nil"/>
            </w:tcBorders>
            <w:noWrap w:val="0"/>
            <w:vAlign w:val="center"/>
          </w:tcPr>
          <w:p w14:paraId="385C5F40">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污染物排放</w:t>
            </w:r>
          </w:p>
        </w:tc>
      </w:tr>
      <w:tr w14:paraId="7BF8CAF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tcBorders>
              <w:tl2br w:val="nil"/>
              <w:tr2bl w:val="nil"/>
            </w:tcBorders>
            <w:noWrap w:val="0"/>
            <w:vAlign w:val="center"/>
          </w:tcPr>
          <w:p w14:paraId="5E5CFFEB">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p>
        </w:tc>
        <w:tc>
          <w:tcPr>
            <w:tcW w:w="212" w:type="pct"/>
            <w:vMerge w:val="continue"/>
            <w:tcBorders>
              <w:tl2br w:val="nil"/>
              <w:tr2bl w:val="nil"/>
            </w:tcBorders>
            <w:noWrap w:val="0"/>
            <w:vAlign w:val="center"/>
          </w:tcPr>
          <w:p w14:paraId="6E2179CF">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p>
        </w:tc>
        <w:tc>
          <w:tcPr>
            <w:tcW w:w="374" w:type="pct"/>
            <w:vMerge w:val="continue"/>
            <w:tcBorders>
              <w:tl2br w:val="nil"/>
              <w:tr2bl w:val="nil"/>
            </w:tcBorders>
            <w:noWrap w:val="0"/>
            <w:vAlign w:val="center"/>
          </w:tcPr>
          <w:p w14:paraId="2724CE61">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p>
        </w:tc>
        <w:tc>
          <w:tcPr>
            <w:tcW w:w="842" w:type="pct"/>
            <w:gridSpan w:val="3"/>
            <w:tcBorders>
              <w:tl2br w:val="nil"/>
              <w:tr2bl w:val="nil"/>
            </w:tcBorders>
            <w:noWrap w:val="0"/>
            <w:vAlign w:val="center"/>
          </w:tcPr>
          <w:p w14:paraId="7456C3FD">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产生量</w:t>
            </w:r>
          </w:p>
        </w:tc>
        <w:tc>
          <w:tcPr>
            <w:tcW w:w="259" w:type="pct"/>
            <w:vMerge w:val="restart"/>
            <w:tcBorders>
              <w:tl2br w:val="nil"/>
              <w:tr2bl w:val="nil"/>
            </w:tcBorders>
            <w:noWrap w:val="0"/>
            <w:vAlign w:val="center"/>
          </w:tcPr>
          <w:p w14:paraId="51FD6CFC">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收集效率（%）</w:t>
            </w:r>
          </w:p>
        </w:tc>
        <w:tc>
          <w:tcPr>
            <w:tcW w:w="309" w:type="pct"/>
            <w:vMerge w:val="restart"/>
            <w:tcBorders>
              <w:tl2br w:val="nil"/>
              <w:tr2bl w:val="nil"/>
            </w:tcBorders>
            <w:noWrap w:val="0"/>
            <w:vAlign w:val="center"/>
          </w:tcPr>
          <w:p w14:paraId="6FAC231E">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治理工艺</w:t>
            </w:r>
          </w:p>
        </w:tc>
        <w:tc>
          <w:tcPr>
            <w:tcW w:w="241" w:type="pct"/>
            <w:vMerge w:val="restart"/>
            <w:tcBorders>
              <w:tl2br w:val="nil"/>
              <w:tr2bl w:val="nil"/>
            </w:tcBorders>
            <w:noWrap w:val="0"/>
            <w:vAlign w:val="center"/>
          </w:tcPr>
          <w:p w14:paraId="292736B9">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去除效率（%）</w:t>
            </w:r>
          </w:p>
        </w:tc>
        <w:tc>
          <w:tcPr>
            <w:tcW w:w="345" w:type="pct"/>
            <w:vMerge w:val="restart"/>
            <w:tcBorders>
              <w:tl2br w:val="nil"/>
              <w:tr2bl w:val="nil"/>
            </w:tcBorders>
            <w:noWrap w:val="0"/>
            <w:vAlign w:val="center"/>
          </w:tcPr>
          <w:p w14:paraId="7DBB6067">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废气量（m</w:t>
            </w:r>
            <w:r>
              <w:rPr>
                <w:rFonts w:hint="default" w:ascii="Times New Roman" w:hAnsi="Times New Roman" w:eastAsia="宋体" w:cs="Times New Roman"/>
                <w:b/>
                <w:bCs/>
                <w:snapToGrid w:val="0"/>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/h）</w:t>
            </w:r>
          </w:p>
        </w:tc>
        <w:tc>
          <w:tcPr>
            <w:tcW w:w="832" w:type="pct"/>
            <w:gridSpan w:val="3"/>
            <w:tcBorders>
              <w:tl2br w:val="nil"/>
              <w:tr2bl w:val="nil"/>
            </w:tcBorders>
            <w:noWrap w:val="0"/>
            <w:vAlign w:val="center"/>
          </w:tcPr>
          <w:p w14:paraId="4C4AD11A">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排放量</w:t>
            </w:r>
          </w:p>
        </w:tc>
        <w:tc>
          <w:tcPr>
            <w:tcW w:w="241" w:type="pct"/>
            <w:vMerge w:val="restart"/>
            <w:tcBorders>
              <w:tl2br w:val="nil"/>
              <w:tr2bl w:val="nil"/>
            </w:tcBorders>
            <w:noWrap w:val="0"/>
            <w:vAlign w:val="center"/>
          </w:tcPr>
          <w:p w14:paraId="01B19615">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排放时间</w:t>
            </w:r>
          </w:p>
          <w:p w14:paraId="1FB16F51">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h</w:t>
            </w:r>
          </w:p>
        </w:tc>
        <w:tc>
          <w:tcPr>
            <w:tcW w:w="825" w:type="pct"/>
            <w:gridSpan w:val="4"/>
            <w:tcBorders>
              <w:tl2br w:val="nil"/>
              <w:tr2bl w:val="nil"/>
            </w:tcBorders>
            <w:noWrap w:val="0"/>
            <w:vAlign w:val="center"/>
          </w:tcPr>
          <w:p w14:paraId="51769159">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排气筒</w:t>
            </w:r>
          </w:p>
        </w:tc>
        <w:tc>
          <w:tcPr>
            <w:tcW w:w="260" w:type="pct"/>
            <w:vMerge w:val="restart"/>
            <w:tcBorders>
              <w:tl2br w:val="nil"/>
              <w:tr2bl w:val="nil"/>
            </w:tcBorders>
            <w:noWrap w:val="0"/>
            <w:vAlign w:val="center"/>
          </w:tcPr>
          <w:p w14:paraId="4119FB7D">
            <w:pPr>
              <w:pStyle w:val="24"/>
              <w:keepNext w:val="0"/>
              <w:keepLines w:val="0"/>
              <w:pageBreakBefore w:val="0"/>
              <w:widowControl/>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排放口类型</w:t>
            </w:r>
          </w:p>
        </w:tc>
      </w:tr>
      <w:tr w14:paraId="4361B5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54" w:type="pct"/>
            <w:vMerge w:val="continue"/>
            <w:tcBorders>
              <w:tl2br w:val="nil"/>
              <w:tr2bl w:val="nil"/>
            </w:tcBorders>
            <w:noWrap w:val="0"/>
            <w:vAlign w:val="center"/>
          </w:tcPr>
          <w:p w14:paraId="002BAA33">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212" w:type="pct"/>
            <w:vMerge w:val="continue"/>
            <w:tcBorders>
              <w:tl2br w:val="nil"/>
              <w:tr2bl w:val="nil"/>
            </w:tcBorders>
            <w:noWrap w:val="0"/>
            <w:vAlign w:val="center"/>
          </w:tcPr>
          <w:p w14:paraId="3ADFED11">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374" w:type="pct"/>
            <w:vMerge w:val="continue"/>
            <w:tcBorders>
              <w:tl2br w:val="nil"/>
              <w:tr2bl w:val="nil"/>
            </w:tcBorders>
            <w:noWrap w:val="0"/>
            <w:vAlign w:val="center"/>
          </w:tcPr>
          <w:p w14:paraId="2D3D7D32">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260" w:type="pct"/>
            <w:tcBorders>
              <w:tl2br w:val="nil"/>
              <w:tr2bl w:val="nil"/>
            </w:tcBorders>
            <w:noWrap w:val="0"/>
            <w:vAlign w:val="center"/>
          </w:tcPr>
          <w:p w14:paraId="7F356086">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产生量t/a</w:t>
            </w:r>
          </w:p>
        </w:tc>
        <w:tc>
          <w:tcPr>
            <w:tcW w:w="271" w:type="pct"/>
            <w:tcBorders>
              <w:tl2br w:val="nil"/>
              <w:tr2bl w:val="nil"/>
            </w:tcBorders>
            <w:noWrap w:val="0"/>
            <w:vAlign w:val="center"/>
          </w:tcPr>
          <w:p w14:paraId="35C80224">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速率kg/h</w:t>
            </w:r>
          </w:p>
        </w:tc>
        <w:tc>
          <w:tcPr>
            <w:tcW w:w="309" w:type="pct"/>
            <w:tcBorders>
              <w:tl2br w:val="nil"/>
              <w:tr2bl w:val="nil"/>
            </w:tcBorders>
            <w:noWrap w:val="0"/>
            <w:vAlign w:val="center"/>
          </w:tcPr>
          <w:p w14:paraId="4DDD5448">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浓度mg/m</w:t>
            </w:r>
            <w:r>
              <w:rPr>
                <w:rFonts w:hint="default" w:ascii="Times New Roman" w:hAnsi="Times New Roman" w:eastAsia="宋体" w:cs="Times New Roman"/>
                <w:b/>
                <w:bCs/>
                <w:snapToGrid w:val="0"/>
                <w:color w:val="000000" w:themeColor="text1"/>
                <w:sz w:val="21"/>
                <w:szCs w:val="21"/>
                <w:highlight w:val="none"/>
                <w:vertAlign w:val="superscript"/>
                <w:lang w:val="en-US" w:eastAsia="zh-CN"/>
                <w14:textFill>
                  <w14:solidFill>
                    <w14:schemeClr w14:val="tx1"/>
                  </w14:solidFill>
                </w14:textFill>
              </w:rPr>
              <w:t>3</w:t>
            </w:r>
          </w:p>
        </w:tc>
        <w:tc>
          <w:tcPr>
            <w:tcW w:w="259" w:type="pct"/>
            <w:vMerge w:val="continue"/>
            <w:tcBorders>
              <w:tl2br w:val="nil"/>
              <w:tr2bl w:val="nil"/>
            </w:tcBorders>
            <w:noWrap w:val="0"/>
            <w:vAlign w:val="center"/>
          </w:tcPr>
          <w:p w14:paraId="0B50865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309" w:type="pct"/>
            <w:vMerge w:val="continue"/>
            <w:tcBorders>
              <w:tl2br w:val="nil"/>
              <w:tr2bl w:val="nil"/>
            </w:tcBorders>
            <w:noWrap w:val="0"/>
            <w:vAlign w:val="center"/>
          </w:tcPr>
          <w:p w14:paraId="56BB3BB9">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241" w:type="pct"/>
            <w:vMerge w:val="continue"/>
            <w:tcBorders>
              <w:tl2br w:val="nil"/>
              <w:tr2bl w:val="nil"/>
            </w:tcBorders>
            <w:noWrap w:val="0"/>
            <w:vAlign w:val="center"/>
          </w:tcPr>
          <w:p w14:paraId="303E7CA6">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345" w:type="pct"/>
            <w:vMerge w:val="continue"/>
            <w:tcBorders>
              <w:tl2br w:val="nil"/>
              <w:tr2bl w:val="nil"/>
            </w:tcBorders>
            <w:noWrap w:val="0"/>
            <w:vAlign w:val="center"/>
          </w:tcPr>
          <w:p w14:paraId="453B7E96">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290" w:type="pct"/>
            <w:tcBorders>
              <w:tl2br w:val="nil"/>
              <w:tr2bl w:val="nil"/>
            </w:tcBorders>
            <w:noWrap w:val="0"/>
            <w:vAlign w:val="center"/>
          </w:tcPr>
          <w:p w14:paraId="2F99D820">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产生量t/a</w:t>
            </w:r>
          </w:p>
        </w:tc>
        <w:tc>
          <w:tcPr>
            <w:tcW w:w="284" w:type="pct"/>
            <w:tcBorders>
              <w:tl2br w:val="nil"/>
              <w:tr2bl w:val="nil"/>
            </w:tcBorders>
            <w:noWrap w:val="0"/>
            <w:vAlign w:val="center"/>
          </w:tcPr>
          <w:p w14:paraId="4649D927">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速率kg/h</w:t>
            </w:r>
          </w:p>
        </w:tc>
        <w:tc>
          <w:tcPr>
            <w:tcW w:w="257" w:type="pct"/>
            <w:tcBorders>
              <w:tl2br w:val="nil"/>
              <w:tr2bl w:val="nil"/>
            </w:tcBorders>
            <w:noWrap w:val="0"/>
            <w:vAlign w:val="center"/>
          </w:tcPr>
          <w:p w14:paraId="69C6D18E">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浓度mg/m</w:t>
            </w:r>
            <w:r>
              <w:rPr>
                <w:rFonts w:hint="default" w:ascii="Times New Roman" w:hAnsi="Times New Roman" w:eastAsia="宋体" w:cs="Times New Roman"/>
                <w:b/>
                <w:bCs/>
                <w:snapToGrid w:val="0"/>
                <w:color w:val="000000" w:themeColor="text1"/>
                <w:sz w:val="21"/>
                <w:szCs w:val="21"/>
                <w:highlight w:val="none"/>
                <w:vertAlign w:val="superscript"/>
                <w:lang w:val="en-US" w:eastAsia="zh-CN"/>
                <w14:textFill>
                  <w14:solidFill>
                    <w14:schemeClr w14:val="tx1"/>
                  </w14:solidFill>
                </w14:textFill>
              </w:rPr>
              <w:t>3</w:t>
            </w:r>
          </w:p>
        </w:tc>
        <w:tc>
          <w:tcPr>
            <w:tcW w:w="241" w:type="pct"/>
            <w:vMerge w:val="continue"/>
            <w:tcBorders>
              <w:tl2br w:val="nil"/>
              <w:tr2bl w:val="nil"/>
            </w:tcBorders>
            <w:noWrap w:val="0"/>
            <w:vAlign w:val="center"/>
          </w:tcPr>
          <w:p w14:paraId="7B6A0B00">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190" w:type="pct"/>
            <w:tcBorders>
              <w:tl2br w:val="nil"/>
              <w:tr2bl w:val="nil"/>
            </w:tcBorders>
            <w:noWrap w:val="0"/>
            <w:vAlign w:val="center"/>
          </w:tcPr>
          <w:p w14:paraId="79FF00D7">
            <w:pPr>
              <w:pStyle w:val="24"/>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高度m</w:t>
            </w:r>
          </w:p>
        </w:tc>
        <w:tc>
          <w:tcPr>
            <w:tcW w:w="173" w:type="pct"/>
            <w:tcBorders>
              <w:tl2br w:val="nil"/>
              <w:tr2bl w:val="nil"/>
            </w:tcBorders>
            <w:noWrap w:val="0"/>
            <w:vAlign w:val="center"/>
          </w:tcPr>
          <w:p w14:paraId="0D5D3167">
            <w:pPr>
              <w:pStyle w:val="24"/>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直径</w:t>
            </w:r>
          </w:p>
          <w:p w14:paraId="17A9DA28">
            <w:pPr>
              <w:pStyle w:val="24"/>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m</w:t>
            </w:r>
          </w:p>
        </w:tc>
        <w:tc>
          <w:tcPr>
            <w:tcW w:w="231" w:type="pct"/>
            <w:tcBorders>
              <w:tl2br w:val="nil"/>
              <w:tr2bl w:val="nil"/>
            </w:tcBorders>
            <w:noWrap w:val="0"/>
            <w:vAlign w:val="center"/>
          </w:tcPr>
          <w:p w14:paraId="2FA56B5B">
            <w:pPr>
              <w:pStyle w:val="24"/>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流速m/s</w:t>
            </w:r>
          </w:p>
        </w:tc>
        <w:tc>
          <w:tcPr>
            <w:tcW w:w="230" w:type="pct"/>
            <w:tcBorders>
              <w:tl2br w:val="nil"/>
              <w:tr2bl w:val="nil"/>
            </w:tcBorders>
            <w:noWrap w:val="0"/>
            <w:vAlign w:val="center"/>
          </w:tcPr>
          <w:p w14:paraId="369891BD">
            <w:pPr>
              <w:pStyle w:val="24"/>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outlineLvl w:val="0"/>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温度℃</w:t>
            </w:r>
          </w:p>
        </w:tc>
        <w:tc>
          <w:tcPr>
            <w:tcW w:w="260" w:type="pct"/>
            <w:vMerge w:val="continue"/>
            <w:tcBorders>
              <w:tl2br w:val="nil"/>
              <w:tr2bl w:val="nil"/>
            </w:tcBorders>
            <w:noWrap w:val="0"/>
            <w:vAlign w:val="center"/>
          </w:tcPr>
          <w:p w14:paraId="4EC94F7E">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r>
      <w:tr w14:paraId="1DA19BD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4" w:type="pct"/>
            <w:vMerge w:val="restart"/>
            <w:tcBorders>
              <w:tl2br w:val="nil"/>
              <w:tr2bl w:val="nil"/>
            </w:tcBorders>
            <w:noWrap w:val="0"/>
            <w:vAlign w:val="center"/>
          </w:tcPr>
          <w:p w14:paraId="00F8EB70">
            <w:pPr>
              <w:pStyle w:val="2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w:t>
            </w:r>
          </w:p>
        </w:tc>
        <w:tc>
          <w:tcPr>
            <w:tcW w:w="212" w:type="pct"/>
            <w:vMerge w:val="restart"/>
            <w:tcBorders>
              <w:tl2br w:val="nil"/>
              <w:tr2bl w:val="nil"/>
            </w:tcBorders>
            <w:noWrap w:val="0"/>
            <w:vAlign w:val="center"/>
          </w:tcPr>
          <w:p w14:paraId="4523FC0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DA00</w:t>
            </w:r>
            <w:r>
              <w:rPr>
                <w:rFonts w:hint="default" w:ascii="Times New Roman" w:hAnsi="Times New Roman" w:cs="Times New Roman"/>
                <w:color w:val="000000" w:themeColor="text1"/>
                <w:sz w:val="21"/>
                <w:highlight w:val="none"/>
                <w:lang w:val="en-US" w:eastAsia="zh-CN"/>
                <w14:textFill>
                  <w14:solidFill>
                    <w14:schemeClr w14:val="tx1"/>
                  </w14:solidFill>
                </w14:textFill>
              </w:rPr>
              <w:t>1</w:t>
            </w:r>
          </w:p>
        </w:tc>
        <w:tc>
          <w:tcPr>
            <w:tcW w:w="374" w:type="pct"/>
            <w:tcBorders>
              <w:tl2br w:val="nil"/>
              <w:tr2bl w:val="nil"/>
            </w:tcBorders>
            <w:noWrap w:val="0"/>
            <w:vAlign w:val="center"/>
          </w:tcPr>
          <w:p w14:paraId="60DC113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260" w:type="pct"/>
            <w:tcBorders>
              <w:tl2br w:val="nil"/>
              <w:tr2bl w:val="nil"/>
            </w:tcBorders>
            <w:shd w:val="clear" w:color="auto" w:fill="auto"/>
            <w:noWrap w:val="0"/>
            <w:vAlign w:val="center"/>
          </w:tcPr>
          <w:p w14:paraId="4A71FF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c>
          <w:tcPr>
            <w:tcW w:w="271" w:type="pct"/>
            <w:tcBorders>
              <w:tl2br w:val="nil"/>
              <w:tr2bl w:val="nil"/>
            </w:tcBorders>
            <w:shd w:val="clear" w:color="auto" w:fill="auto"/>
            <w:noWrap w:val="0"/>
            <w:vAlign w:val="center"/>
          </w:tcPr>
          <w:p w14:paraId="67D4ED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0.036 </w:t>
            </w:r>
          </w:p>
        </w:tc>
        <w:tc>
          <w:tcPr>
            <w:tcW w:w="309" w:type="pct"/>
            <w:tcBorders>
              <w:tl2br w:val="nil"/>
              <w:tr2bl w:val="nil"/>
            </w:tcBorders>
            <w:shd w:val="clear" w:color="auto" w:fill="auto"/>
            <w:noWrap w:val="0"/>
            <w:vAlign w:val="center"/>
          </w:tcPr>
          <w:p w14:paraId="622240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19.59 </w:t>
            </w:r>
          </w:p>
        </w:tc>
        <w:tc>
          <w:tcPr>
            <w:tcW w:w="259" w:type="pct"/>
            <w:vMerge w:val="restart"/>
            <w:tcBorders>
              <w:tl2br w:val="nil"/>
              <w:tr2bl w:val="nil"/>
            </w:tcBorders>
            <w:noWrap w:val="0"/>
            <w:vAlign w:val="center"/>
          </w:tcPr>
          <w:p w14:paraId="2A0A6D24">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100</w:t>
            </w:r>
          </w:p>
        </w:tc>
        <w:tc>
          <w:tcPr>
            <w:tcW w:w="309" w:type="pct"/>
            <w:vMerge w:val="restart"/>
            <w:tcBorders>
              <w:tl2br w:val="nil"/>
              <w:tr2bl w:val="nil"/>
            </w:tcBorders>
            <w:noWrap w:val="0"/>
            <w:vAlign w:val="center"/>
          </w:tcPr>
          <w:p w14:paraId="3B913AB9">
            <w:pPr>
              <w:pStyle w:val="24"/>
              <w:keepNext w:val="0"/>
              <w:keepLines w:val="0"/>
              <w:pageBreakBefore w:val="0"/>
              <w:kinsoku/>
              <w:wordWrap/>
              <w:overflowPunct/>
              <w:topLinePunct w:val="0"/>
              <w:autoSpaceDE/>
              <w:autoSpaceDN/>
              <w:bidi w:val="0"/>
              <w:spacing w:beforeAutospacing="0" w:afterAutospacing="0" w:line="240" w:lineRule="auto"/>
              <w:ind w:left="126" w:leftChars="0" w:right="0" w:rightChars="0" w:hanging="126" w:hangingChars="6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241" w:type="pct"/>
            <w:tcBorders>
              <w:tl2br w:val="nil"/>
              <w:tr2bl w:val="nil"/>
            </w:tcBorders>
            <w:noWrap w:val="0"/>
            <w:vAlign w:val="center"/>
          </w:tcPr>
          <w:p w14:paraId="408E4F36">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345" w:type="pct"/>
            <w:vMerge w:val="restart"/>
            <w:tcBorders>
              <w:tl2br w:val="nil"/>
              <w:tr2bl w:val="nil"/>
            </w:tcBorders>
            <w:noWrap w:val="0"/>
            <w:vAlign w:val="center"/>
          </w:tcPr>
          <w:p w14:paraId="39CACDB4">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1829</w:t>
            </w:r>
          </w:p>
        </w:tc>
        <w:tc>
          <w:tcPr>
            <w:tcW w:w="290" w:type="pct"/>
            <w:tcBorders>
              <w:tl2br w:val="nil"/>
              <w:tr2bl w:val="nil"/>
            </w:tcBorders>
            <w:shd w:val="clear" w:color="auto" w:fill="auto"/>
            <w:noWrap w:val="0"/>
            <w:vAlign w:val="center"/>
          </w:tcPr>
          <w:p w14:paraId="03034A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c>
          <w:tcPr>
            <w:tcW w:w="284" w:type="pct"/>
            <w:tcBorders>
              <w:tl2br w:val="nil"/>
              <w:tr2bl w:val="nil"/>
            </w:tcBorders>
            <w:shd w:val="clear" w:color="auto" w:fill="auto"/>
            <w:noWrap w:val="0"/>
            <w:vAlign w:val="center"/>
          </w:tcPr>
          <w:p w14:paraId="0CA8DF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0.036</w:t>
            </w:r>
          </w:p>
        </w:tc>
        <w:tc>
          <w:tcPr>
            <w:tcW w:w="257" w:type="pct"/>
            <w:tcBorders>
              <w:tl2br w:val="nil"/>
              <w:tr2bl w:val="nil"/>
            </w:tcBorders>
            <w:shd w:val="clear" w:color="auto" w:fill="auto"/>
            <w:noWrap w:val="0"/>
            <w:vAlign w:val="center"/>
          </w:tcPr>
          <w:p w14:paraId="468442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19.59</w:t>
            </w:r>
          </w:p>
        </w:tc>
        <w:tc>
          <w:tcPr>
            <w:tcW w:w="241" w:type="pct"/>
            <w:vMerge w:val="restart"/>
            <w:tcBorders>
              <w:tl2br w:val="nil"/>
              <w:tr2bl w:val="nil"/>
            </w:tcBorders>
            <w:noWrap w:val="0"/>
            <w:vAlign w:val="center"/>
          </w:tcPr>
          <w:p w14:paraId="506E6FC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2400</w:t>
            </w:r>
          </w:p>
        </w:tc>
        <w:tc>
          <w:tcPr>
            <w:tcW w:w="190" w:type="pct"/>
            <w:vMerge w:val="restart"/>
            <w:tcBorders>
              <w:tl2br w:val="nil"/>
              <w:tr2bl w:val="nil"/>
            </w:tcBorders>
            <w:shd w:val="clear" w:color="auto" w:fill="auto"/>
            <w:noWrap w:val="0"/>
            <w:vAlign w:val="center"/>
          </w:tcPr>
          <w:p w14:paraId="2613FFE8">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19</w:t>
            </w:r>
          </w:p>
        </w:tc>
        <w:tc>
          <w:tcPr>
            <w:tcW w:w="173" w:type="pct"/>
            <w:vMerge w:val="restart"/>
            <w:tcBorders>
              <w:tl2br w:val="nil"/>
              <w:tr2bl w:val="nil"/>
            </w:tcBorders>
            <w:shd w:val="clear" w:color="auto" w:fill="auto"/>
            <w:noWrap w:val="0"/>
            <w:vAlign w:val="center"/>
          </w:tcPr>
          <w:p w14:paraId="32C34072">
            <w:pPr>
              <w:pStyle w:val="24"/>
              <w:keepNext w:val="0"/>
              <w:keepLines w:val="0"/>
              <w:pageBreakBefore w:val="0"/>
              <w:widowControl w:val="0"/>
              <w:tabs>
                <w:tab w:val="center" w:pos="141"/>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0.2</w:t>
            </w:r>
          </w:p>
        </w:tc>
        <w:tc>
          <w:tcPr>
            <w:tcW w:w="231" w:type="pct"/>
            <w:vMerge w:val="restart"/>
            <w:tcBorders>
              <w:tl2br w:val="nil"/>
              <w:tr2bl w:val="nil"/>
            </w:tcBorders>
            <w:shd w:val="clear" w:color="auto" w:fill="auto"/>
            <w:noWrap w:val="0"/>
            <w:vAlign w:val="center"/>
          </w:tcPr>
          <w:p w14:paraId="503D4031">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12.70</w:t>
            </w:r>
          </w:p>
        </w:tc>
        <w:tc>
          <w:tcPr>
            <w:tcW w:w="230" w:type="pct"/>
            <w:vMerge w:val="restart"/>
            <w:tcBorders>
              <w:tl2br w:val="nil"/>
              <w:tr2bl w:val="nil"/>
            </w:tcBorders>
            <w:noWrap w:val="0"/>
            <w:vAlign w:val="center"/>
          </w:tcPr>
          <w:p w14:paraId="2665EEFB">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60</w:t>
            </w:r>
          </w:p>
        </w:tc>
        <w:tc>
          <w:tcPr>
            <w:tcW w:w="260" w:type="pct"/>
            <w:vMerge w:val="restart"/>
            <w:tcBorders>
              <w:tl2br w:val="nil"/>
              <w:tr2bl w:val="nil"/>
            </w:tcBorders>
            <w:noWrap w:val="0"/>
            <w:vAlign w:val="center"/>
          </w:tcPr>
          <w:p w14:paraId="54914ACC">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一般排放口</w:t>
            </w:r>
          </w:p>
        </w:tc>
      </w:tr>
      <w:tr w14:paraId="046D336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54" w:type="pct"/>
            <w:vMerge w:val="continue"/>
            <w:tcBorders>
              <w:tl2br w:val="nil"/>
              <w:tr2bl w:val="nil"/>
            </w:tcBorders>
            <w:noWrap w:val="0"/>
            <w:vAlign w:val="center"/>
          </w:tcPr>
          <w:p w14:paraId="709B62A4">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12" w:type="pct"/>
            <w:vMerge w:val="continue"/>
            <w:tcBorders>
              <w:tl2br w:val="nil"/>
              <w:tr2bl w:val="nil"/>
            </w:tcBorders>
            <w:noWrap w:val="0"/>
            <w:vAlign w:val="center"/>
          </w:tcPr>
          <w:p w14:paraId="26723CB7">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74" w:type="pct"/>
            <w:tcBorders>
              <w:tl2br w:val="nil"/>
              <w:tr2bl w:val="nil"/>
            </w:tcBorders>
            <w:noWrap w:val="0"/>
            <w:vAlign w:val="center"/>
          </w:tcPr>
          <w:p w14:paraId="6E28C45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260" w:type="pct"/>
            <w:tcBorders>
              <w:tl2br w:val="nil"/>
              <w:tr2bl w:val="nil"/>
            </w:tcBorders>
            <w:shd w:val="clear" w:color="auto" w:fill="auto"/>
            <w:noWrap w:val="0"/>
            <w:vAlign w:val="center"/>
          </w:tcPr>
          <w:p w14:paraId="5067DF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c>
          <w:tcPr>
            <w:tcW w:w="271" w:type="pct"/>
            <w:tcBorders>
              <w:tl2br w:val="nil"/>
              <w:tr2bl w:val="nil"/>
            </w:tcBorders>
            <w:shd w:val="clear" w:color="auto" w:fill="auto"/>
            <w:noWrap w:val="0"/>
            <w:vAlign w:val="center"/>
          </w:tcPr>
          <w:p w14:paraId="1D4366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0.03 </w:t>
            </w:r>
          </w:p>
        </w:tc>
        <w:tc>
          <w:tcPr>
            <w:tcW w:w="309" w:type="pct"/>
            <w:tcBorders>
              <w:tl2br w:val="nil"/>
              <w:tr2bl w:val="nil"/>
            </w:tcBorders>
            <w:shd w:val="clear" w:color="auto" w:fill="auto"/>
            <w:noWrap w:val="0"/>
            <w:vAlign w:val="center"/>
          </w:tcPr>
          <w:p w14:paraId="5E521A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16.4 </w:t>
            </w:r>
          </w:p>
        </w:tc>
        <w:tc>
          <w:tcPr>
            <w:tcW w:w="259" w:type="pct"/>
            <w:vMerge w:val="continue"/>
            <w:tcBorders>
              <w:tl2br w:val="nil"/>
              <w:tr2bl w:val="nil"/>
            </w:tcBorders>
            <w:noWrap w:val="0"/>
            <w:vAlign w:val="center"/>
          </w:tcPr>
          <w:p w14:paraId="227FAC00">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09" w:type="pct"/>
            <w:vMerge w:val="continue"/>
            <w:tcBorders>
              <w:tl2br w:val="nil"/>
              <w:tr2bl w:val="nil"/>
            </w:tcBorders>
            <w:noWrap w:val="0"/>
            <w:vAlign w:val="center"/>
          </w:tcPr>
          <w:p w14:paraId="5A6409F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41" w:type="pct"/>
            <w:tcBorders>
              <w:tl2br w:val="nil"/>
              <w:tr2bl w:val="nil"/>
            </w:tcBorders>
            <w:noWrap w:val="0"/>
            <w:vAlign w:val="center"/>
          </w:tcPr>
          <w:p w14:paraId="5EE0AE6B">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345" w:type="pct"/>
            <w:vMerge w:val="continue"/>
            <w:tcBorders>
              <w:tl2br w:val="nil"/>
              <w:tr2bl w:val="nil"/>
            </w:tcBorders>
            <w:noWrap w:val="0"/>
            <w:vAlign w:val="center"/>
          </w:tcPr>
          <w:p w14:paraId="49BEF38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90" w:type="pct"/>
            <w:tcBorders>
              <w:tl2br w:val="nil"/>
              <w:tr2bl w:val="nil"/>
            </w:tcBorders>
            <w:shd w:val="clear" w:color="auto" w:fill="auto"/>
            <w:noWrap w:val="0"/>
            <w:vAlign w:val="center"/>
          </w:tcPr>
          <w:p w14:paraId="10ACDD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c>
          <w:tcPr>
            <w:tcW w:w="284" w:type="pct"/>
            <w:tcBorders>
              <w:tl2br w:val="nil"/>
              <w:tr2bl w:val="nil"/>
            </w:tcBorders>
            <w:shd w:val="clear" w:color="auto" w:fill="auto"/>
            <w:noWrap w:val="0"/>
            <w:vAlign w:val="center"/>
          </w:tcPr>
          <w:p w14:paraId="173A20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0.03</w:t>
            </w:r>
          </w:p>
        </w:tc>
        <w:tc>
          <w:tcPr>
            <w:tcW w:w="257" w:type="pct"/>
            <w:tcBorders>
              <w:tl2br w:val="nil"/>
              <w:tr2bl w:val="nil"/>
            </w:tcBorders>
            <w:shd w:val="clear" w:color="auto" w:fill="auto"/>
            <w:noWrap w:val="0"/>
            <w:vAlign w:val="center"/>
          </w:tcPr>
          <w:p w14:paraId="639B2C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16.4</w:t>
            </w:r>
          </w:p>
        </w:tc>
        <w:tc>
          <w:tcPr>
            <w:tcW w:w="241" w:type="pct"/>
            <w:vMerge w:val="continue"/>
            <w:tcBorders>
              <w:tl2br w:val="nil"/>
              <w:tr2bl w:val="nil"/>
            </w:tcBorders>
            <w:noWrap w:val="0"/>
            <w:vAlign w:val="center"/>
          </w:tcPr>
          <w:p w14:paraId="09908CC3">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90" w:type="pct"/>
            <w:vMerge w:val="continue"/>
            <w:tcBorders>
              <w:tl2br w:val="nil"/>
              <w:tr2bl w:val="nil"/>
            </w:tcBorders>
            <w:shd w:val="clear" w:color="auto" w:fill="auto"/>
            <w:noWrap w:val="0"/>
            <w:vAlign w:val="center"/>
          </w:tcPr>
          <w:p w14:paraId="34A1ADAF">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73" w:type="pct"/>
            <w:vMerge w:val="continue"/>
            <w:tcBorders>
              <w:tl2br w:val="nil"/>
              <w:tr2bl w:val="nil"/>
            </w:tcBorders>
            <w:shd w:val="clear" w:color="auto" w:fill="auto"/>
            <w:noWrap w:val="0"/>
            <w:vAlign w:val="center"/>
          </w:tcPr>
          <w:p w14:paraId="3B932493">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1" w:type="pct"/>
            <w:vMerge w:val="continue"/>
            <w:tcBorders>
              <w:tl2br w:val="nil"/>
              <w:tr2bl w:val="nil"/>
            </w:tcBorders>
            <w:shd w:val="clear" w:color="auto" w:fill="auto"/>
            <w:noWrap w:val="0"/>
            <w:vAlign w:val="center"/>
          </w:tcPr>
          <w:p w14:paraId="3198ABF4">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0" w:type="pct"/>
            <w:vMerge w:val="continue"/>
            <w:tcBorders>
              <w:tl2br w:val="nil"/>
              <w:tr2bl w:val="nil"/>
            </w:tcBorders>
            <w:noWrap w:val="0"/>
            <w:vAlign w:val="center"/>
          </w:tcPr>
          <w:p w14:paraId="05A10DB9">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60" w:type="pct"/>
            <w:vMerge w:val="continue"/>
            <w:tcBorders>
              <w:tl2br w:val="nil"/>
              <w:tr2bl w:val="nil"/>
            </w:tcBorders>
            <w:noWrap w:val="0"/>
            <w:vAlign w:val="center"/>
          </w:tcPr>
          <w:p w14:paraId="0223C383">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r>
      <w:tr w14:paraId="45C6EE9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54" w:type="pct"/>
            <w:vMerge w:val="continue"/>
            <w:tcBorders>
              <w:tl2br w:val="nil"/>
              <w:tr2bl w:val="nil"/>
            </w:tcBorders>
            <w:noWrap w:val="0"/>
            <w:vAlign w:val="center"/>
          </w:tcPr>
          <w:p w14:paraId="2168F174">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12" w:type="pct"/>
            <w:vMerge w:val="continue"/>
            <w:tcBorders>
              <w:tl2br w:val="nil"/>
              <w:tr2bl w:val="nil"/>
            </w:tcBorders>
            <w:noWrap w:val="0"/>
            <w:vAlign w:val="center"/>
          </w:tcPr>
          <w:p w14:paraId="5F3FE00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74" w:type="pct"/>
            <w:tcBorders>
              <w:tl2br w:val="nil"/>
              <w:tr2bl w:val="nil"/>
            </w:tcBorders>
            <w:noWrap w:val="0"/>
            <w:vAlign w:val="center"/>
          </w:tcPr>
          <w:p w14:paraId="330E59D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X</w:t>
            </w:r>
          </w:p>
        </w:tc>
        <w:tc>
          <w:tcPr>
            <w:tcW w:w="260" w:type="pct"/>
            <w:tcBorders>
              <w:tl2br w:val="nil"/>
              <w:tr2bl w:val="nil"/>
            </w:tcBorders>
            <w:shd w:val="clear" w:color="auto" w:fill="auto"/>
            <w:noWrap w:val="0"/>
            <w:vAlign w:val="center"/>
          </w:tcPr>
          <w:p w14:paraId="602A6B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c>
          <w:tcPr>
            <w:tcW w:w="271" w:type="pct"/>
            <w:tcBorders>
              <w:tl2br w:val="nil"/>
              <w:tr2bl w:val="nil"/>
            </w:tcBorders>
            <w:shd w:val="clear" w:color="auto" w:fill="auto"/>
            <w:noWrap w:val="0"/>
            <w:vAlign w:val="center"/>
          </w:tcPr>
          <w:p w14:paraId="56B5CD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0.09 </w:t>
            </w:r>
          </w:p>
        </w:tc>
        <w:tc>
          <w:tcPr>
            <w:tcW w:w="309" w:type="pct"/>
            <w:tcBorders>
              <w:tl2br w:val="nil"/>
              <w:tr2bl w:val="nil"/>
            </w:tcBorders>
            <w:shd w:val="clear" w:color="auto" w:fill="auto"/>
            <w:noWrap w:val="0"/>
            <w:vAlign w:val="center"/>
          </w:tcPr>
          <w:p w14:paraId="070C40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49.44</w:t>
            </w:r>
          </w:p>
        </w:tc>
        <w:tc>
          <w:tcPr>
            <w:tcW w:w="259" w:type="pct"/>
            <w:vMerge w:val="continue"/>
            <w:tcBorders>
              <w:tl2br w:val="nil"/>
              <w:tr2bl w:val="nil"/>
            </w:tcBorders>
            <w:noWrap w:val="0"/>
            <w:vAlign w:val="center"/>
          </w:tcPr>
          <w:p w14:paraId="487F7CCA">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09" w:type="pct"/>
            <w:vMerge w:val="continue"/>
            <w:tcBorders>
              <w:tl2br w:val="nil"/>
              <w:tr2bl w:val="nil"/>
            </w:tcBorders>
            <w:noWrap w:val="0"/>
            <w:vAlign w:val="center"/>
          </w:tcPr>
          <w:p w14:paraId="77E9AE9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41" w:type="pct"/>
            <w:tcBorders>
              <w:tl2br w:val="nil"/>
              <w:tr2bl w:val="nil"/>
            </w:tcBorders>
            <w:noWrap w:val="0"/>
            <w:vAlign w:val="center"/>
          </w:tcPr>
          <w:p w14:paraId="01BD6531">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345" w:type="pct"/>
            <w:vMerge w:val="continue"/>
            <w:tcBorders>
              <w:tl2br w:val="nil"/>
              <w:tr2bl w:val="nil"/>
            </w:tcBorders>
            <w:noWrap w:val="0"/>
            <w:vAlign w:val="center"/>
          </w:tcPr>
          <w:p w14:paraId="2F1A435B">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90" w:type="pct"/>
            <w:tcBorders>
              <w:tl2br w:val="nil"/>
              <w:tr2bl w:val="nil"/>
            </w:tcBorders>
            <w:shd w:val="clear" w:color="auto" w:fill="auto"/>
            <w:noWrap w:val="0"/>
            <w:vAlign w:val="center"/>
          </w:tcPr>
          <w:p w14:paraId="570E25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c>
          <w:tcPr>
            <w:tcW w:w="284" w:type="pct"/>
            <w:tcBorders>
              <w:tl2br w:val="nil"/>
              <w:tr2bl w:val="nil"/>
            </w:tcBorders>
            <w:shd w:val="clear" w:color="auto" w:fill="auto"/>
            <w:noWrap w:val="0"/>
            <w:vAlign w:val="center"/>
          </w:tcPr>
          <w:p w14:paraId="4ADED5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0.09</w:t>
            </w:r>
          </w:p>
        </w:tc>
        <w:tc>
          <w:tcPr>
            <w:tcW w:w="257" w:type="pct"/>
            <w:tcBorders>
              <w:tl2br w:val="nil"/>
              <w:tr2bl w:val="nil"/>
            </w:tcBorders>
            <w:shd w:val="clear" w:color="auto" w:fill="auto"/>
            <w:noWrap w:val="0"/>
            <w:vAlign w:val="center"/>
          </w:tcPr>
          <w:p w14:paraId="1CD5E3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49.44</w:t>
            </w:r>
          </w:p>
        </w:tc>
        <w:tc>
          <w:tcPr>
            <w:tcW w:w="241" w:type="pct"/>
            <w:vMerge w:val="continue"/>
            <w:tcBorders>
              <w:tl2br w:val="nil"/>
              <w:tr2bl w:val="nil"/>
            </w:tcBorders>
            <w:noWrap w:val="0"/>
            <w:vAlign w:val="center"/>
          </w:tcPr>
          <w:p w14:paraId="25D5679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90" w:type="pct"/>
            <w:vMerge w:val="continue"/>
            <w:tcBorders>
              <w:tl2br w:val="nil"/>
              <w:tr2bl w:val="nil"/>
            </w:tcBorders>
            <w:shd w:val="clear" w:color="auto" w:fill="auto"/>
            <w:noWrap w:val="0"/>
            <w:vAlign w:val="center"/>
          </w:tcPr>
          <w:p w14:paraId="091A3675">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73" w:type="pct"/>
            <w:vMerge w:val="continue"/>
            <w:tcBorders>
              <w:tl2br w:val="nil"/>
              <w:tr2bl w:val="nil"/>
            </w:tcBorders>
            <w:shd w:val="clear" w:color="auto" w:fill="auto"/>
            <w:noWrap w:val="0"/>
            <w:vAlign w:val="center"/>
          </w:tcPr>
          <w:p w14:paraId="179423B6">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1" w:type="pct"/>
            <w:vMerge w:val="continue"/>
            <w:tcBorders>
              <w:tl2br w:val="nil"/>
              <w:tr2bl w:val="nil"/>
            </w:tcBorders>
            <w:shd w:val="clear" w:color="auto" w:fill="auto"/>
            <w:noWrap w:val="0"/>
            <w:vAlign w:val="center"/>
          </w:tcPr>
          <w:p w14:paraId="54C18911">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0" w:type="pct"/>
            <w:vMerge w:val="continue"/>
            <w:tcBorders>
              <w:tl2br w:val="nil"/>
              <w:tr2bl w:val="nil"/>
            </w:tcBorders>
            <w:noWrap w:val="0"/>
            <w:vAlign w:val="center"/>
          </w:tcPr>
          <w:p w14:paraId="0B0C6BD1">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60" w:type="pct"/>
            <w:vMerge w:val="continue"/>
            <w:tcBorders>
              <w:tl2br w:val="nil"/>
              <w:tr2bl w:val="nil"/>
            </w:tcBorders>
            <w:noWrap w:val="0"/>
            <w:vAlign w:val="center"/>
          </w:tcPr>
          <w:p w14:paraId="5A662622">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r>
      <w:tr w14:paraId="3DFCB71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54" w:type="pct"/>
            <w:vMerge w:val="restart"/>
            <w:tcBorders>
              <w:tl2br w:val="nil"/>
              <w:tr2bl w:val="nil"/>
            </w:tcBorders>
            <w:noWrap w:val="0"/>
            <w:vAlign w:val="center"/>
          </w:tcPr>
          <w:p w14:paraId="6718DB9B">
            <w:pPr>
              <w:pStyle w:val="2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食堂油烟</w:t>
            </w:r>
          </w:p>
        </w:tc>
        <w:tc>
          <w:tcPr>
            <w:tcW w:w="212" w:type="pct"/>
            <w:vMerge w:val="restart"/>
            <w:tcBorders>
              <w:tl2br w:val="nil"/>
              <w:tr2bl w:val="nil"/>
            </w:tcBorders>
            <w:noWrap w:val="0"/>
            <w:vAlign w:val="center"/>
          </w:tcPr>
          <w:p w14:paraId="59163A4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374" w:type="pct"/>
            <w:tcBorders>
              <w:tl2br w:val="nil"/>
              <w:tr2bl w:val="nil"/>
            </w:tcBorders>
            <w:shd w:val="clear" w:color="auto" w:fill="auto"/>
            <w:noWrap w:val="0"/>
            <w:vAlign w:val="center"/>
          </w:tcPr>
          <w:p w14:paraId="55C93DB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747" w:type="dxa"/>
            <w:tcBorders>
              <w:tl2br w:val="nil"/>
              <w:tr2bl w:val="nil"/>
            </w:tcBorders>
            <w:shd w:val="clear" w:color="auto" w:fill="auto"/>
            <w:noWrap w:val="0"/>
            <w:vAlign w:val="center"/>
          </w:tcPr>
          <w:p w14:paraId="16D56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0.027</w:t>
            </w:r>
          </w:p>
        </w:tc>
        <w:tc>
          <w:tcPr>
            <w:tcW w:w="779" w:type="dxa"/>
            <w:tcBorders>
              <w:tl2br w:val="nil"/>
              <w:tr2bl w:val="nil"/>
            </w:tcBorders>
            <w:shd w:val="clear" w:color="auto" w:fill="auto"/>
            <w:noWrap w:val="0"/>
            <w:vAlign w:val="center"/>
          </w:tcPr>
          <w:p w14:paraId="02F7E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0.018</w:t>
            </w:r>
          </w:p>
        </w:tc>
        <w:tc>
          <w:tcPr>
            <w:tcW w:w="888" w:type="dxa"/>
            <w:tcBorders>
              <w:tl2br w:val="nil"/>
              <w:tr2bl w:val="nil"/>
            </w:tcBorders>
            <w:shd w:val="clear" w:color="auto" w:fill="auto"/>
            <w:noWrap w:val="0"/>
            <w:vAlign w:val="center"/>
          </w:tcPr>
          <w:p w14:paraId="63C68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259" w:type="pct"/>
            <w:vMerge w:val="restart"/>
            <w:tcBorders>
              <w:tl2br w:val="nil"/>
              <w:tr2bl w:val="nil"/>
            </w:tcBorders>
            <w:shd w:val="clear" w:color="auto" w:fill="auto"/>
            <w:noWrap w:val="0"/>
            <w:vAlign w:val="center"/>
          </w:tcPr>
          <w:p w14:paraId="4DA34907">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80</w:t>
            </w:r>
          </w:p>
        </w:tc>
        <w:tc>
          <w:tcPr>
            <w:tcW w:w="309" w:type="pct"/>
            <w:vMerge w:val="restart"/>
            <w:tcBorders>
              <w:tl2br w:val="nil"/>
              <w:tr2bl w:val="nil"/>
            </w:tcBorders>
            <w:shd w:val="clear" w:color="auto" w:fill="auto"/>
            <w:noWrap w:val="0"/>
            <w:vAlign w:val="center"/>
          </w:tcPr>
          <w:p w14:paraId="42251EA8">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静电油烟净化器</w:t>
            </w:r>
          </w:p>
        </w:tc>
        <w:tc>
          <w:tcPr>
            <w:tcW w:w="241" w:type="pct"/>
            <w:tcBorders>
              <w:tl2br w:val="nil"/>
              <w:tr2bl w:val="nil"/>
            </w:tcBorders>
            <w:shd w:val="clear" w:color="auto" w:fill="auto"/>
            <w:noWrap w:val="0"/>
            <w:vAlign w:val="center"/>
          </w:tcPr>
          <w:p w14:paraId="38A7B64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75</w:t>
            </w:r>
          </w:p>
        </w:tc>
        <w:tc>
          <w:tcPr>
            <w:tcW w:w="345" w:type="pct"/>
            <w:vMerge w:val="restart"/>
            <w:tcBorders>
              <w:tl2br w:val="nil"/>
              <w:tr2bl w:val="nil"/>
            </w:tcBorders>
            <w:noWrap w:val="0"/>
            <w:vAlign w:val="center"/>
          </w:tcPr>
          <w:p w14:paraId="4992987B">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6000</w:t>
            </w:r>
          </w:p>
        </w:tc>
        <w:tc>
          <w:tcPr>
            <w:tcW w:w="831" w:type="dxa"/>
            <w:tcBorders>
              <w:tl2br w:val="nil"/>
              <w:tr2bl w:val="nil"/>
            </w:tcBorders>
            <w:shd w:val="clear" w:color="auto" w:fill="auto"/>
            <w:noWrap w:val="0"/>
            <w:vAlign w:val="center"/>
          </w:tcPr>
          <w:p w14:paraId="4F03C5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0.011 </w:t>
            </w:r>
          </w:p>
        </w:tc>
        <w:tc>
          <w:tcPr>
            <w:tcW w:w="814" w:type="dxa"/>
            <w:tcBorders>
              <w:tl2br w:val="nil"/>
              <w:tr2bl w:val="nil"/>
            </w:tcBorders>
            <w:shd w:val="clear" w:color="auto" w:fill="auto"/>
            <w:noWrap w:val="0"/>
            <w:vAlign w:val="center"/>
          </w:tcPr>
          <w:p w14:paraId="551E29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0.0072</w:t>
            </w:r>
          </w:p>
        </w:tc>
        <w:tc>
          <w:tcPr>
            <w:tcW w:w="739" w:type="dxa"/>
            <w:tcBorders>
              <w:tl2br w:val="nil"/>
              <w:tr2bl w:val="nil"/>
            </w:tcBorders>
            <w:shd w:val="clear" w:color="auto" w:fill="auto"/>
            <w:noWrap w:val="0"/>
            <w:vAlign w:val="center"/>
          </w:tcPr>
          <w:p w14:paraId="50D631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241" w:type="pct"/>
            <w:vMerge w:val="restart"/>
            <w:tcBorders>
              <w:tl2br w:val="nil"/>
              <w:tr2bl w:val="nil"/>
            </w:tcBorders>
            <w:noWrap w:val="0"/>
            <w:vAlign w:val="center"/>
          </w:tcPr>
          <w:p w14:paraId="5587A0EF">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1500</w:t>
            </w:r>
          </w:p>
        </w:tc>
        <w:tc>
          <w:tcPr>
            <w:tcW w:w="190" w:type="pct"/>
            <w:vMerge w:val="restart"/>
            <w:tcBorders>
              <w:tl2br w:val="nil"/>
              <w:tr2bl w:val="nil"/>
            </w:tcBorders>
            <w:noWrap w:val="0"/>
            <w:vAlign w:val="center"/>
          </w:tcPr>
          <w:p w14:paraId="08380C2A">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173" w:type="pct"/>
            <w:vMerge w:val="restart"/>
            <w:tcBorders>
              <w:tl2br w:val="nil"/>
              <w:tr2bl w:val="nil"/>
            </w:tcBorders>
            <w:noWrap w:val="0"/>
            <w:vAlign w:val="center"/>
          </w:tcPr>
          <w:p w14:paraId="1F31E5E5">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231" w:type="pct"/>
            <w:vMerge w:val="restart"/>
            <w:tcBorders>
              <w:tl2br w:val="nil"/>
              <w:tr2bl w:val="nil"/>
            </w:tcBorders>
            <w:noWrap w:val="0"/>
            <w:vAlign w:val="center"/>
          </w:tcPr>
          <w:p w14:paraId="7649F082">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230" w:type="pct"/>
            <w:vMerge w:val="restart"/>
            <w:tcBorders>
              <w:tl2br w:val="nil"/>
              <w:tr2bl w:val="nil"/>
            </w:tcBorders>
            <w:noWrap w:val="0"/>
            <w:vAlign w:val="center"/>
          </w:tcPr>
          <w:p w14:paraId="18C82FCC">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55</w:t>
            </w:r>
          </w:p>
        </w:tc>
        <w:tc>
          <w:tcPr>
            <w:tcW w:w="260" w:type="pct"/>
            <w:vMerge w:val="restart"/>
            <w:tcBorders>
              <w:tl2br w:val="nil"/>
              <w:tr2bl w:val="nil"/>
            </w:tcBorders>
            <w:noWrap w:val="0"/>
            <w:vAlign w:val="center"/>
          </w:tcPr>
          <w:p w14:paraId="75AEC249">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一般排放口</w:t>
            </w:r>
          </w:p>
        </w:tc>
      </w:tr>
      <w:tr w14:paraId="40D2AC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4" w:type="pct"/>
            <w:vMerge w:val="continue"/>
            <w:tcBorders>
              <w:tl2br w:val="nil"/>
              <w:tr2bl w:val="nil"/>
            </w:tcBorders>
            <w:noWrap w:val="0"/>
            <w:vAlign w:val="center"/>
          </w:tcPr>
          <w:p w14:paraId="25E4D600">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12" w:type="pct"/>
            <w:vMerge w:val="continue"/>
            <w:tcBorders>
              <w:tl2br w:val="nil"/>
              <w:tr2bl w:val="nil"/>
            </w:tcBorders>
            <w:noWrap w:val="0"/>
            <w:vAlign w:val="center"/>
          </w:tcPr>
          <w:p w14:paraId="6E7CADDB">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74" w:type="pct"/>
            <w:tcBorders>
              <w:tl2br w:val="nil"/>
              <w:tr2bl w:val="nil"/>
            </w:tcBorders>
            <w:shd w:val="clear" w:color="auto" w:fill="auto"/>
            <w:noWrap w:val="0"/>
            <w:vAlign w:val="center"/>
          </w:tcPr>
          <w:p w14:paraId="4A648EB5">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747" w:type="dxa"/>
            <w:tcBorders>
              <w:tl2br w:val="nil"/>
              <w:tr2bl w:val="nil"/>
            </w:tcBorders>
            <w:shd w:val="clear" w:color="auto" w:fill="auto"/>
            <w:noWrap w:val="0"/>
            <w:vAlign w:val="center"/>
          </w:tcPr>
          <w:p w14:paraId="16EF7B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0.054</w:t>
            </w:r>
          </w:p>
        </w:tc>
        <w:tc>
          <w:tcPr>
            <w:tcW w:w="779" w:type="dxa"/>
            <w:tcBorders>
              <w:tl2br w:val="nil"/>
              <w:tr2bl w:val="nil"/>
            </w:tcBorders>
            <w:shd w:val="clear" w:color="auto" w:fill="auto"/>
            <w:noWrap w:val="0"/>
            <w:vAlign w:val="center"/>
          </w:tcPr>
          <w:p w14:paraId="173BA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888" w:type="dxa"/>
            <w:tcBorders>
              <w:tl2br w:val="nil"/>
              <w:tr2bl w:val="nil"/>
            </w:tcBorders>
            <w:shd w:val="clear" w:color="auto" w:fill="auto"/>
            <w:noWrap w:val="0"/>
            <w:vAlign w:val="center"/>
          </w:tcPr>
          <w:p w14:paraId="3C80C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259" w:type="pct"/>
            <w:vMerge w:val="continue"/>
            <w:tcBorders>
              <w:tl2br w:val="nil"/>
              <w:tr2bl w:val="nil"/>
            </w:tcBorders>
            <w:noWrap w:val="0"/>
            <w:vAlign w:val="center"/>
          </w:tcPr>
          <w:p w14:paraId="0C39388C">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09" w:type="pct"/>
            <w:vMerge w:val="continue"/>
            <w:tcBorders>
              <w:tl2br w:val="nil"/>
              <w:tr2bl w:val="nil"/>
            </w:tcBorders>
            <w:noWrap w:val="0"/>
            <w:vAlign w:val="center"/>
          </w:tcPr>
          <w:p w14:paraId="08521ACA">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41" w:type="pct"/>
            <w:tcBorders>
              <w:tl2br w:val="nil"/>
              <w:tr2bl w:val="nil"/>
            </w:tcBorders>
            <w:shd w:val="clear" w:color="auto" w:fill="auto"/>
            <w:noWrap w:val="0"/>
            <w:vAlign w:val="center"/>
          </w:tcPr>
          <w:p w14:paraId="5BF0B099">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90</w:t>
            </w:r>
          </w:p>
        </w:tc>
        <w:tc>
          <w:tcPr>
            <w:tcW w:w="345" w:type="pct"/>
            <w:vMerge w:val="continue"/>
            <w:tcBorders>
              <w:tl2br w:val="nil"/>
              <w:tr2bl w:val="nil"/>
            </w:tcBorders>
            <w:noWrap w:val="0"/>
            <w:vAlign w:val="center"/>
          </w:tcPr>
          <w:p w14:paraId="1EC748B3">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831" w:type="dxa"/>
            <w:tcBorders>
              <w:tl2br w:val="nil"/>
              <w:tr2bl w:val="nil"/>
            </w:tcBorders>
            <w:shd w:val="clear" w:color="auto" w:fill="auto"/>
            <w:noWrap w:val="0"/>
            <w:vAlign w:val="center"/>
          </w:tcPr>
          <w:p w14:paraId="4B001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0.0022 </w:t>
            </w:r>
          </w:p>
        </w:tc>
        <w:tc>
          <w:tcPr>
            <w:tcW w:w="814" w:type="dxa"/>
            <w:tcBorders>
              <w:tl2br w:val="nil"/>
              <w:tr2bl w:val="nil"/>
            </w:tcBorders>
            <w:shd w:val="clear" w:color="auto" w:fill="auto"/>
            <w:noWrap w:val="0"/>
            <w:vAlign w:val="center"/>
          </w:tcPr>
          <w:p w14:paraId="63BF1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0.0014 </w:t>
            </w:r>
          </w:p>
        </w:tc>
        <w:tc>
          <w:tcPr>
            <w:tcW w:w="739" w:type="dxa"/>
            <w:tcBorders>
              <w:tl2br w:val="nil"/>
              <w:tr2bl w:val="nil"/>
            </w:tcBorders>
            <w:shd w:val="clear" w:color="auto" w:fill="auto"/>
            <w:noWrap w:val="0"/>
            <w:vAlign w:val="center"/>
          </w:tcPr>
          <w:p w14:paraId="30AB9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0.24</w:t>
            </w:r>
          </w:p>
        </w:tc>
        <w:tc>
          <w:tcPr>
            <w:tcW w:w="241" w:type="pct"/>
            <w:vMerge w:val="continue"/>
            <w:tcBorders>
              <w:tl2br w:val="nil"/>
              <w:tr2bl w:val="nil"/>
            </w:tcBorders>
            <w:noWrap w:val="0"/>
            <w:vAlign w:val="center"/>
          </w:tcPr>
          <w:p w14:paraId="157B8D63">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90" w:type="pct"/>
            <w:vMerge w:val="continue"/>
            <w:tcBorders>
              <w:tl2br w:val="nil"/>
              <w:tr2bl w:val="nil"/>
            </w:tcBorders>
            <w:noWrap w:val="0"/>
            <w:vAlign w:val="center"/>
          </w:tcPr>
          <w:p w14:paraId="18042CFF">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73" w:type="pct"/>
            <w:vMerge w:val="continue"/>
            <w:tcBorders>
              <w:tl2br w:val="nil"/>
              <w:tr2bl w:val="nil"/>
            </w:tcBorders>
            <w:noWrap w:val="0"/>
            <w:vAlign w:val="center"/>
          </w:tcPr>
          <w:p w14:paraId="4738BCC9">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1" w:type="pct"/>
            <w:vMerge w:val="continue"/>
            <w:tcBorders>
              <w:tl2br w:val="nil"/>
              <w:tr2bl w:val="nil"/>
            </w:tcBorders>
            <w:noWrap w:val="0"/>
            <w:vAlign w:val="center"/>
          </w:tcPr>
          <w:p w14:paraId="5C002211">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0" w:type="pct"/>
            <w:vMerge w:val="continue"/>
            <w:tcBorders>
              <w:tl2br w:val="nil"/>
              <w:tr2bl w:val="nil"/>
            </w:tcBorders>
            <w:noWrap w:val="0"/>
            <w:vAlign w:val="center"/>
          </w:tcPr>
          <w:p w14:paraId="75D5D15C">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60" w:type="pct"/>
            <w:vMerge w:val="continue"/>
            <w:tcBorders>
              <w:tl2br w:val="nil"/>
              <w:tr2bl w:val="nil"/>
            </w:tcBorders>
            <w:noWrap w:val="0"/>
            <w:vAlign w:val="center"/>
          </w:tcPr>
          <w:p w14:paraId="00836808">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r>
      <w:tr w14:paraId="1E86BB2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54" w:type="pct"/>
            <w:tcBorders>
              <w:tl2br w:val="nil"/>
              <w:tr2bl w:val="nil"/>
            </w:tcBorders>
            <w:noWrap w:val="0"/>
            <w:vAlign w:val="center"/>
          </w:tcPr>
          <w:p w14:paraId="05C07EE6">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生产车间</w:t>
            </w:r>
          </w:p>
        </w:tc>
        <w:tc>
          <w:tcPr>
            <w:tcW w:w="212" w:type="pct"/>
            <w:vMerge w:val="restart"/>
            <w:tcBorders>
              <w:tl2br w:val="nil"/>
              <w:tr2bl w:val="nil"/>
            </w:tcBorders>
            <w:noWrap w:val="0"/>
            <w:vAlign w:val="center"/>
          </w:tcPr>
          <w:p w14:paraId="0505A11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无组织</w:t>
            </w:r>
          </w:p>
        </w:tc>
        <w:tc>
          <w:tcPr>
            <w:tcW w:w="374" w:type="pct"/>
            <w:tcBorders>
              <w:tl2br w:val="nil"/>
              <w:tr2bl w:val="nil"/>
            </w:tcBorders>
            <w:shd w:val="clear" w:color="auto" w:fill="auto"/>
            <w:noWrap w:val="0"/>
            <w:vAlign w:val="center"/>
          </w:tcPr>
          <w:p w14:paraId="5004634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异味</w:t>
            </w:r>
          </w:p>
        </w:tc>
        <w:tc>
          <w:tcPr>
            <w:tcW w:w="260" w:type="pct"/>
            <w:tcBorders>
              <w:tl2br w:val="nil"/>
              <w:tr2bl w:val="nil"/>
            </w:tcBorders>
            <w:shd w:val="clear" w:color="auto" w:fill="auto"/>
            <w:noWrap w:val="0"/>
            <w:vAlign w:val="center"/>
          </w:tcPr>
          <w:p w14:paraId="16E912B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71" w:type="pct"/>
            <w:tcBorders>
              <w:tl2br w:val="nil"/>
              <w:tr2bl w:val="nil"/>
            </w:tcBorders>
            <w:shd w:val="clear" w:color="auto" w:fill="auto"/>
            <w:noWrap w:val="0"/>
            <w:vAlign w:val="center"/>
          </w:tcPr>
          <w:p w14:paraId="7D152A1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309" w:type="pct"/>
            <w:tcBorders>
              <w:tl2br w:val="nil"/>
              <w:tr2bl w:val="nil"/>
            </w:tcBorders>
            <w:shd w:val="clear" w:color="auto" w:fill="auto"/>
            <w:noWrap w:val="0"/>
            <w:vAlign w:val="center"/>
          </w:tcPr>
          <w:p w14:paraId="0A00819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10" w:type="pct"/>
            <w:gridSpan w:val="3"/>
            <w:vMerge w:val="restart"/>
            <w:tcBorders>
              <w:tl2br w:val="nil"/>
              <w:tr2bl w:val="nil"/>
            </w:tcBorders>
            <w:noWrap w:val="0"/>
            <w:vAlign w:val="center"/>
          </w:tcPr>
          <w:p w14:paraId="40B59495">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车间会产生少量臭气</w:t>
            </w: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设备密闭、周围加强绿化、定期在污水处理池内添加植物除臭剂</w:t>
            </w:r>
          </w:p>
        </w:tc>
        <w:tc>
          <w:tcPr>
            <w:tcW w:w="345" w:type="pct"/>
            <w:vMerge w:val="restart"/>
            <w:tcBorders>
              <w:tl2br w:val="nil"/>
              <w:tr2bl w:val="nil"/>
            </w:tcBorders>
            <w:noWrap w:val="0"/>
            <w:vAlign w:val="center"/>
          </w:tcPr>
          <w:p w14:paraId="2B4D1705">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both"/>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290" w:type="pct"/>
            <w:tcBorders>
              <w:tl2br w:val="nil"/>
              <w:tr2bl w:val="nil"/>
            </w:tcBorders>
            <w:noWrap w:val="0"/>
            <w:vAlign w:val="center"/>
          </w:tcPr>
          <w:p w14:paraId="0A52A63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84" w:type="pct"/>
            <w:tcBorders>
              <w:tl2br w:val="nil"/>
              <w:tr2bl w:val="nil"/>
            </w:tcBorders>
            <w:noWrap w:val="0"/>
            <w:vAlign w:val="center"/>
          </w:tcPr>
          <w:p w14:paraId="2C2BA16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57" w:type="pct"/>
            <w:tcBorders>
              <w:tl2br w:val="nil"/>
              <w:tr2bl w:val="nil"/>
            </w:tcBorders>
            <w:noWrap w:val="0"/>
            <w:vAlign w:val="center"/>
          </w:tcPr>
          <w:p w14:paraId="725B92D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41" w:type="pct"/>
            <w:vMerge w:val="restart"/>
            <w:tcBorders>
              <w:tl2br w:val="nil"/>
              <w:tr2bl w:val="nil"/>
            </w:tcBorders>
            <w:noWrap w:val="0"/>
            <w:vAlign w:val="center"/>
          </w:tcPr>
          <w:p w14:paraId="47F712FB">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both"/>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2400</w:t>
            </w:r>
          </w:p>
        </w:tc>
        <w:tc>
          <w:tcPr>
            <w:tcW w:w="190" w:type="pct"/>
            <w:vMerge w:val="restart"/>
            <w:tcBorders>
              <w:tl2br w:val="nil"/>
              <w:tr2bl w:val="nil"/>
            </w:tcBorders>
            <w:noWrap w:val="0"/>
            <w:vAlign w:val="center"/>
          </w:tcPr>
          <w:p w14:paraId="29369DF1">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173" w:type="pct"/>
            <w:vMerge w:val="restart"/>
            <w:tcBorders>
              <w:tl2br w:val="nil"/>
              <w:tr2bl w:val="nil"/>
            </w:tcBorders>
            <w:noWrap w:val="0"/>
            <w:vAlign w:val="center"/>
          </w:tcPr>
          <w:p w14:paraId="7D32A10C">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231" w:type="pct"/>
            <w:vMerge w:val="restart"/>
            <w:tcBorders>
              <w:tl2br w:val="nil"/>
              <w:tr2bl w:val="nil"/>
            </w:tcBorders>
            <w:noWrap w:val="0"/>
            <w:vAlign w:val="center"/>
          </w:tcPr>
          <w:p w14:paraId="6225C7E9">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230" w:type="pct"/>
            <w:vMerge w:val="restart"/>
            <w:tcBorders>
              <w:tl2br w:val="nil"/>
              <w:tr2bl w:val="nil"/>
            </w:tcBorders>
            <w:noWrap w:val="0"/>
            <w:vAlign w:val="center"/>
          </w:tcPr>
          <w:p w14:paraId="6849EB4E">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260" w:type="pct"/>
            <w:vMerge w:val="restart"/>
            <w:tcBorders>
              <w:tl2br w:val="nil"/>
              <w:tr2bl w:val="nil"/>
            </w:tcBorders>
            <w:noWrap w:val="0"/>
            <w:vAlign w:val="center"/>
          </w:tcPr>
          <w:p w14:paraId="6E288EB1">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r>
      <w:tr w14:paraId="26BF2DE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54" w:type="pct"/>
            <w:vMerge w:val="restart"/>
            <w:tcBorders>
              <w:tl2br w:val="nil"/>
              <w:tr2bl w:val="nil"/>
            </w:tcBorders>
            <w:noWrap w:val="0"/>
            <w:vAlign w:val="center"/>
          </w:tcPr>
          <w:p w14:paraId="51BB436A">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firstLine="0" w:firstLine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污水处理设施</w:t>
            </w:r>
          </w:p>
        </w:tc>
        <w:tc>
          <w:tcPr>
            <w:tcW w:w="212" w:type="pct"/>
            <w:vMerge w:val="continue"/>
            <w:tcBorders>
              <w:tl2br w:val="nil"/>
              <w:tr2bl w:val="nil"/>
            </w:tcBorders>
            <w:noWrap w:val="0"/>
            <w:vAlign w:val="center"/>
          </w:tcPr>
          <w:p w14:paraId="5C21D03A">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74" w:type="pct"/>
            <w:tcBorders>
              <w:tl2br w:val="nil"/>
              <w:tr2bl w:val="nil"/>
            </w:tcBorders>
            <w:noWrap w:val="0"/>
            <w:vAlign w:val="center"/>
          </w:tcPr>
          <w:p w14:paraId="3AE9B221">
            <w:pPr>
              <w:keepNext w:val="0"/>
              <w:keepLines w:val="0"/>
              <w:pageBreakBefore w:val="0"/>
              <w:widowControl/>
              <w:kinsoku/>
              <w:wordWrap/>
              <w:overflowPunct/>
              <w:topLinePunct w:val="0"/>
              <w:autoSpaceDE/>
              <w:autoSpaceDN/>
              <w:bidi w:val="0"/>
              <w:snapToGrid w:val="0"/>
              <w:spacing w:beforeAutospacing="0" w:afterAutospacing="0" w:line="240" w:lineRule="auto"/>
              <w:ind w:left="0" w:leftChars="0" w:right="0" w:rightChars="0" w:firstLine="0" w:firstLineChars="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臭气</w:t>
            </w:r>
            <w:r>
              <w:rPr>
                <w:rFonts w:hint="default" w:ascii="Times New Roman" w:hAnsi="Times New Roman" w:cs="Times New Roman"/>
                <w:color w:val="000000" w:themeColor="text1"/>
                <w:kern w:val="2"/>
                <w:sz w:val="21"/>
                <w:szCs w:val="21"/>
                <w:highlight w:val="none"/>
                <w:lang w:eastAsia="zh-CN"/>
                <w14:textFill>
                  <w14:solidFill>
                    <w14:schemeClr w14:val="tx1"/>
                  </w14:solidFill>
                </w14:textFill>
              </w:rPr>
              <w:t>浓度</w:t>
            </w:r>
          </w:p>
        </w:tc>
        <w:tc>
          <w:tcPr>
            <w:tcW w:w="260" w:type="pct"/>
            <w:tcBorders>
              <w:tl2br w:val="nil"/>
              <w:tr2bl w:val="nil"/>
            </w:tcBorders>
            <w:noWrap w:val="0"/>
            <w:vAlign w:val="center"/>
          </w:tcPr>
          <w:p w14:paraId="1CBD7EE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71" w:type="pct"/>
            <w:tcBorders>
              <w:tl2br w:val="nil"/>
              <w:tr2bl w:val="nil"/>
            </w:tcBorders>
            <w:noWrap w:val="0"/>
            <w:vAlign w:val="center"/>
          </w:tcPr>
          <w:p w14:paraId="7C05D1F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309" w:type="pct"/>
            <w:tcBorders>
              <w:tl2br w:val="nil"/>
              <w:tr2bl w:val="nil"/>
            </w:tcBorders>
            <w:noWrap w:val="0"/>
            <w:vAlign w:val="center"/>
          </w:tcPr>
          <w:p w14:paraId="313D30E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10" w:type="pct"/>
            <w:gridSpan w:val="3"/>
            <w:vMerge w:val="continue"/>
            <w:tcBorders>
              <w:tl2br w:val="nil"/>
              <w:tr2bl w:val="nil"/>
            </w:tcBorders>
            <w:noWrap w:val="0"/>
            <w:vAlign w:val="center"/>
          </w:tcPr>
          <w:p w14:paraId="46453683">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45" w:type="pct"/>
            <w:vMerge w:val="continue"/>
            <w:tcBorders>
              <w:tl2br w:val="nil"/>
              <w:tr2bl w:val="nil"/>
            </w:tcBorders>
            <w:noWrap w:val="0"/>
            <w:vAlign w:val="center"/>
          </w:tcPr>
          <w:p w14:paraId="7DB74300">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90" w:type="pct"/>
            <w:tcBorders>
              <w:tl2br w:val="nil"/>
              <w:tr2bl w:val="nil"/>
            </w:tcBorders>
            <w:noWrap w:val="0"/>
            <w:vAlign w:val="center"/>
          </w:tcPr>
          <w:p w14:paraId="4B726FE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84" w:type="pct"/>
            <w:tcBorders>
              <w:tl2br w:val="nil"/>
              <w:tr2bl w:val="nil"/>
            </w:tcBorders>
            <w:noWrap w:val="0"/>
            <w:vAlign w:val="center"/>
          </w:tcPr>
          <w:p w14:paraId="1F1E773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57" w:type="pct"/>
            <w:tcBorders>
              <w:tl2br w:val="nil"/>
              <w:tr2bl w:val="nil"/>
            </w:tcBorders>
            <w:noWrap w:val="0"/>
            <w:vAlign w:val="center"/>
          </w:tcPr>
          <w:p w14:paraId="2E63F28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41" w:type="pct"/>
            <w:vMerge w:val="continue"/>
            <w:tcBorders>
              <w:tl2br w:val="nil"/>
              <w:tr2bl w:val="nil"/>
            </w:tcBorders>
            <w:noWrap w:val="0"/>
            <w:vAlign w:val="center"/>
          </w:tcPr>
          <w:p w14:paraId="1450A782">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90" w:type="pct"/>
            <w:vMerge w:val="continue"/>
            <w:tcBorders>
              <w:tl2br w:val="nil"/>
              <w:tr2bl w:val="nil"/>
            </w:tcBorders>
            <w:noWrap w:val="0"/>
            <w:vAlign w:val="center"/>
          </w:tcPr>
          <w:p w14:paraId="7083AA36">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73" w:type="pct"/>
            <w:vMerge w:val="continue"/>
            <w:tcBorders>
              <w:tl2br w:val="nil"/>
              <w:tr2bl w:val="nil"/>
            </w:tcBorders>
            <w:noWrap w:val="0"/>
            <w:vAlign w:val="center"/>
          </w:tcPr>
          <w:p w14:paraId="6850CBF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1" w:type="pct"/>
            <w:vMerge w:val="continue"/>
            <w:tcBorders>
              <w:tl2br w:val="nil"/>
              <w:tr2bl w:val="nil"/>
            </w:tcBorders>
            <w:noWrap w:val="0"/>
            <w:vAlign w:val="center"/>
          </w:tcPr>
          <w:p w14:paraId="7CCB5308">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0" w:type="pct"/>
            <w:vMerge w:val="continue"/>
            <w:tcBorders>
              <w:tl2br w:val="nil"/>
              <w:tr2bl w:val="nil"/>
            </w:tcBorders>
            <w:noWrap w:val="0"/>
            <w:vAlign w:val="center"/>
          </w:tcPr>
          <w:p w14:paraId="119F9CFC">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60" w:type="pct"/>
            <w:vMerge w:val="continue"/>
            <w:tcBorders>
              <w:tl2br w:val="nil"/>
              <w:tr2bl w:val="nil"/>
            </w:tcBorders>
            <w:noWrap w:val="0"/>
            <w:vAlign w:val="center"/>
          </w:tcPr>
          <w:p w14:paraId="58F78C32">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r>
      <w:tr w14:paraId="38A4DF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54" w:type="pct"/>
            <w:vMerge w:val="continue"/>
            <w:tcBorders>
              <w:tl2br w:val="nil"/>
              <w:tr2bl w:val="nil"/>
            </w:tcBorders>
            <w:noWrap w:val="0"/>
            <w:vAlign w:val="center"/>
          </w:tcPr>
          <w:p w14:paraId="664B8E23">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12" w:type="pct"/>
            <w:vMerge w:val="continue"/>
            <w:tcBorders>
              <w:tl2br w:val="nil"/>
              <w:tr2bl w:val="nil"/>
            </w:tcBorders>
            <w:noWrap w:val="0"/>
            <w:vAlign w:val="center"/>
          </w:tcPr>
          <w:p w14:paraId="5FFF7D81">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74" w:type="pct"/>
            <w:tcBorders>
              <w:tl2br w:val="nil"/>
              <w:tr2bl w:val="nil"/>
            </w:tcBorders>
            <w:noWrap w:val="0"/>
            <w:vAlign w:val="center"/>
          </w:tcPr>
          <w:p w14:paraId="3112583A">
            <w:pPr>
              <w:keepNext w:val="0"/>
              <w:keepLines w:val="0"/>
              <w:pageBreakBefore w:val="0"/>
              <w:widowControl/>
              <w:kinsoku/>
              <w:wordWrap/>
              <w:overflowPunct/>
              <w:topLinePunct w:val="0"/>
              <w:autoSpaceDE/>
              <w:autoSpaceDN/>
              <w:bidi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eastAsia="zh-CN"/>
                <w14:textFill>
                  <w14:solidFill>
                    <w14:schemeClr w14:val="tx1"/>
                  </w14:solidFill>
                </w14:textFill>
              </w:rPr>
              <w:t>氨</w:t>
            </w:r>
          </w:p>
        </w:tc>
        <w:tc>
          <w:tcPr>
            <w:tcW w:w="260" w:type="pct"/>
            <w:tcBorders>
              <w:tl2br w:val="nil"/>
              <w:tr2bl w:val="nil"/>
            </w:tcBorders>
            <w:noWrap w:val="0"/>
            <w:vAlign w:val="center"/>
          </w:tcPr>
          <w:p w14:paraId="024C1A4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71" w:type="pct"/>
            <w:tcBorders>
              <w:tl2br w:val="nil"/>
              <w:tr2bl w:val="nil"/>
            </w:tcBorders>
            <w:noWrap w:val="0"/>
            <w:vAlign w:val="center"/>
          </w:tcPr>
          <w:p w14:paraId="0B13E27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309" w:type="pct"/>
            <w:tcBorders>
              <w:tl2br w:val="nil"/>
              <w:tr2bl w:val="nil"/>
            </w:tcBorders>
            <w:noWrap w:val="0"/>
            <w:vAlign w:val="center"/>
          </w:tcPr>
          <w:p w14:paraId="5405484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10" w:type="pct"/>
            <w:gridSpan w:val="3"/>
            <w:vMerge w:val="continue"/>
            <w:tcBorders>
              <w:tl2br w:val="nil"/>
              <w:tr2bl w:val="nil"/>
            </w:tcBorders>
            <w:noWrap w:val="0"/>
            <w:vAlign w:val="center"/>
          </w:tcPr>
          <w:p w14:paraId="0C133A8D">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45" w:type="pct"/>
            <w:vMerge w:val="continue"/>
            <w:tcBorders>
              <w:tl2br w:val="nil"/>
              <w:tr2bl w:val="nil"/>
            </w:tcBorders>
            <w:noWrap w:val="0"/>
            <w:vAlign w:val="center"/>
          </w:tcPr>
          <w:p w14:paraId="62B9E114">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90" w:type="pct"/>
            <w:tcBorders>
              <w:tl2br w:val="nil"/>
              <w:tr2bl w:val="nil"/>
            </w:tcBorders>
            <w:noWrap w:val="0"/>
            <w:vAlign w:val="center"/>
          </w:tcPr>
          <w:p w14:paraId="666B42C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84" w:type="pct"/>
            <w:tcBorders>
              <w:tl2br w:val="nil"/>
              <w:tr2bl w:val="nil"/>
            </w:tcBorders>
            <w:noWrap w:val="0"/>
            <w:vAlign w:val="center"/>
          </w:tcPr>
          <w:p w14:paraId="03933BD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57" w:type="pct"/>
            <w:tcBorders>
              <w:tl2br w:val="nil"/>
              <w:tr2bl w:val="nil"/>
            </w:tcBorders>
            <w:noWrap w:val="0"/>
            <w:vAlign w:val="center"/>
          </w:tcPr>
          <w:p w14:paraId="3AA653E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41" w:type="pct"/>
            <w:vMerge w:val="continue"/>
            <w:tcBorders>
              <w:tl2br w:val="nil"/>
              <w:tr2bl w:val="nil"/>
            </w:tcBorders>
            <w:noWrap w:val="0"/>
            <w:vAlign w:val="center"/>
          </w:tcPr>
          <w:p w14:paraId="545AC28C">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90" w:type="pct"/>
            <w:vMerge w:val="continue"/>
            <w:tcBorders>
              <w:tl2br w:val="nil"/>
              <w:tr2bl w:val="nil"/>
            </w:tcBorders>
            <w:noWrap w:val="0"/>
            <w:vAlign w:val="center"/>
          </w:tcPr>
          <w:p w14:paraId="0A99F652">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73" w:type="pct"/>
            <w:vMerge w:val="continue"/>
            <w:tcBorders>
              <w:tl2br w:val="nil"/>
              <w:tr2bl w:val="nil"/>
            </w:tcBorders>
            <w:noWrap w:val="0"/>
            <w:vAlign w:val="center"/>
          </w:tcPr>
          <w:p w14:paraId="49FED417">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1" w:type="pct"/>
            <w:vMerge w:val="continue"/>
            <w:tcBorders>
              <w:tl2br w:val="nil"/>
              <w:tr2bl w:val="nil"/>
            </w:tcBorders>
            <w:noWrap w:val="0"/>
            <w:vAlign w:val="center"/>
          </w:tcPr>
          <w:p w14:paraId="38AAC02E">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0" w:type="pct"/>
            <w:vMerge w:val="continue"/>
            <w:tcBorders>
              <w:tl2br w:val="nil"/>
              <w:tr2bl w:val="nil"/>
            </w:tcBorders>
            <w:noWrap w:val="0"/>
            <w:vAlign w:val="center"/>
          </w:tcPr>
          <w:p w14:paraId="4974FB67">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60" w:type="pct"/>
            <w:vMerge w:val="continue"/>
            <w:tcBorders>
              <w:tl2br w:val="nil"/>
              <w:tr2bl w:val="nil"/>
            </w:tcBorders>
            <w:noWrap w:val="0"/>
            <w:vAlign w:val="center"/>
          </w:tcPr>
          <w:p w14:paraId="4637552E">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r>
      <w:tr w14:paraId="18C163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54" w:type="pct"/>
            <w:vMerge w:val="continue"/>
            <w:tcBorders>
              <w:tl2br w:val="nil"/>
              <w:tr2bl w:val="nil"/>
            </w:tcBorders>
            <w:noWrap w:val="0"/>
            <w:vAlign w:val="center"/>
          </w:tcPr>
          <w:p w14:paraId="30C40D41">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12" w:type="pct"/>
            <w:vMerge w:val="continue"/>
            <w:tcBorders>
              <w:tl2br w:val="nil"/>
              <w:tr2bl w:val="nil"/>
            </w:tcBorders>
            <w:noWrap w:val="0"/>
            <w:vAlign w:val="center"/>
          </w:tcPr>
          <w:p w14:paraId="173067B0">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74" w:type="pct"/>
            <w:tcBorders>
              <w:tl2br w:val="nil"/>
              <w:tr2bl w:val="nil"/>
            </w:tcBorders>
            <w:noWrap w:val="0"/>
            <w:vAlign w:val="center"/>
          </w:tcPr>
          <w:p w14:paraId="4477C996">
            <w:pPr>
              <w:keepNext w:val="0"/>
              <w:keepLines w:val="0"/>
              <w:pageBreakBefore w:val="0"/>
              <w:widowControl/>
              <w:kinsoku/>
              <w:wordWrap/>
              <w:overflowPunct/>
              <w:topLinePunct w:val="0"/>
              <w:autoSpaceDE/>
              <w:autoSpaceDN/>
              <w:bidi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eastAsia="zh-CN"/>
                <w14:textFill>
                  <w14:solidFill>
                    <w14:schemeClr w14:val="tx1"/>
                  </w14:solidFill>
                </w14:textFill>
              </w:rPr>
              <w:t>硫化氢</w:t>
            </w:r>
          </w:p>
        </w:tc>
        <w:tc>
          <w:tcPr>
            <w:tcW w:w="260" w:type="pct"/>
            <w:tcBorders>
              <w:tl2br w:val="nil"/>
              <w:tr2bl w:val="nil"/>
            </w:tcBorders>
            <w:noWrap w:val="0"/>
            <w:vAlign w:val="center"/>
          </w:tcPr>
          <w:p w14:paraId="418D19F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71" w:type="pct"/>
            <w:tcBorders>
              <w:tl2br w:val="nil"/>
              <w:tr2bl w:val="nil"/>
            </w:tcBorders>
            <w:noWrap w:val="0"/>
            <w:vAlign w:val="center"/>
          </w:tcPr>
          <w:p w14:paraId="3054FD9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309" w:type="pct"/>
            <w:tcBorders>
              <w:tl2br w:val="nil"/>
              <w:tr2bl w:val="nil"/>
            </w:tcBorders>
            <w:noWrap w:val="0"/>
            <w:vAlign w:val="center"/>
          </w:tcPr>
          <w:p w14:paraId="10D30FE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10" w:type="pct"/>
            <w:gridSpan w:val="3"/>
            <w:vMerge w:val="continue"/>
            <w:tcBorders>
              <w:tl2br w:val="nil"/>
              <w:tr2bl w:val="nil"/>
            </w:tcBorders>
            <w:noWrap w:val="0"/>
            <w:vAlign w:val="center"/>
          </w:tcPr>
          <w:p w14:paraId="6AE61576">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345" w:type="pct"/>
            <w:vMerge w:val="continue"/>
            <w:tcBorders>
              <w:tl2br w:val="nil"/>
              <w:tr2bl w:val="nil"/>
            </w:tcBorders>
            <w:noWrap w:val="0"/>
            <w:vAlign w:val="center"/>
          </w:tcPr>
          <w:p w14:paraId="3C531BD1">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90" w:type="pct"/>
            <w:tcBorders>
              <w:tl2br w:val="nil"/>
              <w:tr2bl w:val="nil"/>
            </w:tcBorders>
            <w:noWrap w:val="0"/>
            <w:vAlign w:val="center"/>
          </w:tcPr>
          <w:p w14:paraId="102AA48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84" w:type="pct"/>
            <w:tcBorders>
              <w:tl2br w:val="nil"/>
              <w:tr2bl w:val="nil"/>
            </w:tcBorders>
            <w:noWrap w:val="0"/>
            <w:vAlign w:val="center"/>
          </w:tcPr>
          <w:p w14:paraId="6B6B03A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少量</w:t>
            </w:r>
          </w:p>
        </w:tc>
        <w:tc>
          <w:tcPr>
            <w:tcW w:w="257" w:type="pct"/>
            <w:tcBorders>
              <w:tl2br w:val="nil"/>
              <w:tr2bl w:val="nil"/>
            </w:tcBorders>
            <w:noWrap w:val="0"/>
            <w:vAlign w:val="center"/>
          </w:tcPr>
          <w:p w14:paraId="017F50A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41" w:type="pct"/>
            <w:vMerge w:val="continue"/>
            <w:tcBorders>
              <w:tl2br w:val="nil"/>
              <w:tr2bl w:val="nil"/>
            </w:tcBorders>
            <w:noWrap w:val="0"/>
            <w:vAlign w:val="center"/>
          </w:tcPr>
          <w:p w14:paraId="193A6839">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90" w:type="pct"/>
            <w:vMerge w:val="continue"/>
            <w:tcBorders>
              <w:tl2br w:val="nil"/>
              <w:tr2bl w:val="nil"/>
            </w:tcBorders>
            <w:noWrap w:val="0"/>
            <w:vAlign w:val="center"/>
          </w:tcPr>
          <w:p w14:paraId="1DC53B85">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173" w:type="pct"/>
            <w:vMerge w:val="continue"/>
            <w:tcBorders>
              <w:tl2br w:val="nil"/>
              <w:tr2bl w:val="nil"/>
            </w:tcBorders>
            <w:noWrap w:val="0"/>
            <w:vAlign w:val="center"/>
          </w:tcPr>
          <w:p w14:paraId="0DD69B11">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1" w:type="pct"/>
            <w:vMerge w:val="continue"/>
            <w:tcBorders>
              <w:tl2br w:val="nil"/>
              <w:tr2bl w:val="nil"/>
            </w:tcBorders>
            <w:noWrap w:val="0"/>
            <w:vAlign w:val="center"/>
          </w:tcPr>
          <w:p w14:paraId="61510B46">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30" w:type="pct"/>
            <w:vMerge w:val="continue"/>
            <w:tcBorders>
              <w:tl2br w:val="nil"/>
              <w:tr2bl w:val="nil"/>
            </w:tcBorders>
            <w:noWrap w:val="0"/>
            <w:vAlign w:val="center"/>
          </w:tcPr>
          <w:p w14:paraId="1B983EB1">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c>
          <w:tcPr>
            <w:tcW w:w="260" w:type="pct"/>
            <w:vMerge w:val="continue"/>
            <w:tcBorders>
              <w:tl2br w:val="nil"/>
              <w:tr2bl w:val="nil"/>
            </w:tcBorders>
            <w:noWrap w:val="0"/>
            <w:vAlign w:val="center"/>
          </w:tcPr>
          <w:p w14:paraId="4D67070A">
            <w:pPr>
              <w:pStyle w:val="24"/>
              <w:keepNext w:val="0"/>
              <w:keepLines w:val="0"/>
              <w:pageBreakBefore w:val="0"/>
              <w:kinsoku/>
              <w:wordWrap/>
              <w:overflowPunct/>
              <w:topLinePunct w:val="0"/>
              <w:autoSpaceDE/>
              <w:autoSpaceDN/>
              <w:bidi w:val="0"/>
              <w:spacing w:beforeAutospacing="0" w:afterAutospacing="0" w:line="240" w:lineRule="auto"/>
              <w:ind w:left="0" w:leftChars="0" w:right="0" w:rightChars="0"/>
              <w:jc w:val="center"/>
              <w:outlineLvl w:val="0"/>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p>
        </w:tc>
      </w:tr>
    </w:tbl>
    <w:p w14:paraId="4D0EE68A">
      <w:pPr>
        <w:adjustRightInd w:val="0"/>
        <w:snapToGrid w:val="0"/>
        <w:ind w:firstLine="562"/>
        <w:rPr>
          <w:b/>
          <w:color w:val="000000" w:themeColor="text1"/>
          <w:kern w:val="0"/>
          <w:sz w:val="28"/>
          <w:szCs w:val="28"/>
          <w:highlight w:val="none"/>
          <w14:textFill>
            <w14:solidFill>
              <w14:schemeClr w14:val="tx1"/>
            </w14:solidFill>
          </w14:textFill>
        </w:rPr>
        <w:sectPr>
          <w:pgSz w:w="16840" w:h="11907" w:orient="landscape"/>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460"/>
      </w:tblGrid>
      <w:tr w14:paraId="36A95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214" w:type="pct"/>
            <w:tcMar>
              <w:left w:w="28" w:type="dxa"/>
              <w:right w:w="28" w:type="dxa"/>
            </w:tcMar>
            <w:vAlign w:val="center"/>
          </w:tcPr>
          <w:p w14:paraId="2BEAC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运营期环境影响和保护措施</w:t>
            </w:r>
          </w:p>
        </w:tc>
        <w:tc>
          <w:tcPr>
            <w:tcW w:w="4786" w:type="pct"/>
          </w:tcPr>
          <w:p w14:paraId="727BEA06">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）措施可行性</w:t>
            </w:r>
          </w:p>
          <w:p w14:paraId="7B554C79">
            <w:pPr>
              <w:pStyle w:val="7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参照《排污许可证申请与核发技术规范 农副食品加工工业</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屠宰及肉类加工工业》</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（HJ860.3-2018）</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、《排污许可证申请与核发技术规范 锅炉》（HJ953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2018）分析</w:t>
            </w:r>
            <w:r>
              <w:rPr>
                <w:rFonts w:hint="eastAsia"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本次评价废气治理设施属于推荐可行技术。</w:t>
            </w:r>
          </w:p>
          <w:p w14:paraId="7BCA811B">
            <w:pPr>
              <w:pStyle w:val="74"/>
              <w:spacing w:line="240" w:lineRule="auto"/>
              <w:ind w:firstLine="422"/>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废气可行技术要求校核</w:t>
            </w:r>
          </w:p>
          <w:tbl>
            <w:tblPr>
              <w:tblStyle w:val="28"/>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94"/>
              <w:gridCol w:w="2038"/>
              <w:gridCol w:w="1494"/>
              <w:gridCol w:w="1264"/>
              <w:gridCol w:w="1302"/>
              <w:gridCol w:w="1025"/>
            </w:tblGrid>
            <w:tr w14:paraId="335E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11" w:type="pct"/>
                  <w:noWrap w:val="0"/>
                  <w:vAlign w:val="center"/>
                </w:tcPr>
                <w:p w14:paraId="6AD6BE1D">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w:t>
                  </w:r>
                </w:p>
                <w:p w14:paraId="7ADB225D">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单元</w:t>
                  </w:r>
                </w:p>
              </w:tc>
              <w:tc>
                <w:tcPr>
                  <w:tcW w:w="644" w:type="pct"/>
                  <w:noWrap w:val="0"/>
                  <w:vAlign w:val="center"/>
                </w:tcPr>
                <w:p w14:paraId="17348DC5">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设施名称</w:t>
                  </w:r>
                </w:p>
              </w:tc>
              <w:tc>
                <w:tcPr>
                  <w:tcW w:w="1099" w:type="pct"/>
                  <w:noWrap w:val="0"/>
                  <w:vAlign w:val="center"/>
                </w:tcPr>
                <w:p w14:paraId="591AC3AE">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主要污染物</w:t>
                  </w:r>
                </w:p>
              </w:tc>
              <w:tc>
                <w:tcPr>
                  <w:tcW w:w="806" w:type="pct"/>
                  <w:noWrap w:val="0"/>
                  <w:vAlign w:val="center"/>
                </w:tcPr>
                <w:p w14:paraId="4E8D0F77">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推荐可行技术</w:t>
                  </w:r>
                </w:p>
              </w:tc>
              <w:tc>
                <w:tcPr>
                  <w:tcW w:w="682" w:type="pct"/>
                  <w:noWrap w:val="0"/>
                  <w:vAlign w:val="center"/>
                </w:tcPr>
                <w:p w14:paraId="726DAE3C">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项目采用技术</w:t>
                  </w:r>
                </w:p>
              </w:tc>
              <w:tc>
                <w:tcPr>
                  <w:tcW w:w="702" w:type="pct"/>
                  <w:noWrap w:val="0"/>
                  <w:vAlign w:val="center"/>
                </w:tcPr>
                <w:p w14:paraId="5EA12D45">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是否采用推荐技术</w:t>
                  </w:r>
                </w:p>
              </w:tc>
              <w:tc>
                <w:tcPr>
                  <w:tcW w:w="553" w:type="pct"/>
                  <w:noWrap w:val="0"/>
                  <w:vAlign w:val="center"/>
                </w:tcPr>
                <w:p w14:paraId="7B110A76">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排污口类型</w:t>
                  </w:r>
                </w:p>
              </w:tc>
            </w:tr>
            <w:tr w14:paraId="7609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11" w:type="pct"/>
                  <w:noWrap w:val="0"/>
                  <w:vAlign w:val="center"/>
                </w:tcPr>
                <w:p w14:paraId="7374900B">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煮制</w:t>
                  </w:r>
                </w:p>
              </w:tc>
              <w:tc>
                <w:tcPr>
                  <w:tcW w:w="644" w:type="pct"/>
                  <w:noWrap w:val="0"/>
                  <w:vAlign w:val="center"/>
                </w:tcPr>
                <w:p w14:paraId="5255ED7E">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锅炉</w:t>
                  </w:r>
                </w:p>
              </w:tc>
              <w:tc>
                <w:tcPr>
                  <w:tcW w:w="1099" w:type="pct"/>
                  <w:noWrap w:val="0"/>
                  <w:vAlign w:val="center"/>
                </w:tcPr>
                <w:p w14:paraId="167038EE">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颗粒物、二氧化硫、氮氧化物</w:t>
                  </w:r>
                </w:p>
              </w:tc>
              <w:tc>
                <w:tcPr>
                  <w:tcW w:w="806" w:type="pct"/>
                  <w:noWrap w:val="0"/>
                  <w:vAlign w:val="center"/>
                </w:tcPr>
                <w:p w14:paraId="723F142E">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低氮燃烧技术</w:t>
                  </w:r>
                </w:p>
              </w:tc>
              <w:tc>
                <w:tcPr>
                  <w:tcW w:w="682" w:type="pct"/>
                  <w:noWrap w:val="0"/>
                  <w:vAlign w:val="center"/>
                </w:tcPr>
                <w:p w14:paraId="26BBEACC">
                  <w:pPr>
                    <w:pStyle w:val="74"/>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低氮燃烧</w:t>
                  </w:r>
                </w:p>
              </w:tc>
              <w:tc>
                <w:tcPr>
                  <w:tcW w:w="702" w:type="pct"/>
                  <w:noWrap w:val="0"/>
                  <w:vAlign w:val="center"/>
                </w:tcPr>
                <w:p w14:paraId="255A1775">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是</w:t>
                  </w:r>
                </w:p>
              </w:tc>
              <w:tc>
                <w:tcPr>
                  <w:tcW w:w="553" w:type="pct"/>
                  <w:noWrap w:val="0"/>
                  <w:vAlign w:val="center"/>
                </w:tcPr>
                <w:p w14:paraId="2DE58094">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一般排放口</w:t>
                  </w:r>
                </w:p>
              </w:tc>
            </w:tr>
            <w:tr w14:paraId="195E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11" w:type="pct"/>
                  <w:noWrap w:val="0"/>
                  <w:vAlign w:val="center"/>
                </w:tcPr>
                <w:p w14:paraId="5E377B54">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食堂</w:t>
                  </w:r>
                </w:p>
              </w:tc>
              <w:tc>
                <w:tcPr>
                  <w:tcW w:w="644" w:type="pct"/>
                  <w:noWrap w:val="0"/>
                  <w:vAlign w:val="center"/>
                </w:tcPr>
                <w:p w14:paraId="01321BAD">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基准灶头</w:t>
                  </w:r>
                </w:p>
              </w:tc>
              <w:tc>
                <w:tcPr>
                  <w:tcW w:w="1099" w:type="pct"/>
                  <w:noWrap w:val="0"/>
                  <w:vAlign w:val="center"/>
                </w:tcPr>
                <w:p w14:paraId="09C2B432">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非甲烷总烃、油烟</w:t>
                  </w:r>
                </w:p>
              </w:tc>
              <w:tc>
                <w:tcPr>
                  <w:tcW w:w="806" w:type="pct"/>
                  <w:noWrap w:val="0"/>
                  <w:vAlign w:val="center"/>
                </w:tcPr>
                <w:p w14:paraId="5BBD6DB3">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油烟处理技术</w:t>
                  </w:r>
                </w:p>
              </w:tc>
              <w:tc>
                <w:tcPr>
                  <w:tcW w:w="682" w:type="pct"/>
                  <w:noWrap w:val="0"/>
                  <w:vAlign w:val="center"/>
                </w:tcPr>
                <w:p w14:paraId="4E2F98A2">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高效油烟净化器</w:t>
                  </w:r>
                </w:p>
              </w:tc>
              <w:tc>
                <w:tcPr>
                  <w:tcW w:w="702" w:type="pct"/>
                  <w:noWrap w:val="0"/>
                  <w:vAlign w:val="center"/>
                </w:tcPr>
                <w:p w14:paraId="6B6684F1">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是</w:t>
                  </w:r>
                </w:p>
              </w:tc>
              <w:tc>
                <w:tcPr>
                  <w:tcW w:w="553" w:type="pct"/>
                  <w:noWrap w:val="0"/>
                  <w:vAlign w:val="center"/>
                </w:tcPr>
                <w:p w14:paraId="4CE41C73">
                  <w:pPr>
                    <w:pStyle w:val="74"/>
                    <w:spacing w:line="240" w:lineRule="auto"/>
                    <w:ind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一般排放口</w:t>
                  </w:r>
                </w:p>
              </w:tc>
            </w:tr>
          </w:tbl>
          <w:p w14:paraId="6F217EC4">
            <w:pPr>
              <w:keepNext w:val="0"/>
              <w:keepLines w:val="0"/>
              <w:pageBreakBefore w:val="0"/>
              <w:kinsoku/>
              <w:wordWrap/>
              <w:overflowPunct/>
              <w:topLinePunct w:val="0"/>
              <w:autoSpaceDE/>
              <w:autoSpaceDN/>
              <w:bidi w:val="0"/>
              <w:snapToGrid/>
              <w:spacing w:line="360" w:lineRule="auto"/>
              <w:ind w:firstLine="482" w:firstLineChars="200"/>
              <w:jc w:val="left"/>
              <w:textAlignment w:val="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lang w:val="en-US" w:eastAsia="zh-CN"/>
                <w14:textFill>
                  <w14:solidFill>
                    <w14:schemeClr w14:val="tx1"/>
                  </w14:solidFill>
                </w14:textFill>
              </w:rPr>
              <w:t>2、</w:t>
            </w:r>
            <w:r>
              <w:rPr>
                <w:rFonts w:hint="eastAsia"/>
                <w:b/>
                <w:color w:val="000000" w:themeColor="text1"/>
                <w:sz w:val="24"/>
                <w:szCs w:val="24"/>
                <w:highlight w:val="none"/>
                <w14:textFill>
                  <w14:solidFill>
                    <w14:schemeClr w14:val="tx1"/>
                  </w14:solidFill>
                </w14:textFill>
              </w:rPr>
              <w:t>非正常工况</w:t>
            </w:r>
            <w:r>
              <w:rPr>
                <w:b/>
                <w:bCs/>
                <w:color w:val="000000" w:themeColor="text1"/>
                <w:kern w:val="0"/>
                <w:sz w:val="24"/>
                <w:szCs w:val="24"/>
                <w:highlight w:val="none"/>
                <w14:textFill>
                  <w14:solidFill>
                    <w14:schemeClr w14:val="tx1"/>
                  </w14:solidFill>
                </w14:textFill>
              </w:rPr>
              <w:t>下污染物排放分析</w:t>
            </w:r>
          </w:p>
          <w:p w14:paraId="27C904C6">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b/>
                <w:bCs/>
                <w:color w:val="000000" w:themeColor="text1"/>
                <w:kern w:val="0"/>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项目非正常工况主要为环保设施的非正常运行，对于</w:t>
            </w:r>
            <w:r>
              <w:rPr>
                <w:rFonts w:hint="eastAsia"/>
                <w:bCs/>
                <w:color w:val="000000" w:themeColor="text1"/>
                <w:sz w:val="24"/>
                <w:szCs w:val="24"/>
                <w:highlight w:val="none"/>
                <w:lang w:eastAsia="zh-CN"/>
                <w14:textFill>
                  <w14:solidFill>
                    <w14:schemeClr w14:val="tx1"/>
                  </w14:solidFill>
                </w14:textFill>
              </w:rPr>
              <w:t>本项目</w:t>
            </w:r>
            <w:r>
              <w:rPr>
                <w:rFonts w:hint="eastAsia"/>
                <w:bCs/>
                <w:color w:val="000000" w:themeColor="text1"/>
                <w:sz w:val="24"/>
                <w:szCs w:val="24"/>
                <w:highlight w:val="none"/>
                <w14:textFill>
                  <w14:solidFill>
                    <w14:schemeClr w14:val="tx1"/>
                  </w14:solidFill>
                </w14:textFill>
              </w:rPr>
              <w:t>而言，主要体现为</w:t>
            </w:r>
            <w:r>
              <w:rPr>
                <w:rFonts w:hint="eastAsia"/>
                <w:bCs/>
                <w:color w:val="000000" w:themeColor="text1"/>
                <w:sz w:val="24"/>
                <w:szCs w:val="24"/>
                <w:highlight w:val="none"/>
                <w:lang w:eastAsia="zh-CN"/>
                <w14:textFill>
                  <w14:solidFill>
                    <w14:schemeClr w14:val="tx1"/>
                  </w14:solidFill>
                </w14:textFill>
              </w:rPr>
              <w:t>食堂</w:t>
            </w:r>
            <w:r>
              <w:rPr>
                <w:rFonts w:hint="eastAsia"/>
                <w:bCs/>
                <w:color w:val="000000" w:themeColor="text1"/>
                <w:sz w:val="24"/>
                <w:szCs w:val="24"/>
                <w:highlight w:val="none"/>
                <w14:textFill>
                  <w14:solidFill>
                    <w14:schemeClr w14:val="tx1"/>
                  </w14:solidFill>
                </w14:textFill>
              </w:rPr>
              <w:t>废气处理设施失效的非正常运行情况</w:t>
            </w:r>
            <w:r>
              <w:rPr>
                <w:rFonts w:hint="eastAsia"/>
                <w:bCs/>
                <w:color w:val="000000" w:themeColor="text1"/>
                <w:sz w:val="24"/>
                <w:szCs w:val="24"/>
                <w:highlight w:val="none"/>
                <w:lang w:eastAsia="zh-CN"/>
                <w14:textFill>
                  <w14:solidFill>
                    <w14:schemeClr w14:val="tx1"/>
                  </w14:solidFill>
                </w14:textFill>
              </w:rPr>
              <w:t>。</w:t>
            </w:r>
            <w:r>
              <w:rPr>
                <w:rFonts w:hint="eastAsia"/>
                <w:bCs/>
                <w:color w:val="000000" w:themeColor="text1"/>
                <w:sz w:val="24"/>
                <w:szCs w:val="24"/>
                <w:highlight w:val="none"/>
                <w14:textFill>
                  <w14:solidFill>
                    <w14:schemeClr w14:val="tx1"/>
                  </w14:solidFill>
                </w14:textFill>
              </w:rPr>
              <w:t>本评价非正常工况下，废气处理设施处理效率按照0计算。则项目非正常工况污染物排放情况详见下表。</w:t>
            </w:r>
          </w:p>
          <w:p w14:paraId="5DF0B4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kern w:val="0"/>
                <w:sz w:val="24"/>
                <w:szCs w:val="24"/>
                <w:highlight w:val="none"/>
                <w14:textFill>
                  <w14:solidFill>
                    <w14:schemeClr w14:val="tx1"/>
                  </w14:solidFill>
                </w14:textFill>
              </w:rPr>
            </w:pPr>
            <w:r>
              <w:rPr>
                <w:b/>
                <w:color w:val="000000" w:themeColor="text1"/>
                <w:kern w:val="0"/>
                <w:sz w:val="24"/>
                <w:szCs w:val="24"/>
                <w:highlight w:val="none"/>
                <w14:textFill>
                  <w14:solidFill>
                    <w14:schemeClr w14:val="tx1"/>
                  </w14:solidFill>
                </w14:textFill>
              </w:rPr>
              <w:t>表</w:t>
            </w:r>
            <w:r>
              <w:rPr>
                <w:rFonts w:hint="eastAsia"/>
                <w:b/>
                <w:color w:val="000000" w:themeColor="text1"/>
                <w:kern w:val="0"/>
                <w:sz w:val="24"/>
                <w:szCs w:val="24"/>
                <w:highlight w:val="none"/>
                <w:lang w:val="en-US" w:eastAsia="zh-CN"/>
                <w14:textFill>
                  <w14:solidFill>
                    <w14:schemeClr w14:val="tx1"/>
                  </w14:solidFill>
                </w14:textFill>
              </w:rPr>
              <w:t>4.2-6</w:t>
            </w:r>
            <w:r>
              <w:rPr>
                <w:b/>
                <w:color w:val="000000" w:themeColor="text1"/>
                <w:kern w:val="0"/>
                <w:sz w:val="24"/>
                <w:szCs w:val="24"/>
                <w:highlight w:val="none"/>
                <w14:textFill>
                  <w14:solidFill>
                    <w14:schemeClr w14:val="tx1"/>
                  </w14:solidFill>
                </w14:textFill>
              </w:rPr>
              <w:t xml:space="preserve"> 非正常工况废气排放情况</w:t>
            </w:r>
          </w:p>
          <w:tbl>
            <w:tblPr>
              <w:tblStyle w:val="2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100"/>
              <w:gridCol w:w="1325"/>
              <w:gridCol w:w="1131"/>
              <w:gridCol w:w="1203"/>
              <w:gridCol w:w="949"/>
              <w:gridCol w:w="982"/>
              <w:gridCol w:w="827"/>
              <w:gridCol w:w="849"/>
            </w:tblGrid>
            <w:tr w14:paraId="5440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464" w:type="pct"/>
                  <w:noWrap w:val="0"/>
                  <w:vAlign w:val="center"/>
                </w:tcPr>
                <w:p w14:paraId="311F4D2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污染源</w:t>
                  </w:r>
                </w:p>
              </w:tc>
              <w:tc>
                <w:tcPr>
                  <w:tcW w:w="596" w:type="pct"/>
                  <w:noWrap w:val="0"/>
                  <w:vAlign w:val="center"/>
                </w:tcPr>
                <w:p w14:paraId="453F45D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非正常排放原因</w:t>
                  </w:r>
                </w:p>
              </w:tc>
              <w:tc>
                <w:tcPr>
                  <w:tcW w:w="718" w:type="pct"/>
                  <w:noWrap w:val="0"/>
                  <w:vAlign w:val="center"/>
                </w:tcPr>
                <w:p w14:paraId="0E279B2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污染物</w:t>
                  </w:r>
                </w:p>
              </w:tc>
              <w:tc>
                <w:tcPr>
                  <w:tcW w:w="613" w:type="pct"/>
                  <w:noWrap w:val="0"/>
                  <w:vAlign w:val="center"/>
                </w:tcPr>
                <w:p w14:paraId="39DF400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非正常排放速率kg/h</w:t>
                  </w:r>
                </w:p>
              </w:tc>
              <w:tc>
                <w:tcPr>
                  <w:tcW w:w="652" w:type="pct"/>
                  <w:noWrap w:val="0"/>
                  <w:vAlign w:val="center"/>
                </w:tcPr>
                <w:p w14:paraId="66436A7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非正常排放浓度mg/m</w:t>
                  </w:r>
                  <w:r>
                    <w:rPr>
                      <w:rFonts w:hint="default" w:ascii="Times New Roman" w:hAnsi="Times New Roman" w:cs="Times New Roman"/>
                      <w:b/>
                      <w:color w:val="000000" w:themeColor="text1"/>
                      <w:kern w:val="0"/>
                      <w:sz w:val="21"/>
                      <w:szCs w:val="21"/>
                      <w:highlight w:val="none"/>
                      <w:vertAlign w:val="superscript"/>
                      <w14:textFill>
                        <w14:solidFill>
                          <w14:schemeClr w14:val="tx1"/>
                        </w14:solidFill>
                      </w14:textFill>
                    </w:rPr>
                    <w:t>3</w:t>
                  </w:r>
                </w:p>
              </w:tc>
              <w:tc>
                <w:tcPr>
                  <w:tcW w:w="514" w:type="pct"/>
                  <w:noWrap w:val="0"/>
                  <w:vAlign w:val="center"/>
                </w:tcPr>
                <w:p w14:paraId="7CB97A5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单次持续时间/h</w:t>
                  </w:r>
                </w:p>
              </w:tc>
              <w:tc>
                <w:tcPr>
                  <w:tcW w:w="532" w:type="pct"/>
                  <w:noWrap w:val="0"/>
                  <w:vAlign w:val="center"/>
                </w:tcPr>
                <w:p w14:paraId="554AC97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非正常排放量/kg</w:t>
                  </w:r>
                </w:p>
              </w:tc>
              <w:tc>
                <w:tcPr>
                  <w:tcW w:w="448" w:type="pct"/>
                  <w:noWrap w:val="0"/>
                  <w:vAlign w:val="center"/>
                </w:tcPr>
                <w:p w14:paraId="1FF5420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年发生频次/年</w:t>
                  </w:r>
                </w:p>
              </w:tc>
              <w:tc>
                <w:tcPr>
                  <w:tcW w:w="460" w:type="pct"/>
                  <w:noWrap w:val="0"/>
                  <w:vAlign w:val="center"/>
                </w:tcPr>
                <w:p w14:paraId="5CEE4FE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kern w:val="0"/>
                      <w:sz w:val="21"/>
                      <w:szCs w:val="21"/>
                      <w:highlight w:val="none"/>
                      <w14:textFill>
                        <w14:solidFill>
                          <w14:schemeClr w14:val="tx1"/>
                        </w14:solidFill>
                      </w14:textFill>
                    </w:rPr>
                    <w:t>应对措施</w:t>
                  </w:r>
                </w:p>
              </w:tc>
            </w:tr>
            <w:tr w14:paraId="01B4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64" w:type="pct"/>
                  <w:vMerge w:val="restart"/>
                  <w:noWrap w:val="0"/>
                  <w:vAlign w:val="center"/>
                </w:tcPr>
                <w:p w14:paraId="38D56B07">
                  <w:pPr>
                    <w:keepNext w:val="0"/>
                    <w:keepLines w:val="0"/>
                    <w:pageBreakBefore w:val="0"/>
                    <w:widowControl/>
                    <w:kinsoku/>
                    <w:wordWrap/>
                    <w:overflowPunct/>
                    <w:topLinePunct w:val="0"/>
                    <w:autoSpaceDE/>
                    <w:autoSpaceDN/>
                    <w:bidi w:val="0"/>
                    <w:adjustRightInd w:val="0"/>
                    <w:spacing w:line="240" w:lineRule="auto"/>
                    <w:ind w:left="0" w:lef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食堂废气</w:t>
                  </w:r>
                </w:p>
              </w:tc>
              <w:tc>
                <w:tcPr>
                  <w:tcW w:w="596" w:type="pct"/>
                  <w:vMerge w:val="restart"/>
                  <w:noWrap w:val="0"/>
                  <w:vAlign w:val="center"/>
                </w:tcPr>
                <w:p w14:paraId="0CBE8FC9">
                  <w:pPr>
                    <w:keepNext w:val="0"/>
                    <w:keepLines w:val="0"/>
                    <w:pageBreakBefore w:val="0"/>
                    <w:widowControl/>
                    <w:kinsoku/>
                    <w:wordWrap/>
                    <w:overflowPunct/>
                    <w:topLinePunct w:val="0"/>
                    <w:autoSpaceDE/>
                    <w:autoSpaceDN/>
                    <w:bidi w:val="0"/>
                    <w:adjustRightInd w:val="0"/>
                    <w:spacing w:line="240" w:lineRule="auto"/>
                    <w:ind w:left="0" w:leftChars="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废气处理设施故障</w:t>
                  </w:r>
                </w:p>
              </w:tc>
              <w:tc>
                <w:tcPr>
                  <w:tcW w:w="718" w:type="pct"/>
                  <w:shd w:val="clear" w:color="auto" w:fill="auto"/>
                  <w:noWrap w:val="0"/>
                  <w:vAlign w:val="center"/>
                </w:tcPr>
                <w:p w14:paraId="239E11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131" w:type="dxa"/>
                  <w:shd w:val="clear" w:color="auto" w:fill="auto"/>
                  <w:noWrap w:val="0"/>
                  <w:vAlign w:val="center"/>
                </w:tcPr>
                <w:p w14:paraId="2FD01A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0.027</w:t>
                  </w:r>
                </w:p>
              </w:tc>
              <w:tc>
                <w:tcPr>
                  <w:tcW w:w="652" w:type="pct"/>
                  <w:shd w:val="clear" w:color="auto" w:fill="auto"/>
                  <w:noWrap w:val="0"/>
                  <w:vAlign w:val="center"/>
                </w:tcPr>
                <w:p w14:paraId="700CBC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514" w:type="pct"/>
                  <w:vMerge w:val="restart"/>
                  <w:shd w:val="clear" w:color="auto" w:fill="auto"/>
                  <w:noWrap w:val="0"/>
                  <w:vAlign w:val="center"/>
                </w:tcPr>
                <w:p w14:paraId="5513BD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w:t>
                  </w:r>
                </w:p>
              </w:tc>
              <w:tc>
                <w:tcPr>
                  <w:tcW w:w="982" w:type="dxa"/>
                  <w:shd w:val="clear" w:color="auto" w:fill="auto"/>
                  <w:noWrap w:val="0"/>
                  <w:vAlign w:val="center"/>
                </w:tcPr>
                <w:p w14:paraId="048662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0.027</w:t>
                  </w:r>
                </w:p>
              </w:tc>
              <w:tc>
                <w:tcPr>
                  <w:tcW w:w="448" w:type="pct"/>
                  <w:vMerge w:val="restart"/>
                  <w:noWrap w:val="0"/>
                  <w:vAlign w:val="center"/>
                </w:tcPr>
                <w:p w14:paraId="5AE27698">
                  <w:pPr>
                    <w:keepNext w:val="0"/>
                    <w:keepLines w:val="0"/>
                    <w:pageBreakBefore w:val="0"/>
                    <w:widowControl/>
                    <w:kinsoku/>
                    <w:wordWrap/>
                    <w:overflowPunct/>
                    <w:topLinePunct w:val="0"/>
                    <w:autoSpaceDE/>
                    <w:autoSpaceDN/>
                    <w:bidi w:val="0"/>
                    <w:adjustRightInd w:val="0"/>
                    <w:spacing w:line="240" w:lineRule="auto"/>
                    <w:ind w:left="0" w:leftChars="0" w:firstLine="0" w:firstLineChars="0"/>
                    <w:jc w:val="cente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w:t>
                  </w:r>
                </w:p>
              </w:tc>
              <w:tc>
                <w:tcPr>
                  <w:tcW w:w="460" w:type="pct"/>
                  <w:vMerge w:val="restart"/>
                  <w:noWrap w:val="0"/>
                  <w:vAlign w:val="center"/>
                </w:tcPr>
                <w:p w14:paraId="1EE5327B">
                  <w:pPr>
                    <w:keepNext w:val="0"/>
                    <w:keepLines w:val="0"/>
                    <w:pageBreakBefore w:val="0"/>
                    <w:widowControl/>
                    <w:kinsoku/>
                    <w:wordWrap/>
                    <w:overflowPunct/>
                    <w:topLinePunct w:val="0"/>
                    <w:autoSpaceDE/>
                    <w:autoSpaceDN/>
                    <w:bidi w:val="0"/>
                    <w:adjustRightInd w:val="0"/>
                    <w:spacing w:line="240" w:lineRule="auto"/>
                    <w:ind w:left="0" w:leftChars="0" w:firstLine="0" w:firstLineChars="0"/>
                    <w:jc w:val="both"/>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加强管控及时调整</w:t>
                  </w:r>
                </w:p>
              </w:tc>
            </w:tr>
            <w:tr w14:paraId="3FC4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64" w:type="pct"/>
                  <w:vMerge w:val="continue"/>
                  <w:noWrap w:val="0"/>
                  <w:vAlign w:val="center"/>
                </w:tcPr>
                <w:p w14:paraId="6E84D8EE">
                  <w:pPr>
                    <w:keepNext w:val="0"/>
                    <w:keepLines w:val="0"/>
                    <w:pageBreakBefore w:val="0"/>
                    <w:widowControl/>
                    <w:kinsoku/>
                    <w:wordWrap/>
                    <w:overflowPunct/>
                    <w:topLinePunct w:val="0"/>
                    <w:autoSpaceDE/>
                    <w:autoSpaceDN/>
                    <w:bidi w:val="0"/>
                    <w:adjustRightInd w:val="0"/>
                    <w:spacing w:line="240" w:lineRule="auto"/>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596" w:type="pct"/>
                  <w:vMerge w:val="continue"/>
                  <w:noWrap w:val="0"/>
                  <w:vAlign w:val="center"/>
                </w:tcPr>
                <w:p w14:paraId="56B0ED55">
                  <w:pPr>
                    <w:keepNext w:val="0"/>
                    <w:keepLines w:val="0"/>
                    <w:pageBreakBefore w:val="0"/>
                    <w:widowControl/>
                    <w:kinsoku/>
                    <w:wordWrap/>
                    <w:overflowPunct/>
                    <w:topLinePunct w:val="0"/>
                    <w:autoSpaceDE/>
                    <w:autoSpaceDN/>
                    <w:bidi w:val="0"/>
                    <w:adjustRightInd w:val="0"/>
                    <w:spacing w:line="240" w:lineRule="auto"/>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718" w:type="pct"/>
                  <w:shd w:val="clear" w:color="auto" w:fill="auto"/>
                  <w:noWrap w:val="0"/>
                  <w:vAlign w:val="center"/>
                </w:tcPr>
                <w:p w14:paraId="40F8CE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1131" w:type="dxa"/>
                  <w:shd w:val="clear" w:color="auto" w:fill="auto"/>
                  <w:noWrap w:val="0"/>
                  <w:vAlign w:val="center"/>
                </w:tcPr>
                <w:p w14:paraId="215412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0.054</w:t>
                  </w:r>
                </w:p>
              </w:tc>
              <w:tc>
                <w:tcPr>
                  <w:tcW w:w="652" w:type="pct"/>
                  <w:shd w:val="clear" w:color="auto" w:fill="auto"/>
                  <w:noWrap w:val="0"/>
                  <w:vAlign w:val="center"/>
                </w:tcPr>
                <w:p w14:paraId="498559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514" w:type="pct"/>
                  <w:vMerge w:val="continue"/>
                  <w:noWrap w:val="0"/>
                  <w:vAlign w:val="center"/>
                </w:tcPr>
                <w:p w14:paraId="7F9075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82" w:type="dxa"/>
                  <w:shd w:val="clear" w:color="auto" w:fill="auto"/>
                  <w:noWrap w:val="0"/>
                  <w:vAlign w:val="center"/>
                </w:tcPr>
                <w:p w14:paraId="65AC5A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0.054</w:t>
                  </w:r>
                </w:p>
              </w:tc>
              <w:tc>
                <w:tcPr>
                  <w:tcW w:w="448" w:type="pct"/>
                  <w:vMerge w:val="continue"/>
                  <w:noWrap w:val="0"/>
                  <w:vAlign w:val="center"/>
                </w:tcPr>
                <w:p w14:paraId="1EF21444">
                  <w:pPr>
                    <w:keepNext w:val="0"/>
                    <w:keepLines w:val="0"/>
                    <w:pageBreakBefore w:val="0"/>
                    <w:widowControl/>
                    <w:kinsoku/>
                    <w:wordWrap/>
                    <w:overflowPunct/>
                    <w:topLinePunct w:val="0"/>
                    <w:autoSpaceDE/>
                    <w:autoSpaceDN/>
                    <w:bidi w:val="0"/>
                    <w:adjustRightInd w:val="0"/>
                    <w:spacing w:line="240" w:lineRule="auto"/>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460" w:type="pct"/>
                  <w:vMerge w:val="continue"/>
                  <w:noWrap w:val="0"/>
                  <w:vAlign w:val="center"/>
                </w:tcPr>
                <w:p w14:paraId="146933D4">
                  <w:pPr>
                    <w:keepNext w:val="0"/>
                    <w:keepLines w:val="0"/>
                    <w:pageBreakBefore w:val="0"/>
                    <w:widowControl/>
                    <w:kinsoku/>
                    <w:wordWrap/>
                    <w:overflowPunct/>
                    <w:topLinePunct w:val="0"/>
                    <w:autoSpaceDE/>
                    <w:autoSpaceDN/>
                    <w:bidi w:val="0"/>
                    <w:adjustRightInd w:val="0"/>
                    <w:spacing w:line="240" w:lineRule="auto"/>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r>
          </w:tbl>
          <w:p w14:paraId="4D7340C7">
            <w:pPr>
              <w:ind w:firstLine="482"/>
              <w:rPr>
                <w:b/>
                <w:color w:val="000000" w:themeColor="text1"/>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由上表可以看出，非正常工况排放时，排气筒污染物排放浓度、排放速率增大，非正常工况排放时应停止生产，及时检修，企业应加强环保设施管理、维护，确保环保设施正常运行，防止非正常工况废气的排放。</w:t>
            </w:r>
          </w:p>
          <w:p w14:paraId="5C22570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00" w:themeColor="text1"/>
                <w:sz w:val="24"/>
                <w:szCs w:val="32"/>
                <w:highlight w:val="none"/>
                <w14:textFill>
                  <w14:solidFill>
                    <w14:schemeClr w14:val="tx1"/>
                  </w14:solidFill>
                </w14:textFill>
              </w:rPr>
            </w:pPr>
            <w:r>
              <w:rPr>
                <w:rFonts w:hint="eastAsia" w:cs="Times New Roman"/>
                <w:b/>
                <w:color w:val="000000" w:themeColor="text1"/>
                <w:sz w:val="24"/>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32"/>
                <w:highlight w:val="none"/>
                <w14:textFill>
                  <w14:solidFill>
                    <w14:schemeClr w14:val="tx1"/>
                  </w14:solidFill>
                </w14:textFill>
              </w:rPr>
              <w:t>监测要求</w:t>
            </w:r>
          </w:p>
          <w:p w14:paraId="5EA4C6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14:textFill>
                  <w14:solidFill>
                    <w14:schemeClr w14:val="tx1"/>
                  </w14:solidFill>
                </w14:textFill>
              </w:rPr>
              <w:t>根据</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32"/>
                <w:highlight w:val="none"/>
                <w14:textFill>
                  <w14:solidFill>
                    <w14:schemeClr w14:val="tx1"/>
                  </w14:solidFill>
                </w14:textFill>
              </w:rPr>
              <w:t>排污单位自行监测技术指南</w:t>
            </w:r>
            <w:r>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食品制造</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HJ 1084.2-2020</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14:textFill>
                  <w14:solidFill>
                    <w14:schemeClr w14:val="tx1"/>
                  </w14:solidFill>
                </w14:textFill>
              </w:rPr>
              <w:t>《排污单位自行监测技术指南 火力发电及锅炉》（HJ820</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14:textFill>
                  <w14:solidFill>
                    <w14:schemeClr w14:val="tx1"/>
                  </w14:solidFill>
                </w14:textFill>
              </w:rPr>
              <w:t>2017）</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及《排污许可证申请与核发技术规范</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食品制造工业</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调味品、发酵制品制造工业》（HJ1030.2</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2019）</w:t>
            </w:r>
            <w:r>
              <w:rPr>
                <w:rFonts w:hint="default" w:ascii="Times New Roman" w:hAnsi="Times New Roman" w:eastAsia="宋体" w:cs="Times New Roman"/>
                <w:color w:val="000000" w:themeColor="text1"/>
                <w:sz w:val="24"/>
                <w:szCs w:val="32"/>
                <w:highlight w:val="none"/>
                <w14:textFill>
                  <w14:solidFill>
                    <w14:schemeClr w14:val="tx1"/>
                  </w14:solidFill>
                </w14:textFill>
              </w:rPr>
              <w:t>，本项目废气自行监测情况见下表：</w:t>
            </w:r>
          </w:p>
          <w:p w14:paraId="2C31D27E">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eastAsia="宋体" w:cs="Times New Roman"/>
                <w:b/>
                <w:color w:val="000000" w:themeColor="text1"/>
                <w:sz w:val="24"/>
                <w:szCs w:val="32"/>
                <w:highlight w:val="none"/>
                <w14:textFill>
                  <w14:solidFill>
                    <w14:schemeClr w14:val="tx1"/>
                  </w14:solidFill>
                </w14:textFill>
              </w:rPr>
            </w:pPr>
            <w:r>
              <w:rPr>
                <w:rFonts w:hint="default" w:ascii="Times New Roman" w:hAnsi="Times New Roman" w:eastAsia="宋体" w:cs="Times New Roman"/>
                <w:b/>
                <w:color w:val="000000" w:themeColor="text1"/>
                <w:sz w:val="24"/>
                <w:szCs w:val="32"/>
                <w:highlight w:val="none"/>
                <w14:textFill>
                  <w14:solidFill>
                    <w14:schemeClr w14:val="tx1"/>
                  </w14:solidFill>
                </w14:textFill>
              </w:rPr>
              <w:t>表</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4.2-</w:t>
            </w:r>
            <w:r>
              <w:rPr>
                <w:rFonts w:hint="eastAsia" w:cs="Times New Roman"/>
                <w:b/>
                <w:color w:val="000000" w:themeColor="text1"/>
                <w:sz w:val="24"/>
                <w:szCs w:val="32"/>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32"/>
                <w:highlight w:val="none"/>
                <w14:textFill>
                  <w14:solidFill>
                    <w14:schemeClr w14:val="tx1"/>
                  </w14:solidFill>
                </w14:textFill>
              </w:rPr>
              <w:t xml:space="preserve"> 本项目废气自行监测情况一览表</w:t>
            </w:r>
          </w:p>
          <w:tbl>
            <w:tblPr>
              <w:tblStyle w:val="28"/>
              <w:tblW w:w="9161"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884"/>
              <w:gridCol w:w="1305"/>
              <w:gridCol w:w="2277"/>
              <w:gridCol w:w="3982"/>
            </w:tblGrid>
            <w:tr w14:paraId="58D1D2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97" w:type="dxa"/>
                  <w:gridSpan w:val="2"/>
                  <w:tcBorders>
                    <w:tl2br w:val="nil"/>
                    <w:tr2bl w:val="nil"/>
                  </w:tcBorders>
                  <w:noWrap w:val="0"/>
                  <w:vAlign w:val="center"/>
                </w:tcPr>
                <w:p w14:paraId="75EB5C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监测点位</w:t>
                  </w:r>
                </w:p>
              </w:tc>
              <w:tc>
                <w:tcPr>
                  <w:tcW w:w="1305" w:type="dxa"/>
                  <w:tcBorders>
                    <w:tl2br w:val="nil"/>
                    <w:tr2bl w:val="nil"/>
                  </w:tcBorders>
                  <w:noWrap w:val="0"/>
                  <w:vAlign w:val="center"/>
                </w:tcPr>
                <w:p w14:paraId="09A722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监测指标</w:t>
                  </w:r>
                </w:p>
              </w:tc>
              <w:tc>
                <w:tcPr>
                  <w:tcW w:w="2277" w:type="dxa"/>
                  <w:tcBorders>
                    <w:tl2br w:val="nil"/>
                    <w:tr2bl w:val="nil"/>
                  </w:tcBorders>
                  <w:noWrap w:val="0"/>
                  <w:vAlign w:val="center"/>
                </w:tcPr>
                <w:p w14:paraId="3AF20A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监测频次</w:t>
                  </w:r>
                </w:p>
              </w:tc>
              <w:tc>
                <w:tcPr>
                  <w:tcW w:w="3982" w:type="dxa"/>
                  <w:tcBorders>
                    <w:tl2br w:val="nil"/>
                    <w:tr2bl w:val="nil"/>
                  </w:tcBorders>
                  <w:noWrap w:val="0"/>
                  <w:vAlign w:val="center"/>
                </w:tcPr>
                <w:p w14:paraId="7BEAD1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执行标准</w:t>
                  </w:r>
                </w:p>
              </w:tc>
            </w:tr>
            <w:tr w14:paraId="63D917E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restart"/>
                  <w:tcBorders>
                    <w:tl2br w:val="nil"/>
                    <w:tr2bl w:val="nil"/>
                  </w:tcBorders>
                  <w:noWrap w:val="0"/>
                  <w:vAlign w:val="center"/>
                </w:tcPr>
                <w:p w14:paraId="00789C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有</w:t>
                  </w:r>
                  <w:r>
                    <w:rPr>
                      <w:rFonts w:hint="default" w:ascii="Times New Roman" w:hAnsi="Times New Roman" w:eastAsia="宋体" w:cs="Times New Roman"/>
                      <w:color w:val="000000" w:themeColor="text1"/>
                      <w:sz w:val="21"/>
                      <w:szCs w:val="21"/>
                      <w:highlight w:val="none"/>
                      <w14:textFill>
                        <w14:solidFill>
                          <w14:schemeClr w14:val="tx1"/>
                        </w14:solidFill>
                      </w14:textFill>
                    </w:rPr>
                    <w:t>组织</w:t>
                  </w:r>
                </w:p>
              </w:tc>
              <w:tc>
                <w:tcPr>
                  <w:tcW w:w="884" w:type="dxa"/>
                  <w:vMerge w:val="restart"/>
                  <w:tcBorders>
                    <w:tl2br w:val="nil"/>
                    <w:tr2bl w:val="nil"/>
                  </w:tcBorders>
                  <w:noWrap w:val="0"/>
                  <w:vAlign w:val="center"/>
                </w:tcPr>
                <w:p w14:paraId="3D59E6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1</w:t>
                  </w:r>
                </w:p>
              </w:tc>
              <w:tc>
                <w:tcPr>
                  <w:tcW w:w="1305" w:type="dxa"/>
                  <w:tcBorders>
                    <w:tl2br w:val="nil"/>
                    <w:tr2bl w:val="nil"/>
                  </w:tcBorders>
                  <w:noWrap w:val="0"/>
                  <w:vAlign w:val="center"/>
                </w:tcPr>
                <w:p w14:paraId="21A783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林格曼黑度</w:t>
                  </w:r>
                </w:p>
              </w:tc>
              <w:tc>
                <w:tcPr>
                  <w:tcW w:w="2277" w:type="dxa"/>
                  <w:tcBorders>
                    <w:tl2br w:val="nil"/>
                    <w:tr2bl w:val="nil"/>
                  </w:tcBorders>
                  <w:noWrap w:val="0"/>
                  <w:vAlign w:val="center"/>
                </w:tcPr>
                <w:p w14:paraId="4B199A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竣工验收时监测一次</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以后每年一次</w:t>
                  </w:r>
                </w:p>
              </w:tc>
              <w:tc>
                <w:tcPr>
                  <w:tcW w:w="3982" w:type="dxa"/>
                  <w:vMerge w:val="restart"/>
                  <w:tcBorders>
                    <w:tl2br w:val="nil"/>
                    <w:tr2bl w:val="nil"/>
                  </w:tcBorders>
                  <w:noWrap w:val="0"/>
                  <w:vAlign w:val="center"/>
                </w:tcPr>
                <w:p w14:paraId="336231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《锅炉大气污染物排放标准》（DB 50/658-2016）重庆市地方标准第1号修改单</w:t>
                  </w:r>
                </w:p>
              </w:tc>
            </w:tr>
            <w:tr w14:paraId="1CEC44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5E3CB3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c>
                <w:tcPr>
                  <w:tcW w:w="884" w:type="dxa"/>
                  <w:vMerge w:val="continue"/>
                  <w:tcBorders>
                    <w:tl2br w:val="nil"/>
                    <w:tr2bl w:val="nil"/>
                  </w:tcBorders>
                  <w:noWrap w:val="0"/>
                  <w:vAlign w:val="center"/>
                </w:tcPr>
                <w:p w14:paraId="6029D5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1305" w:type="dxa"/>
                  <w:tcBorders>
                    <w:tl2br w:val="nil"/>
                    <w:tr2bl w:val="nil"/>
                  </w:tcBorders>
                  <w:noWrap w:val="0"/>
                  <w:vAlign w:val="center"/>
                </w:tcPr>
                <w:p w14:paraId="6C1E85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NOx</w:t>
                  </w:r>
                </w:p>
              </w:tc>
              <w:tc>
                <w:tcPr>
                  <w:tcW w:w="2277" w:type="dxa"/>
                  <w:tcBorders>
                    <w:tl2br w:val="nil"/>
                    <w:tr2bl w:val="nil"/>
                  </w:tcBorders>
                  <w:noWrap w:val="0"/>
                  <w:vAlign w:val="center"/>
                </w:tcPr>
                <w:p w14:paraId="3D90E8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竣工验收时监测一次</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以后每</w:t>
                  </w:r>
                  <w:r>
                    <w:rPr>
                      <w:rFonts w:hint="eastAsia" w:cs="Times New Roman"/>
                      <w:color w:val="000000" w:themeColor="text1"/>
                      <w:sz w:val="21"/>
                      <w:szCs w:val="21"/>
                      <w:highlight w:val="none"/>
                      <w:lang w:eastAsia="zh-CN"/>
                      <w14:textFill>
                        <w14:solidFill>
                          <w14:schemeClr w14:val="tx1"/>
                        </w14:solidFill>
                      </w14:textFill>
                    </w:rPr>
                    <w:t>月</w:t>
                  </w:r>
                  <w:r>
                    <w:rPr>
                      <w:rFonts w:hint="default" w:ascii="Times New Roman" w:hAnsi="Times New Roman" w:eastAsia="宋体" w:cs="Times New Roman"/>
                      <w:color w:val="000000" w:themeColor="text1"/>
                      <w:sz w:val="21"/>
                      <w:szCs w:val="21"/>
                      <w:highlight w:val="none"/>
                      <w14:textFill>
                        <w14:solidFill>
                          <w14:schemeClr w14:val="tx1"/>
                        </w14:solidFill>
                      </w14:textFill>
                    </w:rPr>
                    <w:t>一次</w:t>
                  </w:r>
                </w:p>
              </w:tc>
              <w:tc>
                <w:tcPr>
                  <w:tcW w:w="3982" w:type="dxa"/>
                  <w:vMerge w:val="continue"/>
                  <w:tcBorders>
                    <w:tl2br w:val="nil"/>
                    <w:tr2bl w:val="nil"/>
                  </w:tcBorders>
                  <w:noWrap w:val="0"/>
                  <w:vAlign w:val="center"/>
                </w:tcPr>
                <w:p w14:paraId="3691F1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42E24F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3" w:type="dxa"/>
                  <w:tcBorders>
                    <w:tl2br w:val="nil"/>
                    <w:tr2bl w:val="nil"/>
                  </w:tcBorders>
                  <w:noWrap w:val="0"/>
                  <w:vAlign w:val="center"/>
                </w:tcPr>
                <w:p w14:paraId="713A8B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无</w:t>
                  </w:r>
                  <w:r>
                    <w:rPr>
                      <w:rFonts w:hint="default" w:ascii="Times New Roman" w:hAnsi="Times New Roman" w:eastAsia="宋体" w:cs="Times New Roman"/>
                      <w:color w:val="000000" w:themeColor="text1"/>
                      <w:sz w:val="21"/>
                      <w:szCs w:val="21"/>
                      <w:highlight w:val="none"/>
                      <w14:textFill>
                        <w14:solidFill>
                          <w14:schemeClr w14:val="tx1"/>
                        </w14:solidFill>
                      </w14:textFill>
                    </w:rPr>
                    <w:t>组织</w:t>
                  </w:r>
                </w:p>
              </w:tc>
              <w:tc>
                <w:tcPr>
                  <w:tcW w:w="884" w:type="dxa"/>
                  <w:tcBorders>
                    <w:tl2br w:val="nil"/>
                    <w:tr2bl w:val="nil"/>
                  </w:tcBorders>
                  <w:noWrap w:val="0"/>
                  <w:vAlign w:val="center"/>
                </w:tcPr>
                <w:p w14:paraId="08BD2F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w:t>
                  </w:r>
                </w:p>
              </w:tc>
              <w:tc>
                <w:tcPr>
                  <w:tcW w:w="1305" w:type="dxa"/>
                  <w:tcBorders>
                    <w:tl2br w:val="nil"/>
                    <w:tr2bl w:val="nil"/>
                  </w:tcBorders>
                  <w:noWrap w:val="0"/>
                  <w:vAlign w:val="center"/>
                </w:tcPr>
                <w:p w14:paraId="515E4166">
                  <w:pPr>
                    <w:pStyle w:val="75"/>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臭气浓度</w:t>
                  </w:r>
                </w:p>
              </w:tc>
              <w:tc>
                <w:tcPr>
                  <w:tcW w:w="2277" w:type="dxa"/>
                  <w:tcBorders>
                    <w:tl2br w:val="nil"/>
                    <w:tr2bl w:val="nil"/>
                  </w:tcBorders>
                  <w:noWrap w:val="0"/>
                  <w:vAlign w:val="center"/>
                </w:tcPr>
                <w:p w14:paraId="381211BD">
                  <w:pPr>
                    <w:pStyle w:val="75"/>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验收时监测一次，以后每半年1次</w:t>
                  </w:r>
                </w:p>
              </w:tc>
              <w:tc>
                <w:tcPr>
                  <w:tcW w:w="3982" w:type="dxa"/>
                  <w:tcBorders>
                    <w:tl2br w:val="nil"/>
                    <w:tr2bl w:val="nil"/>
                  </w:tcBorders>
                  <w:noWrap w:val="0"/>
                  <w:vAlign w:val="center"/>
                </w:tcPr>
                <w:p w14:paraId="39ED64CE">
                  <w:pPr>
                    <w:pStyle w:val="75"/>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《大气污染物综合排放标准》（DB50/418-2016）、</w:t>
                  </w:r>
                  <w:r>
                    <w:rPr>
                      <w:rFonts w:hint="default" w:ascii="Times New Roman" w:hAnsi="Times New Roman" w:cs="Times New Roman"/>
                      <w:bCs/>
                      <w:color w:val="000000" w:themeColor="text1"/>
                      <w:sz w:val="21"/>
                      <w:szCs w:val="21"/>
                      <w:highlight w:val="none"/>
                      <w14:textFill>
                        <w14:solidFill>
                          <w14:schemeClr w14:val="tx1"/>
                        </w14:solidFill>
                      </w14:textFill>
                    </w:rPr>
                    <w:t>《恶臭污染物排放标准》（GB 14554-93）</w:t>
                  </w:r>
                </w:p>
              </w:tc>
            </w:tr>
          </w:tbl>
          <w:p w14:paraId="0CEFBBF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环境影响分析</w:t>
            </w:r>
          </w:p>
          <w:p w14:paraId="14B26B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重庆市合川工业园区南溪组团A区</w:t>
            </w:r>
            <w:r>
              <w:rPr>
                <w:rFonts w:hint="default" w:ascii="Times New Roman" w:hAnsi="Times New Roman" w:eastAsia="宋体" w:cs="Times New Roman"/>
                <w:color w:val="000000" w:themeColor="text1"/>
                <w:sz w:val="24"/>
                <w:szCs w:val="32"/>
                <w:highlight w:val="none"/>
                <w14:textFill>
                  <w14:solidFill>
                    <w14:schemeClr w14:val="tx1"/>
                  </w14:solidFill>
                </w14:textFill>
              </w:rPr>
              <w:t>，所在区域属于环境空气质量</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不</w:t>
            </w:r>
            <w:r>
              <w:rPr>
                <w:rFonts w:hint="default" w:ascii="Times New Roman" w:hAnsi="Times New Roman" w:eastAsia="宋体" w:cs="Times New Roman"/>
                <w:color w:val="000000" w:themeColor="text1"/>
                <w:sz w:val="24"/>
                <w:szCs w:val="32"/>
                <w:highlight w:val="none"/>
                <w14:textFill>
                  <w14:solidFill>
                    <w14:schemeClr w14:val="tx1"/>
                  </w14:solidFill>
                </w14:textFill>
              </w:rPr>
              <w:t>达标区，</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随着</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《合川区大气环境质量限期达标规划》</w:t>
            </w:r>
            <w:r>
              <w:rPr>
                <w:rFonts w:hint="eastAsia"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2019年</w:t>
            </w:r>
            <w:r>
              <w:rPr>
                <w:rFonts w:hint="eastAsia"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中</w:t>
            </w:r>
            <w:r>
              <w:rPr>
                <w:rFonts w:hint="eastAsia"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五、主要任务与措施</w:t>
            </w:r>
            <w:r>
              <w:rPr>
                <w:rFonts w:hint="eastAsia"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中明确的减缓方案</w:t>
            </w:r>
            <w:r>
              <w:rPr>
                <w:rFonts w:hint="eastAsia" w:cs="Times New Roman"/>
                <w:color w:val="000000" w:themeColor="text1"/>
                <w:kern w:val="2"/>
                <w:sz w:val="24"/>
                <w:szCs w:val="24"/>
                <w:highlight w:val="none"/>
                <w:lang w:eastAsia="zh-CN"/>
                <w14:textFill>
                  <w14:solidFill>
                    <w14:schemeClr w14:val="tx1"/>
                  </w14:solidFill>
                </w14:textFill>
              </w:rPr>
              <w:t>的实施</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，区域环境空气中PM</w:t>
            </w:r>
            <w:r>
              <w:rPr>
                <w:rFonts w:hint="default" w:ascii="Times New Roman" w:hAnsi="Times New Roman" w:eastAsia="宋体" w:cs="Times New Roman"/>
                <w:color w:val="000000" w:themeColor="text1"/>
                <w:sz w:val="24"/>
                <w:szCs w:val="32"/>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超标的现状将得以改善，</w:t>
            </w:r>
            <w:r>
              <w:rPr>
                <w:rFonts w:hint="default" w:ascii="Times New Roman" w:hAnsi="Times New Roman" w:eastAsia="宋体" w:cs="Times New Roman"/>
                <w:color w:val="000000" w:themeColor="text1"/>
                <w:sz w:val="24"/>
                <w:szCs w:val="32"/>
                <w:highlight w:val="none"/>
                <w14:textFill>
                  <w14:solidFill>
                    <w14:schemeClr w14:val="tx1"/>
                  </w14:solidFill>
                </w14:textFill>
              </w:rPr>
              <w:t>项目建成后会对项目所在区域排放少量大气污染物，本项目废气采取措施后均能够达标排放，不会进一步影响大气环境空气质量。</w:t>
            </w:r>
          </w:p>
          <w:p w14:paraId="6CCB70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14:textFill>
                  <w14:solidFill>
                    <w14:schemeClr w14:val="tx1"/>
                  </w14:solidFill>
                </w14:textFill>
              </w:rPr>
              <w:t>项目</w:t>
            </w:r>
            <w:r>
              <w:rPr>
                <w:rFonts w:ascii="Times New Roman" w:hAnsi="Times New Roman" w:cs="Times New Roman"/>
                <w:color w:val="000000" w:themeColor="text1"/>
                <w:kern w:val="0"/>
                <w:szCs w:val="21"/>
                <w:highlight w:val="none"/>
                <w14:textFill>
                  <w14:solidFill>
                    <w14:schemeClr w14:val="tx1"/>
                  </w14:solidFill>
                </w14:textFill>
              </w:rPr>
              <w:t>不涉及自然保护区、森林公园、风景名胜区等</w:t>
            </w:r>
            <w:r>
              <w:rPr>
                <w:rFonts w:hint="default" w:ascii="Times New Roman" w:hAnsi="Times New Roman" w:eastAsia="宋体" w:cs="Times New Roman"/>
                <w:color w:val="000000" w:themeColor="text1"/>
                <w:sz w:val="24"/>
                <w:szCs w:val="32"/>
                <w:highlight w:val="none"/>
                <w14:textFill>
                  <w14:solidFill>
                    <w14:schemeClr w14:val="tx1"/>
                  </w14:solidFill>
                </w14:textFill>
              </w:rPr>
              <w:t>，</w:t>
            </w:r>
            <w:r>
              <w:rPr>
                <w:rFonts w:ascii="Times New Roman" w:hAnsi="Times New Roman" w:cs="Times New Roman"/>
                <w:color w:val="000000" w:themeColor="text1"/>
                <w:kern w:val="0"/>
                <w:szCs w:val="21"/>
                <w:highlight w:val="none"/>
                <w14:textFill>
                  <w14:solidFill>
                    <w14:schemeClr w14:val="tx1"/>
                  </w14:solidFill>
                </w14:textFill>
              </w:rPr>
              <w:t>项目厂界500m范围内保护目标主要为散居农户。</w:t>
            </w:r>
            <w:r>
              <w:rPr>
                <w:rFonts w:hint="default" w:ascii="Times New Roman" w:hAnsi="Times New Roman" w:eastAsia="宋体" w:cs="Times New Roman"/>
                <w:color w:val="000000" w:themeColor="text1"/>
                <w:sz w:val="24"/>
                <w:szCs w:val="32"/>
                <w:highlight w:val="none"/>
                <w14:textFill>
                  <w14:solidFill>
                    <w14:schemeClr w14:val="tx1"/>
                  </w14:solidFill>
                </w14:textFill>
              </w:rPr>
              <w:t>项目采取本次评价提出的废气污染治理措施后，污染物能够排放达标。由此本项目废气排放对周边环境影响较小。</w:t>
            </w:r>
          </w:p>
          <w:p w14:paraId="226CDDC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snapToGrid w:val="0"/>
                <w:color w:val="000000" w:themeColor="text1"/>
                <w:spacing w:val="0"/>
                <w:kern w:val="0"/>
                <w:sz w:val="24"/>
                <w:szCs w:val="24"/>
                <w:highlight w:val="none"/>
                <w14:textFill>
                  <w14:solidFill>
                    <w14:schemeClr w14:val="tx1"/>
                  </w14:solidFill>
                </w14:textFill>
              </w:rPr>
              <w:t>4.2.2运营期</w:t>
            </w: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地表水环境影响和保护措施</w:t>
            </w:r>
          </w:p>
          <w:p w14:paraId="53F55AA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eastAsia" w:cs="Times New Roman"/>
                <w:b/>
                <w:bCs/>
                <w:snapToGrid w:val="0"/>
                <w:color w:val="000000" w:themeColor="text1"/>
                <w:spacing w:val="0"/>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排水情况</w:t>
            </w:r>
          </w:p>
          <w:p w14:paraId="37E2A986">
            <w:pPr>
              <w:pStyle w:val="2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参考《屠宰与肉类加工废水治理工程技术规范》（HJ2004-2010）表 4 肉类加工废水水质设计取值</w:t>
            </w:r>
            <w:r>
              <w:rPr>
                <w:rFonts w:hint="default" w:ascii="Times New Roman" w:hAnsi="Times New Roman" w:eastAsia="宋体" w:cs="Times New Roman"/>
                <w:snapToGrid w:val="0"/>
                <w:color w:val="000000" w:themeColor="text1"/>
                <w:spacing w:val="0"/>
                <w:kern w:val="0"/>
                <w:sz w:val="24"/>
                <w:highlight w:val="none"/>
                <w:lang w:eastAsia="zh-CN"/>
                <w14:textFill>
                  <w14:solidFill>
                    <w14:schemeClr w14:val="tx1"/>
                  </w14:solidFill>
                </w14:textFill>
              </w:rPr>
              <w:t>及同类型行业产物系数，按照排污系数法确定本项目废水源强如下表。</w:t>
            </w:r>
          </w:p>
          <w:p w14:paraId="5DC3D6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4.2-</w:t>
            </w:r>
            <w:r>
              <w:rPr>
                <w:rFonts w:hint="eastAsia"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本项目废水污染物产排情况表</w:t>
            </w:r>
          </w:p>
          <w:tbl>
            <w:tblPr>
              <w:tblStyle w:val="28"/>
              <w:tblW w:w="49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40"/>
              <w:gridCol w:w="1350"/>
              <w:gridCol w:w="1159"/>
              <w:gridCol w:w="1075"/>
              <w:gridCol w:w="1013"/>
              <w:gridCol w:w="1012"/>
              <w:gridCol w:w="1000"/>
              <w:gridCol w:w="944"/>
            </w:tblGrid>
            <w:tr w14:paraId="4218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rPr>
              <w:tc>
                <w:tcPr>
                  <w:tcW w:w="891" w:type="pct"/>
                  <w:vMerge w:val="restart"/>
                  <w:noWrap w:val="0"/>
                  <w:vAlign w:val="center"/>
                </w:tcPr>
                <w:p w14:paraId="5B36F7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废水量</w:t>
                  </w:r>
                </w:p>
              </w:tc>
              <w:tc>
                <w:tcPr>
                  <w:tcW w:w="734" w:type="pct"/>
                  <w:vMerge w:val="restart"/>
                  <w:noWrap w:val="0"/>
                  <w:vAlign w:val="center"/>
                </w:tcPr>
                <w:p w14:paraId="013740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污染物名称</w:t>
                  </w:r>
                </w:p>
              </w:tc>
              <w:tc>
                <w:tcPr>
                  <w:tcW w:w="1215" w:type="pct"/>
                  <w:gridSpan w:val="2"/>
                  <w:noWrap w:val="0"/>
                  <w:vAlign w:val="center"/>
                </w:tcPr>
                <w:p w14:paraId="5CF568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产生情况</w:t>
                  </w:r>
                </w:p>
              </w:tc>
              <w:tc>
                <w:tcPr>
                  <w:tcW w:w="1101" w:type="pct"/>
                  <w:gridSpan w:val="2"/>
                  <w:noWrap w:val="0"/>
                  <w:vAlign w:val="center"/>
                </w:tcPr>
                <w:p w14:paraId="4EB1D4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污水处理设施处理后</w:t>
                  </w:r>
                </w:p>
              </w:tc>
              <w:tc>
                <w:tcPr>
                  <w:tcW w:w="1057" w:type="pct"/>
                  <w:gridSpan w:val="2"/>
                  <w:noWrap w:val="0"/>
                  <w:vAlign w:val="center"/>
                </w:tcPr>
                <w:p w14:paraId="1B9AC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污水处理厂处理后</w:t>
                  </w:r>
                </w:p>
              </w:tc>
            </w:tr>
            <w:tr w14:paraId="7092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891" w:type="pct"/>
                  <w:vMerge w:val="continue"/>
                  <w:noWrap w:val="0"/>
                  <w:vAlign w:val="center"/>
                </w:tcPr>
                <w:p w14:paraId="63F1F8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734" w:type="pct"/>
                  <w:vMerge w:val="continue"/>
                  <w:noWrap w:val="0"/>
                  <w:vAlign w:val="center"/>
                </w:tcPr>
                <w:p w14:paraId="3F851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630" w:type="pct"/>
                  <w:noWrap w:val="0"/>
                  <w:vAlign w:val="center"/>
                </w:tcPr>
                <w:p w14:paraId="0194A4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浓度mg/L</w:t>
                  </w:r>
                </w:p>
              </w:tc>
              <w:tc>
                <w:tcPr>
                  <w:tcW w:w="584" w:type="pct"/>
                  <w:noWrap w:val="0"/>
                  <w:vAlign w:val="center"/>
                </w:tcPr>
                <w:p w14:paraId="7BB9DB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产生量t/a</w:t>
                  </w:r>
                </w:p>
              </w:tc>
              <w:tc>
                <w:tcPr>
                  <w:tcW w:w="550" w:type="pct"/>
                  <w:noWrap w:val="0"/>
                  <w:vAlign w:val="center"/>
                </w:tcPr>
                <w:p w14:paraId="1F8DB7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浓度mg/L</w:t>
                  </w:r>
                </w:p>
              </w:tc>
              <w:tc>
                <w:tcPr>
                  <w:tcW w:w="550" w:type="pct"/>
                  <w:noWrap w:val="0"/>
                  <w:vAlign w:val="center"/>
                </w:tcPr>
                <w:p w14:paraId="6C98C2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排放</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量t/a</w:t>
                  </w:r>
                </w:p>
              </w:tc>
              <w:tc>
                <w:tcPr>
                  <w:tcW w:w="543" w:type="pct"/>
                  <w:noWrap w:val="0"/>
                  <w:vAlign w:val="center"/>
                </w:tcPr>
                <w:p w14:paraId="748297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浓度mg/L</w:t>
                  </w:r>
                </w:p>
              </w:tc>
              <w:tc>
                <w:tcPr>
                  <w:tcW w:w="513" w:type="pct"/>
                  <w:noWrap w:val="0"/>
                  <w:vAlign w:val="center"/>
                </w:tcPr>
                <w:p w14:paraId="6520E0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排放量t/a</w:t>
                  </w:r>
                </w:p>
              </w:tc>
            </w:tr>
            <w:tr w14:paraId="7C84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restart"/>
                  <w:noWrap w:val="0"/>
                  <w:vAlign w:val="center"/>
                </w:tcPr>
                <w:p w14:paraId="0BC99D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解冻</w:t>
                  </w:r>
                  <w:r>
                    <w:rPr>
                      <w:rFonts w:hint="default" w:ascii="Times New Roman" w:hAnsi="Times New Roman" w:cs="Times New Roman"/>
                      <w:color w:val="000000" w:themeColor="text1"/>
                      <w:sz w:val="21"/>
                      <w:szCs w:val="21"/>
                      <w:highlight w:val="none"/>
                      <w:lang w:eastAsia="zh-CN"/>
                      <w14:textFill>
                        <w14:solidFill>
                          <w14:schemeClr w14:val="tx1"/>
                        </w14:solidFill>
                      </w14:textFill>
                    </w:rPr>
                    <w:t>清洗、</w:t>
                  </w:r>
                  <w:r>
                    <w:rPr>
                      <w:rFonts w:hint="default" w:ascii="Times New Roman" w:hAnsi="Times New Roman" w:eastAsia="宋体" w:cs="Times New Roman"/>
                      <w:color w:val="000000" w:themeColor="text1"/>
                      <w:sz w:val="21"/>
                      <w:szCs w:val="21"/>
                      <w:highlight w:val="none"/>
                      <w14:textFill>
                        <w14:solidFill>
                          <w14:schemeClr w14:val="tx1"/>
                        </w14:solidFill>
                      </w14:textFill>
                    </w:rPr>
                    <w:t>煮制</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冷却</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涨</w:t>
                  </w:r>
                  <w:r>
                    <w:rPr>
                      <w:rFonts w:hint="default" w:ascii="Times New Roman" w:hAnsi="Times New Roman" w:eastAsia="宋体" w:cs="Times New Roman"/>
                      <w:color w:val="000000" w:themeColor="text1"/>
                      <w:sz w:val="21"/>
                      <w:szCs w:val="21"/>
                      <w:highlight w:val="none"/>
                      <w14:textFill>
                        <w14:solidFill>
                          <w14:schemeClr w14:val="tx1"/>
                        </w14:solidFill>
                      </w14:textFill>
                    </w:rPr>
                    <w:t>发</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漂洗</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废水（</w:t>
                  </w:r>
                  <w:r>
                    <w:rPr>
                      <w:rFonts w:hint="eastAsia" w:cs="Times New Roman"/>
                      <w:bCs/>
                      <w:color w:val="000000" w:themeColor="text1"/>
                      <w:sz w:val="21"/>
                      <w:szCs w:val="21"/>
                      <w:highlight w:val="none"/>
                      <w:lang w:val="en-US" w:eastAsia="zh-CN"/>
                      <w14:textFill>
                        <w14:solidFill>
                          <w14:schemeClr w14:val="tx1"/>
                        </w14:solidFill>
                      </w14:textFill>
                    </w:rPr>
                    <w:t>43856.69</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shd w:val="clear" w:color="auto" w:fill="auto"/>
                  <w:noWrap w:val="0"/>
                  <w:vAlign w:val="center"/>
                </w:tcPr>
                <w:p w14:paraId="6A476E4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630" w:type="pct"/>
                  <w:shd w:val="clear" w:color="auto" w:fill="auto"/>
                  <w:noWrap w:val="0"/>
                  <w:vAlign w:val="center"/>
                </w:tcPr>
                <w:p w14:paraId="7074F6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w:t>
                  </w:r>
                </w:p>
              </w:tc>
              <w:tc>
                <w:tcPr>
                  <w:tcW w:w="1075" w:type="dxa"/>
                  <w:shd w:val="clear" w:color="auto" w:fill="auto"/>
                  <w:noWrap w:val="0"/>
                  <w:vAlign w:val="center"/>
                </w:tcPr>
                <w:p w14:paraId="2FC777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87.71 </w:t>
                  </w:r>
                </w:p>
              </w:tc>
              <w:tc>
                <w:tcPr>
                  <w:tcW w:w="550" w:type="pct"/>
                  <w:noWrap w:val="0"/>
                  <w:vAlign w:val="center"/>
                </w:tcPr>
                <w:p w14:paraId="6146B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3927B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restart"/>
                  <w:noWrap w:val="0"/>
                  <w:vAlign w:val="center"/>
                </w:tcPr>
                <w:p w14:paraId="5A736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13" w:type="pct"/>
                  <w:vMerge w:val="restart"/>
                  <w:noWrap w:val="0"/>
                  <w:vAlign w:val="center"/>
                </w:tcPr>
                <w:p w14:paraId="5E685D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5A30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DE56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2FD44A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Style w:val="8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w:t>
                  </w:r>
                </w:p>
              </w:tc>
              <w:tc>
                <w:tcPr>
                  <w:tcW w:w="630" w:type="pct"/>
                  <w:shd w:val="clear" w:color="auto" w:fill="auto"/>
                  <w:noWrap w:val="0"/>
                  <w:vAlign w:val="center"/>
                </w:tcPr>
                <w:p w14:paraId="05AFBC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1075" w:type="dxa"/>
                  <w:shd w:val="clear" w:color="auto" w:fill="auto"/>
                  <w:noWrap w:val="0"/>
                  <w:vAlign w:val="center"/>
                </w:tcPr>
                <w:p w14:paraId="4F1652F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43.86 </w:t>
                  </w:r>
                </w:p>
              </w:tc>
              <w:tc>
                <w:tcPr>
                  <w:tcW w:w="550" w:type="pct"/>
                  <w:noWrap w:val="0"/>
                  <w:vAlign w:val="center"/>
                </w:tcPr>
                <w:p w14:paraId="6E54C7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6A3BEC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7E6CC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7E26BD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82A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546FF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7C070FB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630" w:type="pct"/>
                  <w:shd w:val="clear" w:color="auto" w:fill="auto"/>
                  <w:noWrap w:val="0"/>
                  <w:vAlign w:val="center"/>
                </w:tcPr>
                <w:p w14:paraId="1A11A8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600</w:t>
                  </w:r>
                </w:p>
              </w:tc>
              <w:tc>
                <w:tcPr>
                  <w:tcW w:w="1075" w:type="dxa"/>
                  <w:shd w:val="clear" w:color="auto" w:fill="auto"/>
                  <w:noWrap w:val="0"/>
                  <w:vAlign w:val="center"/>
                </w:tcPr>
                <w:p w14:paraId="7A5EBA4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26.31 </w:t>
                  </w:r>
                </w:p>
              </w:tc>
              <w:tc>
                <w:tcPr>
                  <w:tcW w:w="550" w:type="pct"/>
                  <w:noWrap w:val="0"/>
                  <w:vAlign w:val="center"/>
                </w:tcPr>
                <w:p w14:paraId="791B1F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189D08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11C673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62474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5500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5B14E1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26DE612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NH</w:t>
                  </w:r>
                  <w:r>
                    <w:rPr>
                      <w:rStyle w:val="8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w:t>
                  </w:r>
                </w:p>
              </w:tc>
              <w:tc>
                <w:tcPr>
                  <w:tcW w:w="630" w:type="pct"/>
                  <w:shd w:val="clear" w:color="auto" w:fill="auto"/>
                  <w:noWrap w:val="0"/>
                  <w:vAlign w:val="center"/>
                </w:tcPr>
                <w:p w14:paraId="29CFAA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1075" w:type="dxa"/>
                  <w:shd w:val="clear" w:color="auto" w:fill="auto"/>
                  <w:noWrap w:val="0"/>
                  <w:vAlign w:val="center"/>
                </w:tcPr>
                <w:p w14:paraId="462830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2.63 </w:t>
                  </w:r>
                </w:p>
              </w:tc>
              <w:tc>
                <w:tcPr>
                  <w:tcW w:w="550" w:type="pct"/>
                  <w:noWrap w:val="0"/>
                  <w:vAlign w:val="center"/>
                </w:tcPr>
                <w:p w14:paraId="37595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4F1AF0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0D1339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4EE36C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034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4C45EF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1984FC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动植物油</w:t>
                  </w:r>
                </w:p>
              </w:tc>
              <w:tc>
                <w:tcPr>
                  <w:tcW w:w="630" w:type="pct"/>
                  <w:shd w:val="clear" w:color="auto" w:fill="auto"/>
                  <w:noWrap w:val="0"/>
                  <w:vAlign w:val="center"/>
                </w:tcPr>
                <w:p w14:paraId="73C1C2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1075" w:type="dxa"/>
                  <w:shd w:val="clear" w:color="auto" w:fill="auto"/>
                  <w:noWrap w:val="0"/>
                  <w:vAlign w:val="center"/>
                </w:tcPr>
                <w:p w14:paraId="33F6E4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8.77 </w:t>
                  </w:r>
                </w:p>
              </w:tc>
              <w:tc>
                <w:tcPr>
                  <w:tcW w:w="550" w:type="pct"/>
                  <w:noWrap w:val="0"/>
                  <w:vAlign w:val="center"/>
                </w:tcPr>
                <w:p w14:paraId="47E0D0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2DAF6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2B6598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1D96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542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91" w:type="pct"/>
                  <w:vMerge w:val="continue"/>
                  <w:noWrap w:val="0"/>
                  <w:vAlign w:val="center"/>
                </w:tcPr>
                <w:p w14:paraId="4BB5B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61B466B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TP</w:t>
                  </w:r>
                </w:p>
              </w:tc>
              <w:tc>
                <w:tcPr>
                  <w:tcW w:w="630" w:type="pct"/>
                  <w:shd w:val="clear" w:color="auto" w:fill="auto"/>
                  <w:noWrap w:val="0"/>
                  <w:vAlign w:val="center"/>
                </w:tcPr>
                <w:p w14:paraId="49AC222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075" w:type="dxa"/>
                  <w:shd w:val="clear" w:color="auto" w:fill="auto"/>
                  <w:noWrap w:val="0"/>
                  <w:vAlign w:val="center"/>
                </w:tcPr>
                <w:p w14:paraId="1B92BC0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0.44 </w:t>
                  </w:r>
                </w:p>
              </w:tc>
              <w:tc>
                <w:tcPr>
                  <w:tcW w:w="550" w:type="pct"/>
                  <w:noWrap w:val="0"/>
                  <w:vAlign w:val="center"/>
                </w:tcPr>
                <w:p w14:paraId="728C03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6AF197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51B3B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1D625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EF6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91" w:type="pct"/>
                  <w:vMerge w:val="continue"/>
                  <w:noWrap w:val="0"/>
                  <w:vAlign w:val="center"/>
                </w:tcPr>
                <w:p w14:paraId="4EFCC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74604A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TN</w:t>
                  </w:r>
                </w:p>
              </w:tc>
              <w:tc>
                <w:tcPr>
                  <w:tcW w:w="630" w:type="pct"/>
                  <w:shd w:val="clear" w:color="auto" w:fill="auto"/>
                  <w:noWrap w:val="0"/>
                  <w:vAlign w:val="center"/>
                </w:tcPr>
                <w:p w14:paraId="3A3490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1075" w:type="dxa"/>
                  <w:shd w:val="clear" w:color="auto" w:fill="auto"/>
                  <w:noWrap w:val="0"/>
                  <w:vAlign w:val="center"/>
                </w:tcPr>
                <w:p w14:paraId="08D90F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4.39 </w:t>
                  </w:r>
                </w:p>
              </w:tc>
              <w:tc>
                <w:tcPr>
                  <w:tcW w:w="550" w:type="pct"/>
                  <w:noWrap w:val="0"/>
                  <w:vAlign w:val="center"/>
                </w:tcPr>
                <w:p w14:paraId="09369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64B065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466EB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106A5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ACC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91" w:type="pct"/>
                  <w:vMerge w:val="restart"/>
                  <w:noWrap w:val="0"/>
                  <w:vAlign w:val="center"/>
                </w:tcPr>
                <w:p w14:paraId="4C6BAC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锅炉</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废水（</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354.96</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shd w:val="clear" w:color="auto" w:fill="auto"/>
                  <w:noWrap w:val="0"/>
                  <w:vAlign w:val="center"/>
                </w:tcPr>
                <w:p w14:paraId="0D094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COD</w:t>
                  </w:r>
                </w:p>
              </w:tc>
              <w:tc>
                <w:tcPr>
                  <w:tcW w:w="630" w:type="pct"/>
                  <w:shd w:val="clear" w:color="auto" w:fill="auto"/>
                  <w:noWrap w:val="0"/>
                  <w:vAlign w:val="center"/>
                </w:tcPr>
                <w:p w14:paraId="1449FC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50</w:t>
                  </w:r>
                </w:p>
              </w:tc>
              <w:tc>
                <w:tcPr>
                  <w:tcW w:w="584" w:type="pct"/>
                  <w:shd w:val="clear" w:color="auto" w:fill="auto"/>
                  <w:noWrap w:val="0"/>
                  <w:vAlign w:val="center"/>
                </w:tcPr>
                <w:p w14:paraId="3A188B9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0.02 </w:t>
                  </w:r>
                </w:p>
              </w:tc>
              <w:tc>
                <w:tcPr>
                  <w:tcW w:w="550" w:type="pct"/>
                  <w:noWrap w:val="0"/>
                  <w:vAlign w:val="center"/>
                </w:tcPr>
                <w:p w14:paraId="0858C8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133A9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49E407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73D729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18F2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91" w:type="pct"/>
                  <w:vMerge w:val="continue"/>
                  <w:noWrap w:val="0"/>
                  <w:vAlign w:val="center"/>
                </w:tcPr>
                <w:p w14:paraId="5E1AA5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19EAC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SS</w:t>
                  </w:r>
                </w:p>
              </w:tc>
              <w:tc>
                <w:tcPr>
                  <w:tcW w:w="630" w:type="pct"/>
                  <w:shd w:val="clear" w:color="auto" w:fill="auto"/>
                  <w:noWrap w:val="0"/>
                  <w:vAlign w:val="center"/>
                </w:tcPr>
                <w:p w14:paraId="2122BE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584" w:type="pct"/>
                  <w:shd w:val="clear" w:color="auto" w:fill="auto"/>
                  <w:noWrap w:val="0"/>
                  <w:vAlign w:val="center"/>
                </w:tcPr>
                <w:p w14:paraId="2FE9A2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0.07 </w:t>
                  </w:r>
                </w:p>
              </w:tc>
              <w:tc>
                <w:tcPr>
                  <w:tcW w:w="550" w:type="pct"/>
                  <w:noWrap w:val="0"/>
                  <w:vAlign w:val="center"/>
                </w:tcPr>
                <w:p w14:paraId="4FE917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7BC81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6A93E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505F6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27A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1" w:type="pct"/>
                  <w:vMerge w:val="restart"/>
                  <w:noWrap w:val="0"/>
                  <w:vAlign w:val="center"/>
                </w:tcPr>
                <w:p w14:paraId="6FA556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eastAsia="zh-CN"/>
                      <w14:textFill>
                        <w14:solidFill>
                          <w14:schemeClr w14:val="tx1"/>
                        </w14:solidFill>
                      </w14:textFill>
                    </w:rPr>
                    <w:t>净水器废水</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942.6</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shd w:val="clear" w:color="auto" w:fill="auto"/>
                  <w:noWrap w:val="0"/>
                  <w:vAlign w:val="center"/>
                </w:tcPr>
                <w:p w14:paraId="0A88BB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630" w:type="pct"/>
                  <w:shd w:val="clear" w:color="auto" w:fill="auto"/>
                  <w:noWrap w:val="0"/>
                  <w:vAlign w:val="center"/>
                </w:tcPr>
                <w:p w14:paraId="207C7E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50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84" w:type="pct"/>
                  <w:shd w:val="clear" w:color="auto" w:fill="auto"/>
                  <w:noWrap w:val="0"/>
                  <w:vAlign w:val="center"/>
                </w:tcPr>
                <w:p w14:paraId="3CACDC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0.47 </w:t>
                  </w:r>
                </w:p>
              </w:tc>
              <w:tc>
                <w:tcPr>
                  <w:tcW w:w="550" w:type="pct"/>
                  <w:noWrap w:val="0"/>
                  <w:vAlign w:val="center"/>
                </w:tcPr>
                <w:p w14:paraId="6BFDA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4D16FF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15EDA9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5ABC01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01E1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23267F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5B80DD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Style w:val="8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w:t>
                  </w:r>
                </w:p>
              </w:tc>
              <w:tc>
                <w:tcPr>
                  <w:tcW w:w="630" w:type="pct"/>
                  <w:shd w:val="clear" w:color="auto" w:fill="auto"/>
                  <w:noWrap w:val="0"/>
                  <w:vAlign w:val="center"/>
                </w:tcPr>
                <w:p w14:paraId="7C96FB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84" w:type="pct"/>
                  <w:shd w:val="clear" w:color="auto" w:fill="auto"/>
                  <w:noWrap w:val="0"/>
                  <w:vAlign w:val="center"/>
                </w:tcPr>
                <w:p w14:paraId="740287F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0.28 </w:t>
                  </w:r>
                </w:p>
              </w:tc>
              <w:tc>
                <w:tcPr>
                  <w:tcW w:w="550" w:type="pct"/>
                  <w:noWrap w:val="0"/>
                  <w:vAlign w:val="center"/>
                </w:tcPr>
                <w:p w14:paraId="2F039D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53C193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073007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495E3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39EF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1AB4F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1DE8582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630" w:type="pct"/>
                  <w:shd w:val="clear" w:color="auto" w:fill="auto"/>
                  <w:noWrap w:val="0"/>
                  <w:vAlign w:val="center"/>
                </w:tcPr>
                <w:p w14:paraId="7127469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84" w:type="pct"/>
                  <w:shd w:val="clear" w:color="auto" w:fill="auto"/>
                  <w:noWrap w:val="0"/>
                  <w:vAlign w:val="center"/>
                </w:tcPr>
                <w:p w14:paraId="0D0D20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0.19 </w:t>
                  </w:r>
                </w:p>
              </w:tc>
              <w:tc>
                <w:tcPr>
                  <w:tcW w:w="550" w:type="pct"/>
                  <w:noWrap w:val="0"/>
                  <w:vAlign w:val="center"/>
                </w:tcPr>
                <w:p w14:paraId="2E3002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4C30D4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1E70C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72DA9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DAB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0D2A4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08C2A45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NH</w:t>
                  </w:r>
                  <w:r>
                    <w:rPr>
                      <w:rStyle w:val="8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w:t>
                  </w:r>
                  <w:r>
                    <w:rPr>
                      <w:rStyle w:val="8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-N</w:t>
                  </w:r>
                </w:p>
              </w:tc>
              <w:tc>
                <w:tcPr>
                  <w:tcW w:w="630" w:type="pct"/>
                  <w:shd w:val="clear" w:color="auto" w:fill="auto"/>
                  <w:noWrap w:val="0"/>
                  <w:vAlign w:val="center"/>
                </w:tcPr>
                <w:p w14:paraId="63D54B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584" w:type="pct"/>
                  <w:shd w:val="clear" w:color="auto" w:fill="auto"/>
                  <w:noWrap w:val="0"/>
                  <w:vAlign w:val="center"/>
                </w:tcPr>
                <w:p w14:paraId="73D5877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0.06 </w:t>
                  </w:r>
                </w:p>
              </w:tc>
              <w:tc>
                <w:tcPr>
                  <w:tcW w:w="550" w:type="pct"/>
                  <w:noWrap w:val="0"/>
                  <w:vAlign w:val="center"/>
                </w:tcPr>
                <w:p w14:paraId="3AF42D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0EFBEA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1253B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6C64E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58BE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restart"/>
                  <w:noWrap w:val="0"/>
                  <w:vAlign w:val="center"/>
                </w:tcPr>
                <w:p w14:paraId="6AF36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eastAsia="zh-CN"/>
                      <w14:textFill>
                        <w14:solidFill>
                          <w14:schemeClr w14:val="tx1"/>
                        </w14:solidFill>
                      </w14:textFill>
                    </w:rPr>
                    <w:t>空压机</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废水（</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shd w:val="clear" w:color="auto" w:fill="auto"/>
                  <w:noWrap w:val="0"/>
                  <w:vAlign w:val="center"/>
                </w:tcPr>
                <w:p w14:paraId="3A65A7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630" w:type="pct"/>
                  <w:shd w:val="clear" w:color="auto" w:fill="auto"/>
                  <w:noWrap w:val="0"/>
                  <w:vAlign w:val="center"/>
                </w:tcPr>
                <w:p w14:paraId="58AB7C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584" w:type="pct"/>
                  <w:shd w:val="clear" w:color="auto" w:fill="auto"/>
                  <w:noWrap w:val="0"/>
                  <w:vAlign w:val="center"/>
                </w:tcPr>
                <w:p w14:paraId="43697A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0.0003 </w:t>
                  </w:r>
                </w:p>
              </w:tc>
              <w:tc>
                <w:tcPr>
                  <w:tcW w:w="550" w:type="pct"/>
                  <w:noWrap w:val="0"/>
                  <w:vAlign w:val="center"/>
                </w:tcPr>
                <w:p w14:paraId="507022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530109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2B3B3B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77D17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6880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0732C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065213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Style w:val="8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w:t>
                  </w:r>
                </w:p>
              </w:tc>
              <w:tc>
                <w:tcPr>
                  <w:tcW w:w="630" w:type="pct"/>
                  <w:shd w:val="clear" w:color="auto" w:fill="auto"/>
                  <w:noWrap w:val="0"/>
                  <w:vAlign w:val="center"/>
                </w:tcPr>
                <w:p w14:paraId="6318F1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584" w:type="pct"/>
                  <w:shd w:val="clear" w:color="auto" w:fill="auto"/>
                  <w:noWrap w:val="0"/>
                  <w:vAlign w:val="center"/>
                </w:tcPr>
                <w:p w14:paraId="326C955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0.0002 </w:t>
                  </w:r>
                </w:p>
              </w:tc>
              <w:tc>
                <w:tcPr>
                  <w:tcW w:w="550" w:type="pct"/>
                  <w:noWrap w:val="0"/>
                  <w:vAlign w:val="center"/>
                </w:tcPr>
                <w:p w14:paraId="59EB38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5634BF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5DB7A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1D2E6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E00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06A0E0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64B52E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630" w:type="pct"/>
                  <w:shd w:val="clear" w:color="auto" w:fill="auto"/>
                  <w:noWrap w:val="0"/>
                  <w:vAlign w:val="center"/>
                </w:tcPr>
                <w:p w14:paraId="7DEEB81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584" w:type="pct"/>
                  <w:shd w:val="clear" w:color="auto" w:fill="auto"/>
                  <w:noWrap w:val="0"/>
                  <w:vAlign w:val="center"/>
                </w:tcPr>
                <w:p w14:paraId="391471A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0.0003 </w:t>
                  </w:r>
                </w:p>
              </w:tc>
              <w:tc>
                <w:tcPr>
                  <w:tcW w:w="550" w:type="pct"/>
                  <w:noWrap w:val="0"/>
                  <w:vAlign w:val="center"/>
                </w:tcPr>
                <w:p w14:paraId="6B396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4F23A7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0480D2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AF01E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7BB8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restart"/>
                  <w:noWrap w:val="0"/>
                  <w:vAlign w:val="center"/>
                </w:tcPr>
                <w:p w14:paraId="31CF0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地面清洁</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废水</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4320</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shd w:val="clear" w:color="auto" w:fill="auto"/>
                  <w:noWrap w:val="0"/>
                  <w:vAlign w:val="center"/>
                </w:tcPr>
                <w:p w14:paraId="3C8B221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630" w:type="pct"/>
                  <w:shd w:val="clear" w:color="auto" w:fill="auto"/>
                  <w:noWrap w:val="0"/>
                  <w:vAlign w:val="center"/>
                </w:tcPr>
                <w:p w14:paraId="63BE5C0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584" w:type="pct"/>
                  <w:shd w:val="clear" w:color="auto" w:fill="auto"/>
                  <w:noWrap w:val="0"/>
                  <w:vAlign w:val="center"/>
                </w:tcPr>
                <w:p w14:paraId="3F53898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2.16 </w:t>
                  </w:r>
                </w:p>
              </w:tc>
              <w:tc>
                <w:tcPr>
                  <w:tcW w:w="550" w:type="pct"/>
                  <w:noWrap w:val="0"/>
                  <w:vAlign w:val="center"/>
                </w:tcPr>
                <w:p w14:paraId="23AB7C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430A9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2961AD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42131A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1495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31919D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4320A2D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630" w:type="pct"/>
                  <w:shd w:val="clear" w:color="auto" w:fill="auto"/>
                  <w:noWrap w:val="0"/>
                  <w:vAlign w:val="center"/>
                </w:tcPr>
                <w:p w14:paraId="7EA0AB2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584" w:type="pct"/>
                  <w:shd w:val="clear" w:color="auto" w:fill="auto"/>
                  <w:noWrap w:val="0"/>
                  <w:vAlign w:val="center"/>
                </w:tcPr>
                <w:p w14:paraId="78ABD4E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1.30 </w:t>
                  </w:r>
                </w:p>
              </w:tc>
              <w:tc>
                <w:tcPr>
                  <w:tcW w:w="550" w:type="pct"/>
                  <w:noWrap w:val="0"/>
                  <w:vAlign w:val="center"/>
                </w:tcPr>
                <w:p w14:paraId="0E8B08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748C97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166DD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79A79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1FB8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3C5C3F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58A5BD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630" w:type="pct"/>
                  <w:shd w:val="clear" w:color="auto" w:fill="auto"/>
                  <w:noWrap w:val="0"/>
                  <w:vAlign w:val="center"/>
                </w:tcPr>
                <w:p w14:paraId="6FE231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584" w:type="pct"/>
                  <w:shd w:val="clear" w:color="auto" w:fill="auto"/>
                  <w:noWrap w:val="0"/>
                  <w:vAlign w:val="center"/>
                </w:tcPr>
                <w:p w14:paraId="1C89489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0.86 </w:t>
                  </w:r>
                </w:p>
              </w:tc>
              <w:tc>
                <w:tcPr>
                  <w:tcW w:w="550" w:type="pct"/>
                  <w:noWrap w:val="0"/>
                  <w:vAlign w:val="center"/>
                </w:tcPr>
                <w:p w14:paraId="48DBDC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236510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1E057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4B020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6724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0CC59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2D5B64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w:t>
                  </w:r>
                </w:p>
              </w:tc>
              <w:tc>
                <w:tcPr>
                  <w:tcW w:w="630" w:type="pct"/>
                  <w:shd w:val="clear" w:color="auto" w:fill="auto"/>
                  <w:noWrap w:val="0"/>
                  <w:vAlign w:val="center"/>
                </w:tcPr>
                <w:p w14:paraId="1117DFE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584" w:type="pct"/>
                  <w:shd w:val="clear" w:color="auto" w:fill="auto"/>
                  <w:noWrap w:val="0"/>
                  <w:vAlign w:val="center"/>
                </w:tcPr>
                <w:p w14:paraId="2C4668F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0.22 </w:t>
                  </w:r>
                </w:p>
              </w:tc>
              <w:tc>
                <w:tcPr>
                  <w:tcW w:w="550" w:type="pct"/>
                  <w:noWrap w:val="0"/>
                  <w:vAlign w:val="center"/>
                </w:tcPr>
                <w:p w14:paraId="2AA134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36366B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39548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109804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588A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723F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087ECF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动植物油</w:t>
                  </w:r>
                </w:p>
              </w:tc>
              <w:tc>
                <w:tcPr>
                  <w:tcW w:w="630" w:type="pct"/>
                  <w:shd w:val="clear" w:color="auto" w:fill="auto"/>
                  <w:noWrap w:val="0"/>
                  <w:vAlign w:val="center"/>
                </w:tcPr>
                <w:p w14:paraId="15EFD3A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584" w:type="pct"/>
                  <w:shd w:val="clear" w:color="auto" w:fill="auto"/>
                  <w:noWrap w:val="0"/>
                  <w:vAlign w:val="center"/>
                </w:tcPr>
                <w:p w14:paraId="4E1AF3C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0.17 </w:t>
                  </w:r>
                </w:p>
              </w:tc>
              <w:tc>
                <w:tcPr>
                  <w:tcW w:w="550" w:type="pct"/>
                  <w:noWrap w:val="0"/>
                  <w:vAlign w:val="center"/>
                </w:tcPr>
                <w:p w14:paraId="5B9E3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3BFD9F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632A1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44995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9E5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426EAC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146DD07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630" w:type="pct"/>
                  <w:shd w:val="clear" w:color="auto" w:fill="auto"/>
                  <w:noWrap w:val="0"/>
                  <w:vAlign w:val="center"/>
                </w:tcPr>
                <w:p w14:paraId="6C9B5C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584" w:type="pct"/>
                  <w:shd w:val="clear" w:color="auto" w:fill="auto"/>
                  <w:noWrap w:val="0"/>
                  <w:vAlign w:val="center"/>
                </w:tcPr>
                <w:p w14:paraId="485D4CA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0.22 </w:t>
                  </w:r>
                </w:p>
              </w:tc>
              <w:tc>
                <w:tcPr>
                  <w:tcW w:w="550" w:type="pct"/>
                  <w:noWrap w:val="0"/>
                  <w:vAlign w:val="center"/>
                </w:tcPr>
                <w:p w14:paraId="6D14C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1166C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262293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61C0A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0F37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restart"/>
                  <w:noWrap w:val="0"/>
                  <w:vAlign w:val="center"/>
                </w:tcPr>
                <w:p w14:paraId="5AE99E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lang w:eastAsia="zh-CN"/>
                      <w14:textFill>
                        <w14:solidFill>
                          <w14:schemeClr w14:val="tx1"/>
                        </w14:solidFill>
                      </w14:textFill>
                    </w:rPr>
                    <w:t>研发</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废水（</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51</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shd w:val="clear" w:color="auto" w:fill="auto"/>
                  <w:noWrap w:val="0"/>
                  <w:vAlign w:val="center"/>
                </w:tcPr>
                <w:p w14:paraId="54C68D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COD</w:t>
                  </w:r>
                </w:p>
              </w:tc>
              <w:tc>
                <w:tcPr>
                  <w:tcW w:w="630" w:type="pct"/>
                  <w:shd w:val="clear" w:color="auto" w:fill="auto"/>
                  <w:noWrap w:val="0"/>
                  <w:vAlign w:val="center"/>
                </w:tcPr>
                <w:p w14:paraId="17138A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w:t>
                  </w:r>
                </w:p>
              </w:tc>
              <w:tc>
                <w:tcPr>
                  <w:tcW w:w="584" w:type="pct"/>
                  <w:shd w:val="clear" w:color="auto" w:fill="auto"/>
                  <w:noWrap w:val="0"/>
                  <w:vAlign w:val="center"/>
                </w:tcPr>
                <w:p w14:paraId="3580BC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0.10 </w:t>
                  </w:r>
                </w:p>
              </w:tc>
              <w:tc>
                <w:tcPr>
                  <w:tcW w:w="550" w:type="pct"/>
                  <w:noWrap w:val="0"/>
                  <w:vAlign w:val="center"/>
                </w:tcPr>
                <w:p w14:paraId="49257D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6C627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7B26AA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D5DE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555E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4EB41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544A42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BOD</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5</w:t>
                  </w:r>
                </w:p>
              </w:tc>
              <w:tc>
                <w:tcPr>
                  <w:tcW w:w="630" w:type="pct"/>
                  <w:shd w:val="clear" w:color="auto" w:fill="auto"/>
                  <w:noWrap w:val="0"/>
                  <w:vAlign w:val="center"/>
                </w:tcPr>
                <w:p w14:paraId="0FDE48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584" w:type="pct"/>
                  <w:shd w:val="clear" w:color="auto" w:fill="auto"/>
                  <w:noWrap w:val="0"/>
                  <w:vAlign w:val="center"/>
                </w:tcPr>
                <w:p w14:paraId="44EE59B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0.051</w:t>
                  </w:r>
                </w:p>
              </w:tc>
              <w:tc>
                <w:tcPr>
                  <w:tcW w:w="550" w:type="pct"/>
                  <w:noWrap w:val="0"/>
                  <w:vAlign w:val="center"/>
                </w:tcPr>
                <w:p w14:paraId="785A2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0D538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59042D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45A9B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BE0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F12E6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41A9FC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SS</w:t>
                  </w:r>
                </w:p>
              </w:tc>
              <w:tc>
                <w:tcPr>
                  <w:tcW w:w="630" w:type="pct"/>
                  <w:shd w:val="clear" w:color="auto" w:fill="auto"/>
                  <w:noWrap w:val="0"/>
                  <w:vAlign w:val="center"/>
                </w:tcPr>
                <w:p w14:paraId="0D0AA2A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600</w:t>
                  </w:r>
                </w:p>
              </w:tc>
              <w:tc>
                <w:tcPr>
                  <w:tcW w:w="584" w:type="pct"/>
                  <w:shd w:val="clear" w:color="auto" w:fill="auto"/>
                  <w:noWrap w:val="0"/>
                  <w:vAlign w:val="center"/>
                </w:tcPr>
                <w:p w14:paraId="72BF6D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0.031 </w:t>
                  </w:r>
                </w:p>
              </w:tc>
              <w:tc>
                <w:tcPr>
                  <w:tcW w:w="550" w:type="pct"/>
                  <w:noWrap w:val="0"/>
                  <w:vAlign w:val="center"/>
                </w:tcPr>
                <w:p w14:paraId="394337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587FAC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253CB8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26AA16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144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2F1C3C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76F4F6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NH</w:t>
                  </w:r>
                  <w:r>
                    <w:rPr>
                      <w:rFonts w:hint="default" w:ascii="Times New Roman" w:hAnsi="Times New Roman" w:eastAsia="宋体" w:cs="Times New Roman"/>
                      <w:bCs/>
                      <w:color w:val="000000" w:themeColor="text1"/>
                      <w:sz w:val="21"/>
                      <w:szCs w:val="21"/>
                      <w:highlight w:val="none"/>
                      <w:vertAlign w:val="subscript"/>
                      <w:lang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-N</w:t>
                  </w:r>
                </w:p>
              </w:tc>
              <w:tc>
                <w:tcPr>
                  <w:tcW w:w="630" w:type="pct"/>
                  <w:shd w:val="clear" w:color="auto" w:fill="auto"/>
                  <w:noWrap w:val="0"/>
                  <w:vAlign w:val="center"/>
                </w:tcPr>
                <w:p w14:paraId="2A44986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584" w:type="pct"/>
                  <w:shd w:val="clear" w:color="auto" w:fill="auto"/>
                  <w:noWrap w:val="0"/>
                  <w:vAlign w:val="center"/>
                </w:tcPr>
                <w:p w14:paraId="1CD253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0.0031 </w:t>
                  </w:r>
                </w:p>
              </w:tc>
              <w:tc>
                <w:tcPr>
                  <w:tcW w:w="550" w:type="pct"/>
                  <w:noWrap w:val="0"/>
                  <w:vAlign w:val="center"/>
                </w:tcPr>
                <w:p w14:paraId="512485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7C8990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112933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CE824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5B3B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08B80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36E238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动植物油</w:t>
                  </w:r>
                </w:p>
              </w:tc>
              <w:tc>
                <w:tcPr>
                  <w:tcW w:w="630" w:type="pct"/>
                  <w:shd w:val="clear" w:color="auto" w:fill="auto"/>
                  <w:noWrap w:val="0"/>
                  <w:vAlign w:val="center"/>
                </w:tcPr>
                <w:p w14:paraId="6D0BA596">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584" w:type="pct"/>
                  <w:shd w:val="clear" w:color="auto" w:fill="auto"/>
                  <w:noWrap w:val="0"/>
                  <w:vAlign w:val="center"/>
                </w:tcPr>
                <w:p w14:paraId="5F0ACE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0.010 </w:t>
                  </w:r>
                </w:p>
              </w:tc>
              <w:tc>
                <w:tcPr>
                  <w:tcW w:w="550" w:type="pct"/>
                  <w:noWrap w:val="0"/>
                  <w:vAlign w:val="center"/>
                </w:tcPr>
                <w:p w14:paraId="618D5C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669859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048C3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4F36F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03AA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58AD6C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76349D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TP</w:t>
                  </w:r>
                </w:p>
              </w:tc>
              <w:tc>
                <w:tcPr>
                  <w:tcW w:w="630" w:type="pct"/>
                  <w:shd w:val="clear" w:color="auto" w:fill="auto"/>
                  <w:noWrap w:val="0"/>
                  <w:vAlign w:val="center"/>
                </w:tcPr>
                <w:p w14:paraId="0F8D1BC8">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584" w:type="pct"/>
                  <w:shd w:val="clear" w:color="auto" w:fill="auto"/>
                  <w:noWrap w:val="0"/>
                  <w:vAlign w:val="center"/>
                </w:tcPr>
                <w:p w14:paraId="110B3A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0.0005 </w:t>
                  </w:r>
                </w:p>
              </w:tc>
              <w:tc>
                <w:tcPr>
                  <w:tcW w:w="550" w:type="pct"/>
                  <w:noWrap w:val="0"/>
                  <w:vAlign w:val="center"/>
                </w:tcPr>
                <w:p w14:paraId="0DBCD3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443EC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37E623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6747A4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0CDF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2362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204037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TN</w:t>
                  </w:r>
                </w:p>
              </w:tc>
              <w:tc>
                <w:tcPr>
                  <w:tcW w:w="630" w:type="pct"/>
                  <w:shd w:val="clear" w:color="auto" w:fill="auto"/>
                  <w:noWrap w:val="0"/>
                  <w:vAlign w:val="center"/>
                </w:tcPr>
                <w:p w14:paraId="3205A6F3">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584" w:type="pct"/>
                  <w:shd w:val="clear" w:color="auto" w:fill="auto"/>
                  <w:noWrap w:val="0"/>
                  <w:vAlign w:val="center"/>
                </w:tcPr>
                <w:p w14:paraId="04F099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0.005 </w:t>
                  </w:r>
                </w:p>
              </w:tc>
              <w:tc>
                <w:tcPr>
                  <w:tcW w:w="550" w:type="pct"/>
                  <w:noWrap w:val="0"/>
                  <w:vAlign w:val="center"/>
                </w:tcPr>
                <w:p w14:paraId="5B0F9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6FF8D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5DDB5A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5CE02C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3B31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0E4DC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15C2F9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630" w:type="pct"/>
                  <w:shd w:val="clear" w:color="auto" w:fill="auto"/>
                  <w:noWrap w:val="0"/>
                  <w:vAlign w:val="center"/>
                </w:tcPr>
                <w:p w14:paraId="06477C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584" w:type="pct"/>
                  <w:shd w:val="clear" w:color="auto" w:fill="auto"/>
                  <w:noWrap w:val="0"/>
                  <w:vAlign w:val="center"/>
                </w:tcPr>
                <w:p w14:paraId="6279051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0.003 </w:t>
                  </w:r>
                </w:p>
              </w:tc>
              <w:tc>
                <w:tcPr>
                  <w:tcW w:w="550" w:type="pct"/>
                  <w:noWrap w:val="0"/>
                  <w:vAlign w:val="center"/>
                </w:tcPr>
                <w:p w14:paraId="7BC5DF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681E0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45F730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6074F0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B60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restart"/>
                  <w:noWrap w:val="0"/>
                  <w:vAlign w:val="center"/>
                </w:tcPr>
                <w:p w14:paraId="56AE2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工具清洗</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废水</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135</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shd w:val="clear" w:color="auto" w:fill="auto"/>
                  <w:noWrap w:val="0"/>
                  <w:vAlign w:val="center"/>
                </w:tcPr>
                <w:p w14:paraId="61EB17B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630" w:type="pct"/>
                  <w:shd w:val="clear" w:color="auto" w:fill="auto"/>
                  <w:noWrap w:val="0"/>
                  <w:vAlign w:val="center"/>
                </w:tcPr>
                <w:p w14:paraId="1086C6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584" w:type="pct"/>
                  <w:shd w:val="clear" w:color="auto" w:fill="auto"/>
                  <w:noWrap w:val="0"/>
                  <w:vAlign w:val="center"/>
                </w:tcPr>
                <w:p w14:paraId="32CF9BA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0.07 </w:t>
                  </w:r>
                </w:p>
              </w:tc>
              <w:tc>
                <w:tcPr>
                  <w:tcW w:w="550" w:type="pct"/>
                  <w:noWrap w:val="0"/>
                  <w:vAlign w:val="center"/>
                </w:tcPr>
                <w:p w14:paraId="4689D0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0345D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73A16D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25895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0AF5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0F278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03CB286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630" w:type="pct"/>
                  <w:shd w:val="clear" w:color="auto" w:fill="auto"/>
                  <w:noWrap w:val="0"/>
                  <w:vAlign w:val="center"/>
                </w:tcPr>
                <w:p w14:paraId="0F9613E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584" w:type="pct"/>
                  <w:shd w:val="clear" w:color="auto" w:fill="auto"/>
                  <w:noWrap w:val="0"/>
                  <w:vAlign w:val="center"/>
                </w:tcPr>
                <w:p w14:paraId="6D2FEF9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0.05 </w:t>
                  </w:r>
                </w:p>
              </w:tc>
              <w:tc>
                <w:tcPr>
                  <w:tcW w:w="550" w:type="pct"/>
                  <w:noWrap w:val="0"/>
                  <w:vAlign w:val="center"/>
                </w:tcPr>
                <w:p w14:paraId="10790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40721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347A8B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6A73C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72A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03660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6AD460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630" w:type="pct"/>
                  <w:shd w:val="clear" w:color="auto" w:fill="auto"/>
                  <w:noWrap w:val="0"/>
                  <w:vAlign w:val="center"/>
                </w:tcPr>
                <w:p w14:paraId="27C47C4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584" w:type="pct"/>
                  <w:shd w:val="clear" w:color="auto" w:fill="auto"/>
                  <w:noWrap w:val="0"/>
                  <w:vAlign w:val="center"/>
                </w:tcPr>
                <w:p w14:paraId="276EA03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0.04 </w:t>
                  </w:r>
                </w:p>
              </w:tc>
              <w:tc>
                <w:tcPr>
                  <w:tcW w:w="550" w:type="pct"/>
                  <w:noWrap w:val="0"/>
                  <w:vAlign w:val="center"/>
                </w:tcPr>
                <w:p w14:paraId="673B4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4E668F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73911F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49C766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948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168741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6D46244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w:t>
                  </w:r>
                </w:p>
              </w:tc>
              <w:tc>
                <w:tcPr>
                  <w:tcW w:w="630" w:type="pct"/>
                  <w:shd w:val="clear" w:color="auto" w:fill="auto"/>
                  <w:noWrap w:val="0"/>
                  <w:vAlign w:val="center"/>
                </w:tcPr>
                <w:p w14:paraId="4BE8E89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584" w:type="pct"/>
                  <w:shd w:val="clear" w:color="auto" w:fill="auto"/>
                  <w:noWrap w:val="0"/>
                  <w:vAlign w:val="center"/>
                </w:tcPr>
                <w:p w14:paraId="0E4B44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 </w:t>
                  </w:r>
                </w:p>
              </w:tc>
              <w:tc>
                <w:tcPr>
                  <w:tcW w:w="550" w:type="pct"/>
                  <w:noWrap w:val="0"/>
                  <w:vAlign w:val="center"/>
                </w:tcPr>
                <w:p w14:paraId="0B8FB5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4D1CD0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01DE3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4F32D1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603C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2D27FC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40840EA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动植物油</w:t>
                  </w:r>
                </w:p>
              </w:tc>
              <w:tc>
                <w:tcPr>
                  <w:tcW w:w="630" w:type="pct"/>
                  <w:shd w:val="clear" w:color="auto" w:fill="auto"/>
                  <w:noWrap w:val="0"/>
                  <w:vAlign w:val="center"/>
                </w:tcPr>
                <w:p w14:paraId="4AA2DA9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584" w:type="pct"/>
                  <w:shd w:val="clear" w:color="auto" w:fill="auto"/>
                  <w:noWrap w:val="0"/>
                  <w:vAlign w:val="center"/>
                </w:tcPr>
                <w:p w14:paraId="5CC3CE4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 </w:t>
                  </w:r>
                </w:p>
              </w:tc>
              <w:tc>
                <w:tcPr>
                  <w:tcW w:w="550" w:type="pct"/>
                  <w:noWrap w:val="0"/>
                  <w:vAlign w:val="center"/>
                </w:tcPr>
                <w:p w14:paraId="316D7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3CDD5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756D8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14B3EA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39A4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27A8D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734" w:type="pct"/>
                  <w:shd w:val="clear" w:color="auto" w:fill="auto"/>
                  <w:noWrap w:val="0"/>
                  <w:vAlign w:val="center"/>
                </w:tcPr>
                <w:p w14:paraId="2C7616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630" w:type="pct"/>
                  <w:shd w:val="clear" w:color="auto" w:fill="auto"/>
                  <w:noWrap w:val="0"/>
                  <w:vAlign w:val="center"/>
                </w:tcPr>
                <w:p w14:paraId="4C888C4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584" w:type="pct"/>
                  <w:shd w:val="clear" w:color="auto" w:fill="auto"/>
                  <w:noWrap w:val="0"/>
                  <w:vAlign w:val="center"/>
                </w:tcPr>
                <w:p w14:paraId="756CEE8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 </w:t>
                  </w:r>
                </w:p>
              </w:tc>
              <w:tc>
                <w:tcPr>
                  <w:tcW w:w="550" w:type="pct"/>
                  <w:noWrap w:val="0"/>
                  <w:vAlign w:val="center"/>
                </w:tcPr>
                <w:p w14:paraId="1A6BC3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5AF9B2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4DA91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0B9A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059D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restart"/>
                  <w:noWrap w:val="0"/>
                  <w:vAlign w:val="center"/>
                </w:tcPr>
                <w:p w14:paraId="475DA0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设备</w:t>
                  </w:r>
                  <w:r>
                    <w:rPr>
                      <w:rFonts w:hint="default" w:ascii="Times New Roman" w:hAnsi="Times New Roman" w:eastAsia="宋体" w:cs="Times New Roman"/>
                      <w:bCs/>
                      <w:color w:val="000000" w:themeColor="text1"/>
                      <w:sz w:val="21"/>
                      <w:szCs w:val="21"/>
                      <w:highlight w:val="none"/>
                      <w14:textFill>
                        <w14:solidFill>
                          <w14:schemeClr w14:val="tx1"/>
                        </w14:solidFill>
                      </w14:textFill>
                    </w:rPr>
                    <w:t>清洗</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废水</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2916</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shd w:val="clear" w:color="auto" w:fill="auto"/>
                  <w:noWrap w:val="0"/>
                  <w:vAlign w:val="center"/>
                </w:tcPr>
                <w:p w14:paraId="01E1A2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COD</w:t>
                  </w:r>
                </w:p>
              </w:tc>
              <w:tc>
                <w:tcPr>
                  <w:tcW w:w="630" w:type="pct"/>
                  <w:shd w:val="clear" w:color="auto" w:fill="auto"/>
                  <w:noWrap w:val="0"/>
                  <w:vAlign w:val="center"/>
                </w:tcPr>
                <w:p w14:paraId="61DC4AA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1000</w:t>
                  </w:r>
                </w:p>
              </w:tc>
              <w:tc>
                <w:tcPr>
                  <w:tcW w:w="1075" w:type="dxa"/>
                  <w:shd w:val="clear" w:color="auto" w:fill="auto"/>
                  <w:noWrap w:val="0"/>
                  <w:vAlign w:val="center"/>
                </w:tcPr>
                <w:p w14:paraId="3446BBC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2.92 </w:t>
                  </w:r>
                </w:p>
              </w:tc>
              <w:tc>
                <w:tcPr>
                  <w:tcW w:w="550" w:type="pct"/>
                  <w:noWrap w:val="0"/>
                  <w:vAlign w:val="center"/>
                </w:tcPr>
                <w:p w14:paraId="2DBF3C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297FE7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7423EB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AAC0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143D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2CB51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304A48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BOD</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5</w:t>
                  </w:r>
                </w:p>
              </w:tc>
              <w:tc>
                <w:tcPr>
                  <w:tcW w:w="630" w:type="pct"/>
                  <w:shd w:val="clear" w:color="auto" w:fill="auto"/>
                  <w:noWrap w:val="0"/>
                  <w:vAlign w:val="center"/>
                </w:tcPr>
                <w:p w14:paraId="7E58E0A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600</w:t>
                  </w:r>
                </w:p>
              </w:tc>
              <w:tc>
                <w:tcPr>
                  <w:tcW w:w="1075" w:type="dxa"/>
                  <w:noWrap w:val="0"/>
                  <w:vAlign w:val="center"/>
                </w:tcPr>
                <w:p w14:paraId="710C18A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1.75 </w:t>
                  </w:r>
                </w:p>
              </w:tc>
              <w:tc>
                <w:tcPr>
                  <w:tcW w:w="550" w:type="pct"/>
                  <w:noWrap w:val="0"/>
                  <w:vAlign w:val="center"/>
                </w:tcPr>
                <w:p w14:paraId="12155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0C9C5B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5C141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2F312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00C2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47857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2C6AD0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SS</w:t>
                  </w:r>
                </w:p>
              </w:tc>
              <w:tc>
                <w:tcPr>
                  <w:tcW w:w="630" w:type="pct"/>
                  <w:shd w:val="clear" w:color="auto" w:fill="auto"/>
                  <w:noWrap w:val="0"/>
                  <w:vAlign w:val="center"/>
                </w:tcPr>
                <w:p w14:paraId="2C212E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300</w:t>
                  </w:r>
                </w:p>
              </w:tc>
              <w:tc>
                <w:tcPr>
                  <w:tcW w:w="1075" w:type="dxa"/>
                  <w:noWrap w:val="0"/>
                  <w:vAlign w:val="center"/>
                </w:tcPr>
                <w:p w14:paraId="379E56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0.87 </w:t>
                  </w:r>
                </w:p>
              </w:tc>
              <w:tc>
                <w:tcPr>
                  <w:tcW w:w="550" w:type="pct"/>
                  <w:noWrap w:val="0"/>
                  <w:vAlign w:val="center"/>
                </w:tcPr>
                <w:p w14:paraId="34A628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5F2CE0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464619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7A55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5809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CA4E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76D646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NH</w:t>
                  </w:r>
                  <w:r>
                    <w:rPr>
                      <w:rFonts w:hint="default" w:ascii="Times New Roman" w:hAnsi="Times New Roman" w:eastAsia="宋体" w:cs="Times New Roman"/>
                      <w:bCs/>
                      <w:color w:val="000000" w:themeColor="text1"/>
                      <w:sz w:val="21"/>
                      <w:szCs w:val="21"/>
                      <w:highlight w:val="none"/>
                      <w:vertAlign w:val="subscript"/>
                      <w:lang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-N</w:t>
                  </w:r>
                </w:p>
              </w:tc>
              <w:tc>
                <w:tcPr>
                  <w:tcW w:w="630" w:type="pct"/>
                  <w:shd w:val="clear" w:color="auto" w:fill="auto"/>
                  <w:noWrap w:val="0"/>
                  <w:vAlign w:val="center"/>
                </w:tcPr>
                <w:p w14:paraId="5E6080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w:t>
                  </w:r>
                </w:p>
              </w:tc>
              <w:tc>
                <w:tcPr>
                  <w:tcW w:w="1075" w:type="dxa"/>
                  <w:noWrap w:val="0"/>
                  <w:vAlign w:val="center"/>
                </w:tcPr>
                <w:p w14:paraId="061C2D3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0.15 </w:t>
                  </w:r>
                </w:p>
              </w:tc>
              <w:tc>
                <w:tcPr>
                  <w:tcW w:w="550" w:type="pct"/>
                  <w:noWrap w:val="0"/>
                  <w:vAlign w:val="center"/>
                </w:tcPr>
                <w:p w14:paraId="35C0C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2BAD4C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4AFC6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7D37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1CAB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41977F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1E8D67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动植物油</w:t>
                  </w:r>
                </w:p>
              </w:tc>
              <w:tc>
                <w:tcPr>
                  <w:tcW w:w="630" w:type="pct"/>
                  <w:shd w:val="clear" w:color="auto" w:fill="auto"/>
                  <w:noWrap w:val="0"/>
                  <w:vAlign w:val="center"/>
                </w:tcPr>
                <w:p w14:paraId="6F60FBD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w:t>
                  </w:r>
                </w:p>
              </w:tc>
              <w:tc>
                <w:tcPr>
                  <w:tcW w:w="1075" w:type="dxa"/>
                  <w:noWrap w:val="0"/>
                  <w:vAlign w:val="center"/>
                </w:tcPr>
                <w:p w14:paraId="129518A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0.15 </w:t>
                  </w:r>
                </w:p>
              </w:tc>
              <w:tc>
                <w:tcPr>
                  <w:tcW w:w="550" w:type="pct"/>
                  <w:noWrap w:val="0"/>
                  <w:vAlign w:val="center"/>
                </w:tcPr>
                <w:p w14:paraId="79A62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46A68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1E0F1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74BFB7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695F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7A78FF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585F60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TP</w:t>
                  </w:r>
                </w:p>
              </w:tc>
              <w:tc>
                <w:tcPr>
                  <w:tcW w:w="630" w:type="pct"/>
                  <w:shd w:val="clear" w:color="auto" w:fill="auto"/>
                  <w:noWrap w:val="0"/>
                  <w:vAlign w:val="center"/>
                </w:tcPr>
                <w:p w14:paraId="7537FD9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1075" w:type="dxa"/>
                  <w:noWrap w:val="0"/>
                  <w:vAlign w:val="center"/>
                </w:tcPr>
                <w:p w14:paraId="005E8AB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0.03 </w:t>
                  </w:r>
                </w:p>
              </w:tc>
              <w:tc>
                <w:tcPr>
                  <w:tcW w:w="550" w:type="pct"/>
                  <w:noWrap w:val="0"/>
                  <w:vAlign w:val="center"/>
                </w:tcPr>
                <w:p w14:paraId="75C33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32BF1B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659E05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14281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0142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675670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4917EE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TN</w:t>
                  </w:r>
                </w:p>
              </w:tc>
              <w:tc>
                <w:tcPr>
                  <w:tcW w:w="630" w:type="pct"/>
                  <w:shd w:val="clear" w:color="auto" w:fill="auto"/>
                  <w:noWrap w:val="0"/>
                  <w:vAlign w:val="center"/>
                </w:tcPr>
                <w:p w14:paraId="04711D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75</w:t>
                  </w:r>
                </w:p>
              </w:tc>
              <w:tc>
                <w:tcPr>
                  <w:tcW w:w="1075" w:type="dxa"/>
                  <w:noWrap w:val="0"/>
                  <w:vAlign w:val="center"/>
                </w:tcPr>
                <w:p w14:paraId="7764A88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0.22 </w:t>
                  </w:r>
                </w:p>
              </w:tc>
              <w:tc>
                <w:tcPr>
                  <w:tcW w:w="550" w:type="pct"/>
                  <w:noWrap w:val="0"/>
                  <w:vAlign w:val="center"/>
                </w:tcPr>
                <w:p w14:paraId="6385B5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0E177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noWrap w:val="0"/>
                  <w:vAlign w:val="center"/>
                </w:tcPr>
                <w:p w14:paraId="2E9CB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28879B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676F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2B905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0E79E3C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630" w:type="pct"/>
                  <w:shd w:val="clear" w:color="auto" w:fill="auto"/>
                  <w:noWrap w:val="0"/>
                  <w:vAlign w:val="center"/>
                </w:tcPr>
                <w:p w14:paraId="7A20D9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50</w:t>
                  </w:r>
                </w:p>
              </w:tc>
              <w:tc>
                <w:tcPr>
                  <w:tcW w:w="1075" w:type="dxa"/>
                  <w:noWrap w:val="0"/>
                  <w:vAlign w:val="center"/>
                </w:tcPr>
                <w:p w14:paraId="34F207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0.15 </w:t>
                  </w:r>
                </w:p>
              </w:tc>
              <w:tc>
                <w:tcPr>
                  <w:tcW w:w="550" w:type="pct"/>
                  <w:noWrap w:val="0"/>
                  <w:vAlign w:val="center"/>
                </w:tcPr>
                <w:p w14:paraId="148626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50" w:type="pct"/>
                  <w:noWrap w:val="0"/>
                  <w:vAlign w:val="center"/>
                </w:tcPr>
                <w:p w14:paraId="192D1B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43" w:type="pct"/>
                  <w:vMerge w:val="continue"/>
                  <w:noWrap w:val="0"/>
                  <w:vAlign w:val="center"/>
                </w:tcPr>
                <w:p w14:paraId="67BE33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13" w:type="pct"/>
                  <w:vMerge w:val="continue"/>
                  <w:noWrap w:val="0"/>
                  <w:vAlign w:val="center"/>
                </w:tcPr>
                <w:p w14:paraId="3BB57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542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restart"/>
                  <w:shd w:val="clear" w:color="auto" w:fill="auto"/>
                  <w:noWrap w:val="0"/>
                  <w:vAlign w:val="center"/>
                </w:tcPr>
                <w:p w14:paraId="09B9F8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综合</w:t>
                  </w:r>
                  <w:r>
                    <w:rPr>
                      <w:rFonts w:hint="default" w:ascii="Times New Roman" w:hAnsi="Times New Roman" w:eastAsia="宋体" w:cs="Times New Roman"/>
                      <w:bCs/>
                      <w:color w:val="000000" w:themeColor="text1"/>
                      <w:sz w:val="21"/>
                      <w:szCs w:val="21"/>
                      <w:highlight w:val="none"/>
                      <w14:textFill>
                        <w14:solidFill>
                          <w14:schemeClr w14:val="tx1"/>
                        </w14:solidFill>
                      </w14:textFill>
                    </w:rPr>
                    <w:t>生活污水</w:t>
                  </w:r>
                </w:p>
                <w:p w14:paraId="580CEB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4860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p>
              </w:tc>
              <w:tc>
                <w:tcPr>
                  <w:tcW w:w="734" w:type="pct"/>
                  <w:shd w:val="clear" w:color="auto" w:fill="auto"/>
                  <w:noWrap w:val="0"/>
                  <w:vAlign w:val="center"/>
                </w:tcPr>
                <w:p w14:paraId="229BC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COD</w:t>
                  </w:r>
                </w:p>
              </w:tc>
              <w:tc>
                <w:tcPr>
                  <w:tcW w:w="630" w:type="pct"/>
                  <w:shd w:val="clear" w:color="auto" w:fill="auto"/>
                  <w:noWrap w:val="0"/>
                  <w:vAlign w:val="center"/>
                </w:tcPr>
                <w:p w14:paraId="674C7C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0</w:t>
                  </w:r>
                </w:p>
              </w:tc>
              <w:tc>
                <w:tcPr>
                  <w:tcW w:w="584" w:type="pct"/>
                  <w:shd w:val="clear" w:color="auto" w:fill="auto"/>
                  <w:noWrap w:val="0"/>
                  <w:vAlign w:val="center"/>
                </w:tcPr>
                <w:p w14:paraId="5F62A2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2.43</w:t>
                  </w:r>
                </w:p>
              </w:tc>
              <w:tc>
                <w:tcPr>
                  <w:tcW w:w="550" w:type="pct"/>
                  <w:shd w:val="clear" w:color="auto" w:fill="auto"/>
                  <w:noWrap w:val="0"/>
                  <w:vAlign w:val="center"/>
                </w:tcPr>
                <w:p w14:paraId="1DB66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168735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05506A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c>
                <w:tcPr>
                  <w:tcW w:w="513" w:type="pct"/>
                  <w:vMerge w:val="continue"/>
                  <w:shd w:val="clear" w:color="auto" w:fill="auto"/>
                  <w:noWrap w:val="0"/>
                  <w:vAlign w:val="center"/>
                </w:tcPr>
                <w:p w14:paraId="3F92AA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14:paraId="111B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continue"/>
                  <w:noWrap w:val="0"/>
                  <w:vAlign w:val="center"/>
                </w:tcPr>
                <w:p w14:paraId="7F818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3A686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BOD</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5</w:t>
                  </w:r>
                </w:p>
              </w:tc>
              <w:tc>
                <w:tcPr>
                  <w:tcW w:w="630" w:type="pct"/>
                  <w:shd w:val="clear" w:color="auto" w:fill="auto"/>
                  <w:noWrap w:val="0"/>
                  <w:vAlign w:val="center"/>
                </w:tcPr>
                <w:p w14:paraId="44100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300</w:t>
                  </w:r>
                </w:p>
              </w:tc>
              <w:tc>
                <w:tcPr>
                  <w:tcW w:w="584" w:type="pct"/>
                  <w:shd w:val="clear" w:color="auto" w:fill="auto"/>
                  <w:noWrap w:val="0"/>
                  <w:vAlign w:val="center"/>
                </w:tcPr>
                <w:p w14:paraId="2A3879D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1.46 </w:t>
                  </w:r>
                </w:p>
              </w:tc>
              <w:tc>
                <w:tcPr>
                  <w:tcW w:w="550" w:type="pct"/>
                  <w:shd w:val="clear" w:color="auto" w:fill="auto"/>
                  <w:noWrap w:val="0"/>
                  <w:vAlign w:val="center"/>
                </w:tcPr>
                <w:p w14:paraId="051A4D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59C8C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5B9C0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c>
                <w:tcPr>
                  <w:tcW w:w="513" w:type="pct"/>
                  <w:vMerge w:val="continue"/>
                  <w:shd w:val="clear" w:color="auto" w:fill="auto"/>
                  <w:noWrap w:val="0"/>
                  <w:vAlign w:val="center"/>
                </w:tcPr>
                <w:p w14:paraId="5C5FED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14:paraId="4AC8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continue"/>
                  <w:noWrap w:val="0"/>
                  <w:vAlign w:val="center"/>
                </w:tcPr>
                <w:p w14:paraId="1247C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3702D7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SS</w:t>
                  </w:r>
                </w:p>
              </w:tc>
              <w:tc>
                <w:tcPr>
                  <w:tcW w:w="630" w:type="pct"/>
                  <w:shd w:val="clear" w:color="auto" w:fill="auto"/>
                  <w:noWrap w:val="0"/>
                  <w:vAlign w:val="center"/>
                </w:tcPr>
                <w:p w14:paraId="0FACF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350</w:t>
                  </w:r>
                </w:p>
              </w:tc>
              <w:tc>
                <w:tcPr>
                  <w:tcW w:w="584" w:type="pct"/>
                  <w:shd w:val="clear" w:color="auto" w:fill="auto"/>
                  <w:noWrap w:val="0"/>
                  <w:vAlign w:val="center"/>
                </w:tcPr>
                <w:p w14:paraId="6D817B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1.70 </w:t>
                  </w:r>
                </w:p>
              </w:tc>
              <w:tc>
                <w:tcPr>
                  <w:tcW w:w="550" w:type="pct"/>
                  <w:shd w:val="clear" w:color="auto" w:fill="auto"/>
                  <w:noWrap w:val="0"/>
                  <w:vAlign w:val="center"/>
                </w:tcPr>
                <w:p w14:paraId="74527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5728B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5B5C23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c>
                <w:tcPr>
                  <w:tcW w:w="513" w:type="pct"/>
                  <w:vMerge w:val="continue"/>
                  <w:shd w:val="clear" w:color="auto" w:fill="auto"/>
                  <w:noWrap w:val="0"/>
                  <w:vAlign w:val="center"/>
                </w:tcPr>
                <w:p w14:paraId="15F6AB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14:paraId="24F4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continue"/>
                  <w:noWrap w:val="0"/>
                  <w:vAlign w:val="center"/>
                </w:tcPr>
                <w:p w14:paraId="25942F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34B092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NH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-N</w:t>
                  </w:r>
                </w:p>
              </w:tc>
              <w:tc>
                <w:tcPr>
                  <w:tcW w:w="630" w:type="pct"/>
                  <w:shd w:val="clear" w:color="auto" w:fill="auto"/>
                  <w:noWrap w:val="0"/>
                  <w:vAlign w:val="center"/>
                </w:tcPr>
                <w:p w14:paraId="0ABB99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45</w:t>
                  </w:r>
                </w:p>
              </w:tc>
              <w:tc>
                <w:tcPr>
                  <w:tcW w:w="584" w:type="pct"/>
                  <w:shd w:val="clear" w:color="auto" w:fill="auto"/>
                  <w:noWrap w:val="0"/>
                  <w:vAlign w:val="center"/>
                </w:tcPr>
                <w:p w14:paraId="4E03DC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0.22 </w:t>
                  </w:r>
                </w:p>
              </w:tc>
              <w:tc>
                <w:tcPr>
                  <w:tcW w:w="550" w:type="pct"/>
                  <w:shd w:val="clear" w:color="auto" w:fill="auto"/>
                  <w:noWrap w:val="0"/>
                  <w:vAlign w:val="center"/>
                </w:tcPr>
                <w:p w14:paraId="7D7CED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2DC00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0D0EF2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c>
                <w:tcPr>
                  <w:tcW w:w="513" w:type="pct"/>
                  <w:vMerge w:val="continue"/>
                  <w:shd w:val="clear" w:color="auto" w:fill="auto"/>
                  <w:noWrap w:val="0"/>
                  <w:vAlign w:val="center"/>
                </w:tcPr>
                <w:p w14:paraId="33163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14:paraId="6890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restart"/>
                  <w:shd w:val="clear" w:color="auto" w:fill="auto"/>
                  <w:noWrap w:val="0"/>
                  <w:vAlign w:val="center"/>
                </w:tcPr>
                <w:p w14:paraId="7BAD6662">
                  <w:pPr>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食堂废水</w:t>
                  </w:r>
                </w:p>
                <w:p w14:paraId="0EDA2AEE">
                  <w:pPr>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2916</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p>
              </w:tc>
              <w:tc>
                <w:tcPr>
                  <w:tcW w:w="734" w:type="pct"/>
                  <w:shd w:val="clear" w:color="auto" w:fill="auto"/>
                  <w:noWrap w:val="0"/>
                  <w:vAlign w:val="center"/>
                </w:tcPr>
                <w:p w14:paraId="7D04880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COD</w:t>
                  </w:r>
                </w:p>
              </w:tc>
              <w:tc>
                <w:tcPr>
                  <w:tcW w:w="630" w:type="pct"/>
                  <w:shd w:val="clear" w:color="auto" w:fill="auto"/>
                  <w:noWrap w:val="0"/>
                  <w:vAlign w:val="center"/>
                </w:tcPr>
                <w:p w14:paraId="2F32334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500</w:t>
                  </w:r>
                </w:p>
              </w:tc>
              <w:tc>
                <w:tcPr>
                  <w:tcW w:w="584" w:type="pct"/>
                  <w:shd w:val="clear" w:color="auto" w:fill="auto"/>
                  <w:noWrap w:val="0"/>
                  <w:vAlign w:val="center"/>
                </w:tcPr>
                <w:p w14:paraId="392116B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1.46 </w:t>
                  </w:r>
                </w:p>
              </w:tc>
              <w:tc>
                <w:tcPr>
                  <w:tcW w:w="550" w:type="pct"/>
                  <w:shd w:val="clear" w:color="auto" w:fill="auto"/>
                  <w:noWrap w:val="0"/>
                  <w:vAlign w:val="center"/>
                </w:tcPr>
                <w:p w14:paraId="1DD2C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69D6D0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541AF0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13" w:type="pct"/>
                  <w:vMerge w:val="continue"/>
                  <w:shd w:val="clear" w:color="auto" w:fill="auto"/>
                  <w:noWrap w:val="0"/>
                  <w:vAlign w:val="center"/>
                </w:tcPr>
                <w:p w14:paraId="3E06B4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14:paraId="053A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continue"/>
                  <w:noWrap w:val="0"/>
                  <w:vAlign w:val="center"/>
                </w:tcPr>
                <w:p w14:paraId="1DA9D0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2DCAF98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BOD</w:t>
                  </w:r>
                  <w:r>
                    <w:rPr>
                      <w:rFonts w:hint="default" w:ascii="Times New Roman" w:hAnsi="Times New Roman" w:eastAsia="等线" w:cs="Times New Roman"/>
                      <w:color w:val="000000" w:themeColor="text1"/>
                      <w:kern w:val="0"/>
                      <w:sz w:val="21"/>
                      <w:szCs w:val="21"/>
                      <w:highlight w:val="none"/>
                      <w:vertAlign w:val="subscript"/>
                      <w14:textFill>
                        <w14:solidFill>
                          <w14:schemeClr w14:val="tx1"/>
                        </w14:solidFill>
                      </w14:textFill>
                    </w:rPr>
                    <w:t>5</w:t>
                  </w:r>
                </w:p>
              </w:tc>
              <w:tc>
                <w:tcPr>
                  <w:tcW w:w="630" w:type="pct"/>
                  <w:shd w:val="clear" w:color="auto" w:fill="auto"/>
                  <w:noWrap w:val="0"/>
                  <w:vAlign w:val="center"/>
                </w:tcPr>
                <w:p w14:paraId="0DD0278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400</w:t>
                  </w:r>
                </w:p>
              </w:tc>
              <w:tc>
                <w:tcPr>
                  <w:tcW w:w="584" w:type="pct"/>
                  <w:shd w:val="clear" w:color="auto" w:fill="auto"/>
                  <w:noWrap w:val="0"/>
                  <w:vAlign w:val="center"/>
                </w:tcPr>
                <w:p w14:paraId="611C7E6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1.17 </w:t>
                  </w:r>
                </w:p>
              </w:tc>
              <w:tc>
                <w:tcPr>
                  <w:tcW w:w="550" w:type="pct"/>
                  <w:shd w:val="clear" w:color="auto" w:fill="auto"/>
                  <w:noWrap w:val="0"/>
                  <w:vAlign w:val="center"/>
                </w:tcPr>
                <w:p w14:paraId="3D5083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138453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389ACF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13" w:type="pct"/>
                  <w:vMerge w:val="continue"/>
                  <w:shd w:val="clear" w:color="auto" w:fill="auto"/>
                  <w:noWrap w:val="0"/>
                  <w:vAlign w:val="center"/>
                </w:tcPr>
                <w:p w14:paraId="22612A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14:paraId="4DD8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continue"/>
                  <w:noWrap w:val="0"/>
                  <w:vAlign w:val="center"/>
                </w:tcPr>
                <w:p w14:paraId="1F692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1E28FF0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NH</w:t>
                  </w:r>
                  <w:r>
                    <w:rPr>
                      <w:rFonts w:hint="default" w:ascii="Times New Roman" w:hAnsi="Times New Roman" w:eastAsia="等线" w:cs="Times New Roman"/>
                      <w:color w:val="000000" w:themeColor="text1"/>
                      <w:kern w:val="0"/>
                      <w:sz w:val="21"/>
                      <w:szCs w:val="21"/>
                      <w:highlight w:val="none"/>
                      <w:vertAlign w:val="subscript"/>
                      <w14:textFill>
                        <w14:solidFill>
                          <w14:schemeClr w14:val="tx1"/>
                        </w14:solidFill>
                      </w14:textFill>
                    </w:rPr>
                    <w:t>3</w:t>
                  </w: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-N</w:t>
                  </w:r>
                </w:p>
              </w:tc>
              <w:tc>
                <w:tcPr>
                  <w:tcW w:w="630" w:type="pct"/>
                  <w:shd w:val="clear" w:color="auto" w:fill="auto"/>
                  <w:noWrap w:val="0"/>
                  <w:vAlign w:val="center"/>
                </w:tcPr>
                <w:p w14:paraId="6EE7648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35</w:t>
                  </w:r>
                </w:p>
              </w:tc>
              <w:tc>
                <w:tcPr>
                  <w:tcW w:w="584" w:type="pct"/>
                  <w:shd w:val="clear" w:color="auto" w:fill="auto"/>
                  <w:noWrap w:val="0"/>
                  <w:vAlign w:val="center"/>
                </w:tcPr>
                <w:p w14:paraId="02640C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0.10 </w:t>
                  </w:r>
                </w:p>
              </w:tc>
              <w:tc>
                <w:tcPr>
                  <w:tcW w:w="550" w:type="pct"/>
                  <w:shd w:val="clear" w:color="auto" w:fill="auto"/>
                  <w:noWrap w:val="0"/>
                  <w:vAlign w:val="center"/>
                </w:tcPr>
                <w:p w14:paraId="546B9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05F59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27F092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13" w:type="pct"/>
                  <w:vMerge w:val="continue"/>
                  <w:shd w:val="clear" w:color="auto" w:fill="auto"/>
                  <w:noWrap w:val="0"/>
                  <w:vAlign w:val="center"/>
                </w:tcPr>
                <w:p w14:paraId="4CCF5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14:paraId="6023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continue"/>
                  <w:noWrap w:val="0"/>
                  <w:vAlign w:val="center"/>
                </w:tcPr>
                <w:p w14:paraId="2A95D3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3DBB2FE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SS</w:t>
                  </w:r>
                </w:p>
              </w:tc>
              <w:tc>
                <w:tcPr>
                  <w:tcW w:w="630" w:type="pct"/>
                  <w:shd w:val="clear" w:color="auto" w:fill="auto"/>
                  <w:noWrap w:val="0"/>
                  <w:vAlign w:val="center"/>
                </w:tcPr>
                <w:p w14:paraId="4D77E29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400</w:t>
                  </w:r>
                </w:p>
              </w:tc>
              <w:tc>
                <w:tcPr>
                  <w:tcW w:w="584" w:type="pct"/>
                  <w:shd w:val="clear" w:color="auto" w:fill="auto"/>
                  <w:noWrap w:val="0"/>
                  <w:vAlign w:val="center"/>
                </w:tcPr>
                <w:p w14:paraId="11B090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1.17 </w:t>
                  </w:r>
                </w:p>
              </w:tc>
              <w:tc>
                <w:tcPr>
                  <w:tcW w:w="550" w:type="pct"/>
                  <w:shd w:val="clear" w:color="auto" w:fill="auto"/>
                  <w:noWrap w:val="0"/>
                  <w:vAlign w:val="center"/>
                </w:tcPr>
                <w:p w14:paraId="2F93C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3BF37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087AD7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13" w:type="pct"/>
                  <w:vMerge w:val="continue"/>
                  <w:shd w:val="clear" w:color="auto" w:fill="auto"/>
                  <w:noWrap w:val="0"/>
                  <w:vAlign w:val="center"/>
                </w:tcPr>
                <w:p w14:paraId="7B869A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14:paraId="1205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91" w:type="pct"/>
                  <w:vMerge w:val="continue"/>
                  <w:noWrap w:val="0"/>
                  <w:vAlign w:val="center"/>
                </w:tcPr>
                <w:p w14:paraId="3F915B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40FEFDC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动植物油</w:t>
                  </w:r>
                </w:p>
              </w:tc>
              <w:tc>
                <w:tcPr>
                  <w:tcW w:w="630" w:type="pct"/>
                  <w:shd w:val="clear" w:color="auto" w:fill="auto"/>
                  <w:noWrap w:val="0"/>
                  <w:vAlign w:val="center"/>
                </w:tcPr>
                <w:p w14:paraId="584FA71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14:textFill>
                        <w14:solidFill>
                          <w14:schemeClr w14:val="tx1"/>
                        </w14:solidFill>
                      </w14:textFill>
                    </w:rPr>
                    <w:t>150</w:t>
                  </w:r>
                </w:p>
              </w:tc>
              <w:tc>
                <w:tcPr>
                  <w:tcW w:w="584" w:type="pct"/>
                  <w:shd w:val="clear" w:color="auto" w:fill="auto"/>
                  <w:noWrap w:val="0"/>
                  <w:vAlign w:val="center"/>
                </w:tcPr>
                <w:p w14:paraId="2572A0D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0.44 </w:t>
                  </w:r>
                </w:p>
              </w:tc>
              <w:tc>
                <w:tcPr>
                  <w:tcW w:w="550" w:type="pct"/>
                  <w:shd w:val="clear" w:color="auto" w:fill="auto"/>
                  <w:noWrap w:val="0"/>
                  <w:vAlign w:val="center"/>
                </w:tcPr>
                <w:p w14:paraId="36E84B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shd w:val="clear" w:color="auto" w:fill="auto"/>
                  <w:noWrap w:val="0"/>
                  <w:vAlign w:val="center"/>
                </w:tcPr>
                <w:p w14:paraId="701CC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vMerge w:val="continue"/>
                  <w:shd w:val="clear" w:color="auto" w:fill="auto"/>
                  <w:noWrap w:val="0"/>
                  <w:vAlign w:val="center"/>
                </w:tcPr>
                <w:p w14:paraId="662562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513" w:type="pct"/>
                  <w:vMerge w:val="continue"/>
                  <w:shd w:val="clear" w:color="auto" w:fill="auto"/>
                  <w:noWrap w:val="0"/>
                  <w:vAlign w:val="center"/>
                </w:tcPr>
                <w:p w14:paraId="3510A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14:paraId="7B2F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restart"/>
                  <w:noWrap w:val="0"/>
                  <w:vAlign w:val="center"/>
                </w:tcPr>
                <w:p w14:paraId="0361C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生产废水合计</w:t>
                  </w:r>
                </w:p>
                <w:p w14:paraId="60770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60355.25</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34" w:type="pct"/>
                  <w:noWrap w:val="0"/>
                  <w:vAlign w:val="center"/>
                </w:tcPr>
                <w:p w14:paraId="11EC6B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pH</w:t>
                  </w:r>
                </w:p>
              </w:tc>
              <w:tc>
                <w:tcPr>
                  <w:tcW w:w="630" w:type="pct"/>
                  <w:noWrap w:val="0"/>
                  <w:vAlign w:val="bottom"/>
                </w:tcPr>
                <w:p w14:paraId="592BE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7-8</w:t>
                  </w:r>
                </w:p>
              </w:tc>
              <w:tc>
                <w:tcPr>
                  <w:tcW w:w="584" w:type="pct"/>
                  <w:noWrap w:val="0"/>
                  <w:vAlign w:val="center"/>
                </w:tcPr>
                <w:p w14:paraId="6CEDB7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50" w:type="pct"/>
                  <w:noWrap w:val="0"/>
                  <w:vAlign w:val="center"/>
                </w:tcPr>
                <w:p w14:paraId="46B2A6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6.0-8.5</w:t>
                  </w:r>
                </w:p>
              </w:tc>
              <w:tc>
                <w:tcPr>
                  <w:tcW w:w="550" w:type="pct"/>
                  <w:noWrap w:val="0"/>
                  <w:vAlign w:val="center"/>
                </w:tcPr>
                <w:p w14:paraId="6A5B0C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43" w:type="pct"/>
                  <w:noWrap w:val="0"/>
                  <w:vAlign w:val="center"/>
                </w:tcPr>
                <w:p w14:paraId="087939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6.0-8.5</w:t>
                  </w:r>
                </w:p>
              </w:tc>
              <w:tc>
                <w:tcPr>
                  <w:tcW w:w="513" w:type="pct"/>
                  <w:noWrap w:val="0"/>
                  <w:vAlign w:val="center"/>
                </w:tcPr>
                <w:p w14:paraId="55E7B2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14:paraId="30C6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91" w:type="pct"/>
                  <w:vMerge w:val="continue"/>
                  <w:noWrap w:val="0"/>
                  <w:vAlign w:val="center"/>
                </w:tcPr>
                <w:p w14:paraId="1E58AA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28EC58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1159" w:type="dxa"/>
                  <w:noWrap w:val="0"/>
                  <w:vAlign w:val="center"/>
                </w:tcPr>
                <w:p w14:paraId="21F0225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1613 </w:t>
                  </w:r>
                </w:p>
              </w:tc>
              <w:tc>
                <w:tcPr>
                  <w:tcW w:w="1075" w:type="dxa"/>
                  <w:noWrap w:val="0"/>
                  <w:vAlign w:val="center"/>
                </w:tcPr>
                <w:p w14:paraId="4F59599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97.34 </w:t>
                  </w:r>
                </w:p>
              </w:tc>
              <w:tc>
                <w:tcPr>
                  <w:tcW w:w="1013" w:type="dxa"/>
                  <w:noWrap w:val="0"/>
                  <w:vAlign w:val="center"/>
                </w:tcPr>
                <w:p w14:paraId="3D3322E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500</w:t>
                  </w:r>
                </w:p>
              </w:tc>
              <w:tc>
                <w:tcPr>
                  <w:tcW w:w="1012" w:type="dxa"/>
                  <w:noWrap w:val="0"/>
                  <w:vAlign w:val="center"/>
                </w:tcPr>
                <w:p w14:paraId="57D3BB8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30.18 </w:t>
                  </w:r>
                </w:p>
              </w:tc>
              <w:tc>
                <w:tcPr>
                  <w:tcW w:w="1000" w:type="dxa"/>
                  <w:noWrap w:val="0"/>
                  <w:vAlign w:val="center"/>
                </w:tcPr>
                <w:p w14:paraId="0A91E89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60</w:t>
                  </w:r>
                </w:p>
              </w:tc>
              <w:tc>
                <w:tcPr>
                  <w:tcW w:w="944" w:type="dxa"/>
                  <w:noWrap w:val="0"/>
                  <w:vAlign w:val="center"/>
                </w:tcPr>
                <w:p w14:paraId="1B356B9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3.62 </w:t>
                  </w:r>
                </w:p>
              </w:tc>
            </w:tr>
            <w:tr w14:paraId="35DC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5375D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572596B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1159" w:type="dxa"/>
                  <w:noWrap w:val="0"/>
                  <w:vAlign w:val="center"/>
                </w:tcPr>
                <w:p w14:paraId="09F7851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832 </w:t>
                  </w:r>
                </w:p>
              </w:tc>
              <w:tc>
                <w:tcPr>
                  <w:tcW w:w="1075" w:type="dxa"/>
                  <w:noWrap w:val="0"/>
                  <w:vAlign w:val="center"/>
                </w:tcPr>
                <w:p w14:paraId="012BCAD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49.91 </w:t>
                  </w:r>
                </w:p>
              </w:tc>
              <w:tc>
                <w:tcPr>
                  <w:tcW w:w="1013" w:type="dxa"/>
                  <w:noWrap w:val="0"/>
                  <w:vAlign w:val="center"/>
                </w:tcPr>
                <w:p w14:paraId="3E77885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300</w:t>
                  </w:r>
                </w:p>
              </w:tc>
              <w:tc>
                <w:tcPr>
                  <w:tcW w:w="1012" w:type="dxa"/>
                  <w:noWrap w:val="0"/>
                  <w:vAlign w:val="center"/>
                </w:tcPr>
                <w:p w14:paraId="51D654F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18.00 </w:t>
                  </w:r>
                </w:p>
              </w:tc>
              <w:tc>
                <w:tcPr>
                  <w:tcW w:w="1000" w:type="dxa"/>
                  <w:noWrap w:val="0"/>
                  <w:vAlign w:val="center"/>
                </w:tcPr>
                <w:p w14:paraId="30934B7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20</w:t>
                  </w:r>
                </w:p>
              </w:tc>
              <w:tc>
                <w:tcPr>
                  <w:tcW w:w="944" w:type="dxa"/>
                  <w:noWrap w:val="0"/>
                  <w:vAlign w:val="center"/>
                </w:tcPr>
                <w:p w14:paraId="7D8F098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1.20 </w:t>
                  </w:r>
                </w:p>
              </w:tc>
            </w:tr>
            <w:tr w14:paraId="7ACB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57A4D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7164344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1159" w:type="dxa"/>
                  <w:noWrap w:val="0"/>
                  <w:vAlign w:val="center"/>
                </w:tcPr>
                <w:p w14:paraId="19D03BA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518 </w:t>
                  </w:r>
                </w:p>
              </w:tc>
              <w:tc>
                <w:tcPr>
                  <w:tcW w:w="1075" w:type="dxa"/>
                  <w:noWrap w:val="0"/>
                  <w:vAlign w:val="center"/>
                </w:tcPr>
                <w:p w14:paraId="1C7B38E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31.25 </w:t>
                  </w:r>
                </w:p>
              </w:tc>
              <w:tc>
                <w:tcPr>
                  <w:tcW w:w="1013" w:type="dxa"/>
                  <w:noWrap w:val="0"/>
                  <w:vAlign w:val="center"/>
                </w:tcPr>
                <w:p w14:paraId="27EF3F7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350</w:t>
                  </w:r>
                </w:p>
              </w:tc>
              <w:tc>
                <w:tcPr>
                  <w:tcW w:w="1012" w:type="dxa"/>
                  <w:noWrap w:val="0"/>
                  <w:vAlign w:val="center"/>
                </w:tcPr>
                <w:p w14:paraId="7575F53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21.12 </w:t>
                  </w:r>
                </w:p>
              </w:tc>
              <w:tc>
                <w:tcPr>
                  <w:tcW w:w="1000" w:type="dxa"/>
                  <w:noWrap w:val="0"/>
                  <w:vAlign w:val="center"/>
                </w:tcPr>
                <w:p w14:paraId="3C9182D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20</w:t>
                  </w:r>
                </w:p>
              </w:tc>
              <w:tc>
                <w:tcPr>
                  <w:tcW w:w="944" w:type="dxa"/>
                  <w:noWrap w:val="0"/>
                  <w:vAlign w:val="center"/>
                </w:tcPr>
                <w:p w14:paraId="15F2D8F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1.21 </w:t>
                  </w:r>
                </w:p>
              </w:tc>
            </w:tr>
            <w:tr w14:paraId="7F7E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441FD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6E81330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w:t>
                  </w:r>
                </w:p>
              </w:tc>
              <w:tc>
                <w:tcPr>
                  <w:tcW w:w="1159" w:type="dxa"/>
                  <w:noWrap w:val="0"/>
                  <w:vAlign w:val="center"/>
                </w:tcPr>
                <w:p w14:paraId="2E13126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56 </w:t>
                  </w:r>
                </w:p>
              </w:tc>
              <w:tc>
                <w:tcPr>
                  <w:tcW w:w="1075" w:type="dxa"/>
                  <w:noWrap w:val="0"/>
                  <w:vAlign w:val="center"/>
                </w:tcPr>
                <w:p w14:paraId="5A546ED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3.38 </w:t>
                  </w:r>
                </w:p>
              </w:tc>
              <w:tc>
                <w:tcPr>
                  <w:tcW w:w="1013" w:type="dxa"/>
                  <w:noWrap w:val="0"/>
                  <w:vAlign w:val="center"/>
                </w:tcPr>
                <w:p w14:paraId="1A0C4EE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45</w:t>
                  </w:r>
                </w:p>
              </w:tc>
              <w:tc>
                <w:tcPr>
                  <w:tcW w:w="1012" w:type="dxa"/>
                  <w:noWrap w:val="0"/>
                  <w:vAlign w:val="center"/>
                </w:tcPr>
                <w:p w14:paraId="20EADA4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2.70 </w:t>
                  </w:r>
                </w:p>
              </w:tc>
              <w:tc>
                <w:tcPr>
                  <w:tcW w:w="1000" w:type="dxa"/>
                  <w:noWrap w:val="0"/>
                  <w:vAlign w:val="center"/>
                </w:tcPr>
                <w:p w14:paraId="4F5432F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8</w:t>
                  </w:r>
                </w:p>
              </w:tc>
              <w:tc>
                <w:tcPr>
                  <w:tcW w:w="944" w:type="dxa"/>
                  <w:noWrap w:val="0"/>
                  <w:vAlign w:val="center"/>
                </w:tcPr>
                <w:p w14:paraId="319C7D8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0.48 </w:t>
                  </w:r>
                </w:p>
              </w:tc>
            </w:tr>
            <w:tr w14:paraId="15F0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19602E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5F6075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动植物油</w:t>
                  </w:r>
                </w:p>
              </w:tc>
              <w:tc>
                <w:tcPr>
                  <w:tcW w:w="1159" w:type="dxa"/>
                  <w:noWrap w:val="0"/>
                  <w:vAlign w:val="center"/>
                </w:tcPr>
                <w:p w14:paraId="391377D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176 </w:t>
                  </w:r>
                </w:p>
              </w:tc>
              <w:tc>
                <w:tcPr>
                  <w:tcW w:w="1075" w:type="dxa"/>
                  <w:noWrap w:val="0"/>
                  <w:vAlign w:val="center"/>
                </w:tcPr>
                <w:p w14:paraId="0CA34C9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9.54 </w:t>
                  </w:r>
                </w:p>
              </w:tc>
              <w:tc>
                <w:tcPr>
                  <w:tcW w:w="1013" w:type="dxa"/>
                  <w:noWrap w:val="0"/>
                  <w:vAlign w:val="center"/>
                </w:tcPr>
                <w:p w14:paraId="3297AEA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60</w:t>
                  </w:r>
                </w:p>
              </w:tc>
              <w:tc>
                <w:tcPr>
                  <w:tcW w:w="1012" w:type="dxa"/>
                  <w:noWrap w:val="0"/>
                  <w:vAlign w:val="center"/>
                </w:tcPr>
                <w:p w14:paraId="3CC6E72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3.25 </w:t>
                  </w:r>
                </w:p>
              </w:tc>
              <w:tc>
                <w:tcPr>
                  <w:tcW w:w="1000" w:type="dxa"/>
                  <w:noWrap w:val="0"/>
                  <w:vAlign w:val="center"/>
                </w:tcPr>
                <w:p w14:paraId="7A76E44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3</w:t>
                  </w:r>
                </w:p>
              </w:tc>
              <w:tc>
                <w:tcPr>
                  <w:tcW w:w="944" w:type="dxa"/>
                  <w:noWrap w:val="0"/>
                  <w:vAlign w:val="center"/>
                </w:tcPr>
                <w:p w14:paraId="7567F6B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0.16 </w:t>
                  </w:r>
                </w:p>
              </w:tc>
            </w:tr>
            <w:tr w14:paraId="4EAB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91" w:type="pct"/>
                  <w:vMerge w:val="continue"/>
                  <w:noWrap w:val="0"/>
                  <w:vAlign w:val="center"/>
                </w:tcPr>
                <w:p w14:paraId="70430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691FDED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TP</w:t>
                  </w:r>
                </w:p>
              </w:tc>
              <w:tc>
                <w:tcPr>
                  <w:tcW w:w="1159" w:type="dxa"/>
                  <w:noWrap w:val="0"/>
                  <w:vAlign w:val="center"/>
                </w:tcPr>
                <w:p w14:paraId="5EB5F92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10 </w:t>
                  </w:r>
                </w:p>
              </w:tc>
              <w:tc>
                <w:tcPr>
                  <w:tcW w:w="1075" w:type="dxa"/>
                  <w:noWrap w:val="0"/>
                  <w:vAlign w:val="center"/>
                </w:tcPr>
                <w:p w14:paraId="5FA7CF7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0.468 </w:t>
                  </w:r>
                </w:p>
              </w:tc>
              <w:tc>
                <w:tcPr>
                  <w:tcW w:w="1013" w:type="dxa"/>
                  <w:noWrap w:val="0"/>
                  <w:vAlign w:val="center"/>
                </w:tcPr>
                <w:p w14:paraId="10B7C74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8</w:t>
                  </w:r>
                </w:p>
              </w:tc>
              <w:tc>
                <w:tcPr>
                  <w:tcW w:w="1012" w:type="dxa"/>
                  <w:noWrap w:val="0"/>
                  <w:vAlign w:val="center"/>
                </w:tcPr>
                <w:p w14:paraId="3362A19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0.37 </w:t>
                  </w:r>
                </w:p>
              </w:tc>
              <w:tc>
                <w:tcPr>
                  <w:tcW w:w="1000" w:type="dxa"/>
                  <w:noWrap w:val="0"/>
                  <w:vAlign w:val="center"/>
                </w:tcPr>
                <w:p w14:paraId="2F0072B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1</w:t>
                  </w:r>
                </w:p>
              </w:tc>
              <w:tc>
                <w:tcPr>
                  <w:tcW w:w="944" w:type="dxa"/>
                  <w:noWrap w:val="0"/>
                  <w:vAlign w:val="center"/>
                </w:tcPr>
                <w:p w14:paraId="1CF7AD6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0.047 </w:t>
                  </w:r>
                </w:p>
              </w:tc>
            </w:tr>
            <w:tr w14:paraId="12FD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379C66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3CF2E0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TN</w:t>
                  </w:r>
                </w:p>
              </w:tc>
              <w:tc>
                <w:tcPr>
                  <w:tcW w:w="1159" w:type="dxa"/>
                  <w:noWrap w:val="0"/>
                  <w:vAlign w:val="center"/>
                </w:tcPr>
                <w:p w14:paraId="44B7BFC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94 </w:t>
                  </w:r>
                </w:p>
              </w:tc>
              <w:tc>
                <w:tcPr>
                  <w:tcW w:w="1075" w:type="dxa"/>
                  <w:noWrap w:val="0"/>
                  <w:vAlign w:val="center"/>
                </w:tcPr>
                <w:p w14:paraId="6FC0A02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4.39 </w:t>
                  </w:r>
                </w:p>
              </w:tc>
              <w:tc>
                <w:tcPr>
                  <w:tcW w:w="1013" w:type="dxa"/>
                  <w:noWrap w:val="0"/>
                  <w:vAlign w:val="center"/>
                </w:tcPr>
                <w:p w14:paraId="59AF6D3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70</w:t>
                  </w:r>
                </w:p>
              </w:tc>
              <w:tc>
                <w:tcPr>
                  <w:tcW w:w="1012" w:type="dxa"/>
                  <w:noWrap w:val="0"/>
                  <w:vAlign w:val="center"/>
                </w:tcPr>
                <w:p w14:paraId="161006F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3.28 </w:t>
                  </w:r>
                </w:p>
              </w:tc>
              <w:tc>
                <w:tcPr>
                  <w:tcW w:w="1000" w:type="dxa"/>
                  <w:noWrap w:val="0"/>
                  <w:vAlign w:val="center"/>
                </w:tcPr>
                <w:p w14:paraId="7CD5CBA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20</w:t>
                  </w:r>
                </w:p>
              </w:tc>
              <w:tc>
                <w:tcPr>
                  <w:tcW w:w="944" w:type="dxa"/>
                  <w:noWrap w:val="0"/>
                  <w:vAlign w:val="center"/>
                </w:tcPr>
                <w:p w14:paraId="573C5AF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0.94 </w:t>
                  </w:r>
                </w:p>
              </w:tc>
            </w:tr>
            <w:tr w14:paraId="257E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891" w:type="pct"/>
                  <w:vMerge w:val="continue"/>
                  <w:noWrap w:val="0"/>
                  <w:vAlign w:val="center"/>
                </w:tcPr>
                <w:p w14:paraId="6C16FF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734" w:type="pct"/>
                  <w:shd w:val="clear" w:color="auto" w:fill="auto"/>
                  <w:noWrap w:val="0"/>
                  <w:vAlign w:val="center"/>
                </w:tcPr>
                <w:p w14:paraId="389FF5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1159" w:type="dxa"/>
                  <w:noWrap w:val="0"/>
                  <w:vAlign w:val="center"/>
                </w:tcPr>
                <w:p w14:paraId="7577478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50 </w:t>
                  </w:r>
                </w:p>
              </w:tc>
              <w:tc>
                <w:tcPr>
                  <w:tcW w:w="1075" w:type="dxa"/>
                  <w:noWrap w:val="0"/>
                  <w:vAlign w:val="center"/>
                </w:tcPr>
                <w:p w14:paraId="2AE5B59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0.37 </w:t>
                  </w:r>
                </w:p>
              </w:tc>
              <w:tc>
                <w:tcPr>
                  <w:tcW w:w="1013" w:type="dxa"/>
                  <w:noWrap w:val="0"/>
                  <w:vAlign w:val="center"/>
                </w:tcPr>
                <w:p w14:paraId="6B511EF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20</w:t>
                  </w:r>
                </w:p>
              </w:tc>
              <w:tc>
                <w:tcPr>
                  <w:tcW w:w="1012" w:type="dxa"/>
                  <w:noWrap w:val="0"/>
                  <w:vAlign w:val="center"/>
                </w:tcPr>
                <w:p w14:paraId="0ED3D62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0.15 </w:t>
                  </w:r>
                </w:p>
              </w:tc>
              <w:tc>
                <w:tcPr>
                  <w:tcW w:w="1000" w:type="dxa"/>
                  <w:noWrap w:val="0"/>
                  <w:vAlign w:val="center"/>
                </w:tcPr>
                <w:p w14:paraId="404E182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1</w:t>
                  </w:r>
                </w:p>
              </w:tc>
              <w:tc>
                <w:tcPr>
                  <w:tcW w:w="944" w:type="dxa"/>
                  <w:noWrap w:val="0"/>
                  <w:vAlign w:val="center"/>
                </w:tcPr>
                <w:p w14:paraId="12FAEC2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等线" w:cs="Times New Roman"/>
                      <w:color w:val="000000" w:themeColor="text1"/>
                      <w:kern w:val="0"/>
                      <w:sz w:val="21"/>
                      <w:szCs w:val="21"/>
                      <w:highlight w:val="none"/>
                      <w:lang w:val="en-US" w:eastAsia="zh-CN" w:bidi="ar-SA"/>
                      <w14:textFill>
                        <w14:solidFill>
                          <w14:schemeClr w14:val="tx1"/>
                        </w14:solidFill>
                      </w14:textFill>
                    </w:rPr>
                    <w:t xml:space="preserve">0.007 </w:t>
                  </w:r>
                </w:p>
              </w:tc>
            </w:tr>
          </w:tbl>
          <w:p w14:paraId="2B330B25">
            <w:pPr>
              <w:ind w:firstLine="480"/>
              <w:rPr>
                <w:bCs/>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生产废水</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生活污水</w:t>
            </w:r>
            <w:r>
              <w:rPr>
                <w:rFonts w:hint="eastAsia"/>
                <w:color w:val="000000" w:themeColor="text1"/>
                <w:kern w:val="0"/>
                <w:szCs w:val="21"/>
                <w:highlight w:val="none"/>
                <w14:textFill>
                  <w14:solidFill>
                    <w14:schemeClr w14:val="tx1"/>
                  </w14:solidFill>
                </w14:textFill>
              </w:rPr>
              <w:t>、食堂废水</w:t>
            </w:r>
            <w:r>
              <w:rPr>
                <w:rFonts w:hint="eastAsia"/>
                <w:color w:val="000000" w:themeColor="text1"/>
                <w:highlight w:val="none"/>
                <w14:textFill>
                  <w14:solidFill>
                    <w14:schemeClr w14:val="tx1"/>
                  </w14:solidFill>
                </w14:textFill>
              </w:rPr>
              <w:t>经</w:t>
            </w:r>
            <w:r>
              <w:rPr>
                <w:color w:val="000000" w:themeColor="text1"/>
                <w:highlight w:val="none"/>
                <w14:textFill>
                  <w14:solidFill>
                    <w14:schemeClr w14:val="tx1"/>
                  </w14:solidFill>
                </w14:textFill>
              </w:rPr>
              <w:t>厂区</w:t>
            </w:r>
            <w:r>
              <w:rPr>
                <w:rFonts w:hint="eastAsia"/>
                <w:color w:val="000000" w:themeColor="text1"/>
                <w:highlight w:val="none"/>
                <w14:textFill>
                  <w14:solidFill>
                    <w14:schemeClr w14:val="tx1"/>
                  </w14:solidFill>
                </w14:textFill>
              </w:rPr>
              <w:t>污水处理</w:t>
            </w:r>
            <w:r>
              <w:rPr>
                <w:color w:val="000000" w:themeColor="text1"/>
                <w:highlight w:val="none"/>
                <w14:textFill>
                  <w14:solidFill>
                    <w14:schemeClr w14:val="tx1"/>
                  </w14:solidFill>
                </w14:textFill>
              </w:rPr>
              <w:t>站处理</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COD、BOD</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、SS、动植物油执行《肉类加工工业水污染物排放标准》（GB13457-92）表3中肉制品加工三级标准</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氨氮、总磷、总氮执行《污水排入城镇下水道水质标准》（</w:t>
            </w:r>
            <w:r>
              <w:rPr>
                <w:rFonts w:hint="default" w:ascii="Times New Roman" w:hAnsi="Times New Roman" w:eastAsia="宋体" w:cs="Times New Roman"/>
                <w:color w:val="000000" w:themeColor="text1"/>
                <w:sz w:val="24"/>
                <w:szCs w:val="24"/>
                <w:highlight w:val="none"/>
                <w14:textFill>
                  <w14:solidFill>
                    <w14:schemeClr w14:val="tx1"/>
                  </w14:solidFill>
                </w14:textFill>
              </w:rPr>
              <w:t>GB/T 31962-2015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）B级标准</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LAS执行《污水综合排放标准》（GB8978-96）中三级标准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，处理达标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接入市政管网排至</w:t>
            </w:r>
            <w:r>
              <w:rPr>
                <w:rFonts w:hint="eastAsia"/>
                <w:color w:val="000000" w:themeColor="text1"/>
                <w:highlight w:val="none"/>
                <w14:textFill>
                  <w14:solidFill>
                    <w14:schemeClr w14:val="tx1"/>
                  </w14:solidFill>
                </w14:textFill>
              </w:rPr>
              <w:t>园区污水</w:t>
            </w:r>
            <w:r>
              <w:rPr>
                <w:color w:val="000000" w:themeColor="text1"/>
                <w:highlight w:val="none"/>
                <w14:textFill>
                  <w14:solidFill>
                    <w14:schemeClr w14:val="tx1"/>
                  </w14:solidFill>
                </w14:textFill>
              </w:rPr>
              <w:t>处理厂</w:t>
            </w:r>
            <w:r>
              <w:rPr>
                <w:rFonts w:hint="eastAsia"/>
                <w:color w:val="000000" w:themeColor="text1"/>
                <w:highlight w:val="none"/>
                <w14:textFill>
                  <w14:solidFill>
                    <w14:schemeClr w14:val="tx1"/>
                  </w14:solidFill>
                </w14:textFill>
              </w:rPr>
              <w:t>，最终处理达到《城镇污水处理厂污染物排放标准》（GB18918-2002）一级B标准后排入建梁河</w:t>
            </w:r>
            <w:r>
              <w:rPr>
                <w:bCs/>
                <w:color w:val="000000" w:themeColor="text1"/>
                <w:szCs w:val="21"/>
                <w:highlight w:val="none"/>
                <w14:textFill>
                  <w14:solidFill>
                    <w14:schemeClr w14:val="tx1"/>
                  </w14:solidFill>
                </w14:textFill>
              </w:rPr>
              <w:t>。</w:t>
            </w:r>
          </w:p>
          <w:p w14:paraId="0ADD06F0">
            <w:pPr>
              <w:ind w:firstLine="480"/>
              <w:rPr>
                <w:color w:val="000000" w:themeColor="text1"/>
                <w:kern w:val="0"/>
                <w:szCs w:val="21"/>
                <w:highlight w:val="none"/>
                <w14:textFill>
                  <w14:solidFill>
                    <w14:schemeClr w14:val="tx1"/>
                  </w14:solidFill>
                </w14:textFill>
              </w:rPr>
            </w:pPr>
            <w:r>
              <w:rPr>
                <w:bCs/>
                <w:color w:val="000000" w:themeColor="text1"/>
                <w:szCs w:val="21"/>
                <w:highlight w:val="none"/>
                <w14:textFill>
                  <w14:solidFill>
                    <w14:schemeClr w14:val="tx1"/>
                  </w14:solidFill>
                </w14:textFill>
              </w:rPr>
              <w:t>项目废水污染物、</w:t>
            </w:r>
            <w:r>
              <w:rPr>
                <w:rFonts w:hint="eastAsia"/>
                <w:bCs/>
                <w:color w:val="000000" w:themeColor="text1"/>
                <w:szCs w:val="21"/>
                <w:highlight w:val="none"/>
                <w14:textFill>
                  <w14:solidFill>
                    <w14:schemeClr w14:val="tx1"/>
                  </w14:solidFill>
                </w14:textFill>
              </w:rPr>
              <w:t>排放</w:t>
            </w:r>
            <w:r>
              <w:rPr>
                <w:bCs/>
                <w:color w:val="000000" w:themeColor="text1"/>
                <w:szCs w:val="21"/>
                <w:highlight w:val="none"/>
                <w14:textFill>
                  <w14:solidFill>
                    <w14:schemeClr w14:val="tx1"/>
                  </w14:solidFill>
                </w14:textFill>
              </w:rPr>
              <w:t>情况及治理设施信息见表4</w:t>
            </w:r>
            <w:r>
              <w:rPr>
                <w:rFonts w:hint="eastAsia"/>
                <w:bCs/>
                <w:color w:val="000000" w:themeColor="text1"/>
                <w:szCs w:val="21"/>
                <w:highlight w:val="none"/>
                <w:lang w:val="en-US" w:eastAsia="zh-CN"/>
                <w14:textFill>
                  <w14:solidFill>
                    <w14:schemeClr w14:val="tx1"/>
                  </w14:solidFill>
                </w14:textFill>
              </w:rPr>
              <w:t>.2</w:t>
            </w:r>
            <w:r>
              <w:rPr>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9</w:t>
            </w:r>
            <w:r>
              <w:rPr>
                <w:bCs/>
                <w:color w:val="000000" w:themeColor="text1"/>
                <w:szCs w:val="21"/>
                <w:highlight w:val="none"/>
                <w14:textFill>
                  <w14:solidFill>
                    <w14:schemeClr w14:val="tx1"/>
                  </w14:solidFill>
                </w14:textFill>
              </w:rPr>
              <w:t>。</w:t>
            </w:r>
          </w:p>
        </w:tc>
      </w:tr>
    </w:tbl>
    <w:p w14:paraId="7846A359">
      <w:pPr>
        <w:pStyle w:val="21"/>
        <w:rPr>
          <w:color w:val="000000" w:themeColor="text1"/>
          <w:highlight w:val="none"/>
          <w14:textFill>
            <w14:solidFill>
              <w14:schemeClr w14:val="tx1"/>
            </w14:solidFill>
          </w14:textFill>
        </w:rPr>
        <w:sectPr>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36A3545B">
      <w:pPr>
        <w:pStyle w:val="44"/>
        <w:keepNext w:val="0"/>
        <w:keepLines w:val="0"/>
        <w:pageBreakBefore w:val="0"/>
        <w:widowControl w:val="0"/>
        <w:kinsoku/>
        <w:wordWrap/>
        <w:overflowPunct/>
        <w:topLinePunct w:val="0"/>
        <w:autoSpaceDE/>
        <w:autoSpaceDN/>
        <w:bidi w:val="0"/>
        <w:adjustRightInd/>
        <w:snapToGrid/>
        <w:spacing w:before="0" w:beforeLines="0"/>
        <w:textAlignment w:val="auto"/>
        <w:rPr>
          <w:snapToGrid w:val="0"/>
          <w:color w:val="000000" w:themeColor="text1"/>
          <w:highlight w:val="none"/>
          <w:lang w:val="zh-CN"/>
          <w14:textFill>
            <w14:solidFill>
              <w14:schemeClr w14:val="tx1"/>
            </w14:solidFill>
          </w14:textFill>
        </w:rPr>
      </w:pPr>
      <w:r>
        <w:rPr>
          <w:snapToGrid w:val="0"/>
          <w:color w:val="000000" w:themeColor="text1"/>
          <w:highlight w:val="none"/>
          <w:lang w:val="zh-CN"/>
          <w14:textFill>
            <w14:solidFill>
              <w14:schemeClr w14:val="tx1"/>
            </w14:solidFill>
          </w14:textFill>
        </w:rPr>
        <w:t>表4</w:t>
      </w:r>
      <w:r>
        <w:rPr>
          <w:rFonts w:hint="eastAsia"/>
          <w:snapToGrid w:val="0"/>
          <w:color w:val="000000" w:themeColor="text1"/>
          <w:highlight w:val="none"/>
          <w:lang w:val="en-US" w:eastAsia="zh-CN"/>
          <w14:textFill>
            <w14:solidFill>
              <w14:schemeClr w14:val="tx1"/>
            </w14:solidFill>
          </w14:textFill>
        </w:rPr>
        <w:t>.2</w:t>
      </w:r>
      <w:r>
        <w:rPr>
          <w:snapToGrid w:val="0"/>
          <w:color w:val="000000" w:themeColor="text1"/>
          <w:highlight w:val="none"/>
          <w:lang w:val="zh-CN"/>
          <w14:textFill>
            <w14:solidFill>
              <w14:schemeClr w14:val="tx1"/>
            </w14:solidFill>
          </w14:textFill>
        </w:rPr>
        <w:t>-</w:t>
      </w:r>
      <w:r>
        <w:rPr>
          <w:rFonts w:hint="eastAsia"/>
          <w:snapToGrid w:val="0"/>
          <w:color w:val="000000" w:themeColor="text1"/>
          <w:highlight w:val="none"/>
          <w:lang w:val="en-US" w:eastAsia="zh-CN"/>
          <w14:textFill>
            <w14:solidFill>
              <w14:schemeClr w14:val="tx1"/>
            </w14:solidFill>
          </w14:textFill>
        </w:rPr>
        <w:t>9</w:t>
      </w:r>
      <w:r>
        <w:rPr>
          <w:snapToGrid w:val="0"/>
          <w:color w:val="000000" w:themeColor="text1"/>
          <w:highlight w:val="none"/>
          <w:lang w:val="zh-CN"/>
          <w14:textFill>
            <w14:solidFill>
              <w14:schemeClr w14:val="tx1"/>
            </w14:solidFill>
          </w14:textFill>
        </w:rPr>
        <w:t xml:space="preserve"> 项目废水产排污节点、污染物及污染治理设施信息表</w:t>
      </w:r>
    </w:p>
    <w:tbl>
      <w:tblPr>
        <w:tblStyle w:val="28"/>
        <w:tblW w:w="14762"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510"/>
        <w:gridCol w:w="680"/>
        <w:gridCol w:w="1814"/>
        <w:gridCol w:w="1134"/>
        <w:gridCol w:w="1361"/>
        <w:gridCol w:w="1061"/>
        <w:gridCol w:w="1078"/>
        <w:gridCol w:w="1452"/>
        <w:gridCol w:w="898"/>
        <w:gridCol w:w="1486"/>
        <w:gridCol w:w="3288"/>
      </w:tblGrid>
      <w:tr w14:paraId="1DAC7DC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72" w:hRule="atLeast"/>
          <w:jc w:val="center"/>
        </w:trPr>
        <w:tc>
          <w:tcPr>
            <w:tcW w:w="510" w:type="dxa"/>
            <w:vMerge w:val="restart"/>
            <w:tcBorders>
              <w:tl2br w:val="nil"/>
              <w:tr2bl w:val="nil"/>
            </w:tcBorders>
            <w:noWrap w:val="0"/>
            <w:vAlign w:val="center"/>
          </w:tcPr>
          <w:p w14:paraId="5F3B143E">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序号</w:t>
            </w:r>
          </w:p>
        </w:tc>
        <w:tc>
          <w:tcPr>
            <w:tcW w:w="680" w:type="dxa"/>
            <w:vMerge w:val="restart"/>
            <w:tcBorders>
              <w:tl2br w:val="nil"/>
              <w:tr2bl w:val="nil"/>
            </w:tcBorders>
            <w:noWrap w:val="0"/>
            <w:vAlign w:val="center"/>
          </w:tcPr>
          <w:p w14:paraId="2A2D5708">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废水类别</w:t>
            </w:r>
          </w:p>
        </w:tc>
        <w:tc>
          <w:tcPr>
            <w:tcW w:w="1814" w:type="dxa"/>
            <w:vMerge w:val="restart"/>
            <w:tcBorders>
              <w:tl2br w:val="nil"/>
              <w:tr2bl w:val="nil"/>
            </w:tcBorders>
            <w:noWrap w:val="0"/>
            <w:vAlign w:val="center"/>
          </w:tcPr>
          <w:p w14:paraId="47BA3FFF">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污染物种类</w:t>
            </w:r>
          </w:p>
        </w:tc>
        <w:tc>
          <w:tcPr>
            <w:tcW w:w="1134" w:type="dxa"/>
            <w:vMerge w:val="restart"/>
            <w:tcBorders>
              <w:tl2br w:val="nil"/>
              <w:tr2bl w:val="nil"/>
            </w:tcBorders>
            <w:noWrap w:val="0"/>
            <w:vAlign w:val="center"/>
          </w:tcPr>
          <w:p w14:paraId="499E7EB2">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排放去向</w:t>
            </w:r>
          </w:p>
        </w:tc>
        <w:tc>
          <w:tcPr>
            <w:tcW w:w="1361" w:type="dxa"/>
            <w:vMerge w:val="restart"/>
            <w:tcBorders>
              <w:tl2br w:val="nil"/>
              <w:tr2bl w:val="nil"/>
            </w:tcBorders>
            <w:noWrap w:val="0"/>
            <w:vAlign w:val="center"/>
          </w:tcPr>
          <w:p w14:paraId="527F394B">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排放规律</w:t>
            </w:r>
          </w:p>
        </w:tc>
        <w:tc>
          <w:tcPr>
            <w:tcW w:w="3591" w:type="dxa"/>
            <w:gridSpan w:val="3"/>
            <w:tcBorders>
              <w:tl2br w:val="nil"/>
              <w:tr2bl w:val="nil"/>
            </w:tcBorders>
            <w:noWrap w:val="0"/>
            <w:vAlign w:val="center"/>
          </w:tcPr>
          <w:p w14:paraId="1DF6F360">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污染治理设施</w:t>
            </w:r>
          </w:p>
        </w:tc>
        <w:tc>
          <w:tcPr>
            <w:tcW w:w="898" w:type="dxa"/>
            <w:vMerge w:val="restart"/>
            <w:tcBorders>
              <w:tl2br w:val="nil"/>
              <w:tr2bl w:val="nil"/>
            </w:tcBorders>
            <w:noWrap w:val="0"/>
            <w:vAlign w:val="center"/>
          </w:tcPr>
          <w:p w14:paraId="30E610C1">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排放口</w:t>
            </w:r>
          </w:p>
          <w:p w14:paraId="096EBE9E">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编号</w:t>
            </w:r>
          </w:p>
        </w:tc>
        <w:tc>
          <w:tcPr>
            <w:tcW w:w="1486" w:type="dxa"/>
            <w:vMerge w:val="restart"/>
            <w:tcBorders>
              <w:tl2br w:val="nil"/>
              <w:tr2bl w:val="nil"/>
            </w:tcBorders>
            <w:noWrap w:val="0"/>
            <w:vAlign w:val="center"/>
          </w:tcPr>
          <w:p w14:paraId="366B60E8">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排放口设置是否符合要求</w:t>
            </w:r>
          </w:p>
        </w:tc>
        <w:tc>
          <w:tcPr>
            <w:tcW w:w="3288" w:type="dxa"/>
            <w:vMerge w:val="restart"/>
            <w:tcBorders>
              <w:tl2br w:val="nil"/>
              <w:tr2bl w:val="nil"/>
            </w:tcBorders>
            <w:noWrap w:val="0"/>
            <w:vAlign w:val="center"/>
          </w:tcPr>
          <w:p w14:paraId="5D2BEF7A">
            <w:pPr>
              <w:pStyle w:val="71"/>
              <w:keepNext w:val="0"/>
              <w:keepLines w:val="0"/>
              <w:pageBreakBefore w:val="0"/>
              <w:kinsoku/>
              <w:wordWrap/>
              <w:overflowPunct/>
              <w:topLinePunct w:val="0"/>
              <w:autoSpaceDE/>
              <w:autoSpaceDN/>
              <w:bidi w:val="0"/>
              <w:spacing w:before="24" w:after="24" w:line="240" w:lineRule="auto"/>
              <w:ind w:left="0" w:leftChars="0" w:firstLine="0" w:firstLineChars="0"/>
              <w:jc w:val="center"/>
              <w:textAlignment w:val="baseline"/>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排放口类型</w:t>
            </w:r>
          </w:p>
        </w:tc>
      </w:tr>
      <w:tr w14:paraId="3F956A0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510" w:type="dxa"/>
            <w:vMerge w:val="continue"/>
            <w:tcBorders>
              <w:tl2br w:val="nil"/>
              <w:tr2bl w:val="nil"/>
            </w:tcBorders>
            <w:noWrap w:val="0"/>
            <w:vAlign w:val="center"/>
          </w:tcPr>
          <w:p w14:paraId="7DC33367">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p>
        </w:tc>
        <w:tc>
          <w:tcPr>
            <w:tcW w:w="680" w:type="dxa"/>
            <w:vMerge w:val="continue"/>
            <w:tcBorders>
              <w:tl2br w:val="nil"/>
              <w:tr2bl w:val="nil"/>
            </w:tcBorders>
            <w:noWrap w:val="0"/>
            <w:vAlign w:val="center"/>
          </w:tcPr>
          <w:p w14:paraId="53996C63">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p>
        </w:tc>
        <w:tc>
          <w:tcPr>
            <w:tcW w:w="1814" w:type="dxa"/>
            <w:vMerge w:val="continue"/>
            <w:tcBorders>
              <w:tl2br w:val="nil"/>
              <w:tr2bl w:val="nil"/>
            </w:tcBorders>
            <w:noWrap w:val="0"/>
            <w:vAlign w:val="center"/>
          </w:tcPr>
          <w:p w14:paraId="73DD3589">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32E8311B">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p>
        </w:tc>
        <w:tc>
          <w:tcPr>
            <w:tcW w:w="1361" w:type="dxa"/>
            <w:vMerge w:val="continue"/>
            <w:tcBorders>
              <w:tl2br w:val="nil"/>
              <w:tr2bl w:val="nil"/>
            </w:tcBorders>
            <w:noWrap w:val="0"/>
            <w:vAlign w:val="center"/>
          </w:tcPr>
          <w:p w14:paraId="53421DEC">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p>
        </w:tc>
        <w:tc>
          <w:tcPr>
            <w:tcW w:w="1061" w:type="dxa"/>
            <w:tcBorders>
              <w:tl2br w:val="nil"/>
              <w:tr2bl w:val="nil"/>
            </w:tcBorders>
            <w:noWrap w:val="0"/>
            <w:vAlign w:val="center"/>
          </w:tcPr>
          <w:p w14:paraId="2586A704">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污染治理设施编号</w:t>
            </w:r>
          </w:p>
        </w:tc>
        <w:tc>
          <w:tcPr>
            <w:tcW w:w="1078" w:type="dxa"/>
            <w:tcBorders>
              <w:tl2br w:val="nil"/>
              <w:tr2bl w:val="nil"/>
            </w:tcBorders>
            <w:noWrap w:val="0"/>
            <w:vAlign w:val="center"/>
          </w:tcPr>
          <w:p w14:paraId="44872D67">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污染治理设施名称</w:t>
            </w:r>
          </w:p>
        </w:tc>
        <w:tc>
          <w:tcPr>
            <w:tcW w:w="1452" w:type="dxa"/>
            <w:tcBorders>
              <w:tl2br w:val="nil"/>
              <w:tr2bl w:val="nil"/>
            </w:tcBorders>
            <w:noWrap w:val="0"/>
            <w:vAlign w:val="center"/>
          </w:tcPr>
          <w:p w14:paraId="6FDAFD45">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污染治理设施工艺</w:t>
            </w:r>
          </w:p>
        </w:tc>
        <w:tc>
          <w:tcPr>
            <w:tcW w:w="898" w:type="dxa"/>
            <w:vMerge w:val="continue"/>
            <w:tcBorders>
              <w:tl2br w:val="nil"/>
              <w:tr2bl w:val="nil"/>
            </w:tcBorders>
            <w:noWrap w:val="0"/>
            <w:vAlign w:val="center"/>
          </w:tcPr>
          <w:p w14:paraId="168EB031">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86" w:type="dxa"/>
            <w:vMerge w:val="continue"/>
            <w:tcBorders>
              <w:tl2br w:val="nil"/>
              <w:tr2bl w:val="nil"/>
            </w:tcBorders>
            <w:noWrap w:val="0"/>
            <w:vAlign w:val="center"/>
          </w:tcPr>
          <w:p w14:paraId="15E490E0">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288" w:type="dxa"/>
            <w:vMerge w:val="continue"/>
            <w:tcBorders>
              <w:tl2br w:val="nil"/>
              <w:tr2bl w:val="nil"/>
            </w:tcBorders>
            <w:noWrap w:val="0"/>
            <w:vAlign w:val="center"/>
          </w:tcPr>
          <w:p w14:paraId="05BFEB73">
            <w:pPr>
              <w:pStyle w:val="71"/>
              <w:keepNext w:val="0"/>
              <w:keepLines w:val="0"/>
              <w:pageBreakBefore w:val="0"/>
              <w:kinsoku/>
              <w:wordWrap/>
              <w:overflowPunct/>
              <w:topLinePunct w:val="0"/>
              <w:autoSpaceDE/>
              <w:autoSpaceDN/>
              <w:bidi w:val="0"/>
              <w:spacing w:before="24" w:after="24" w:line="240" w:lineRule="auto"/>
              <w:ind w:left="1100" w:firstLine="0" w:firstLineChars="0"/>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08F604D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1416" w:hRule="atLeast"/>
          <w:jc w:val="center"/>
        </w:trPr>
        <w:tc>
          <w:tcPr>
            <w:tcW w:w="510" w:type="dxa"/>
            <w:tcBorders>
              <w:tl2br w:val="nil"/>
              <w:tr2bl w:val="nil"/>
            </w:tcBorders>
            <w:noWrap w:val="0"/>
            <w:vAlign w:val="center"/>
          </w:tcPr>
          <w:p w14:paraId="41F043F6">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680" w:type="dxa"/>
            <w:tcBorders>
              <w:tl2br w:val="nil"/>
              <w:tr2bl w:val="nil"/>
            </w:tcBorders>
            <w:noWrap w:val="0"/>
            <w:vAlign w:val="center"/>
          </w:tcPr>
          <w:p w14:paraId="28188DCF">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全厂综合</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水</w:t>
            </w:r>
          </w:p>
        </w:tc>
        <w:tc>
          <w:tcPr>
            <w:tcW w:w="1814" w:type="dxa"/>
            <w:tcBorders>
              <w:tl2br w:val="nil"/>
              <w:tr2bl w:val="nil"/>
            </w:tcBorders>
            <w:noWrap w:val="0"/>
            <w:vAlign w:val="center"/>
          </w:tcPr>
          <w:p w14:paraId="07BE8972">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pH、</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COD、BOD</w:t>
            </w:r>
            <w:r>
              <w:rPr>
                <w:rFonts w:hint="default" w:ascii="Times New Roman" w:hAnsi="Times New Roman" w:eastAsia="宋体" w:cs="Times New Roman"/>
                <w:snapToGrid w:val="0"/>
                <w:color w:val="000000" w:themeColor="text1"/>
                <w:kern w:val="0"/>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、SS、NH</w:t>
            </w:r>
            <w:r>
              <w:rPr>
                <w:rFonts w:hint="default" w:ascii="Times New Roman" w:hAnsi="Times New Roman" w:eastAsia="宋体" w:cs="Times New Roman"/>
                <w:snapToGrid w:val="0"/>
                <w:color w:val="000000" w:themeColor="text1"/>
                <w:kern w:val="0"/>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-N、动植物油、</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TP、TN</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1134" w:type="dxa"/>
            <w:tcBorders>
              <w:tl2br w:val="nil"/>
              <w:tr2bl w:val="nil"/>
            </w:tcBorders>
            <w:noWrap w:val="0"/>
            <w:vAlign w:val="center"/>
          </w:tcPr>
          <w:p w14:paraId="142B4F94">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南溪组团A区污水处理厂</w:t>
            </w:r>
          </w:p>
        </w:tc>
        <w:tc>
          <w:tcPr>
            <w:tcW w:w="1361" w:type="dxa"/>
            <w:tcBorders>
              <w:tl2br w:val="nil"/>
              <w:tr2bl w:val="nil"/>
            </w:tcBorders>
            <w:noWrap w:val="0"/>
            <w:vAlign w:val="center"/>
          </w:tcPr>
          <w:p w14:paraId="7530B0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间断排放，流量不</w:t>
            </w:r>
            <w:r>
              <w:rPr>
                <w:rFonts w:hint="eastAsia" w:cs="Times New Roman"/>
                <w:snapToGrid w:val="0"/>
                <w:color w:val="000000" w:themeColor="text1"/>
                <w:kern w:val="0"/>
                <w:sz w:val="21"/>
                <w:szCs w:val="21"/>
                <w:highlight w:val="none"/>
                <w:lang w:eastAsia="zh-CN"/>
                <w14:textFill>
                  <w14:solidFill>
                    <w14:schemeClr w14:val="tx1"/>
                  </w14:solidFill>
                </w14:textFill>
              </w:rPr>
              <w:t>稳定</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无规律</w:t>
            </w:r>
          </w:p>
        </w:tc>
        <w:tc>
          <w:tcPr>
            <w:tcW w:w="1061" w:type="dxa"/>
            <w:tcBorders>
              <w:tl2br w:val="nil"/>
              <w:tr2bl w:val="nil"/>
            </w:tcBorders>
            <w:noWrap w:val="0"/>
            <w:vAlign w:val="center"/>
          </w:tcPr>
          <w:p w14:paraId="6F00AFD8">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TW001</w:t>
            </w:r>
          </w:p>
        </w:tc>
        <w:tc>
          <w:tcPr>
            <w:tcW w:w="1078" w:type="dxa"/>
            <w:tcBorders>
              <w:tl2br w:val="nil"/>
              <w:tr2bl w:val="nil"/>
            </w:tcBorders>
            <w:noWrap w:val="0"/>
            <w:vAlign w:val="center"/>
          </w:tcPr>
          <w:p w14:paraId="7D0105C6">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自建污水处理站</w:t>
            </w:r>
          </w:p>
        </w:tc>
        <w:tc>
          <w:tcPr>
            <w:tcW w:w="1452" w:type="dxa"/>
            <w:tcBorders>
              <w:tl2br w:val="nil"/>
              <w:tr2bl w:val="nil"/>
            </w:tcBorders>
            <w:noWrap w:val="0"/>
            <w:vAlign w:val="center"/>
          </w:tcPr>
          <w:p w14:paraId="2B806637">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格栅+</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隔油</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+调节+气浮+UASB+一级接触氧化+沉淀+二级接触氧化+沉淀</w:t>
            </w:r>
          </w:p>
        </w:tc>
        <w:tc>
          <w:tcPr>
            <w:tcW w:w="898" w:type="dxa"/>
            <w:tcBorders>
              <w:tl2br w:val="nil"/>
              <w:tr2bl w:val="nil"/>
            </w:tcBorders>
            <w:noWrap w:val="0"/>
            <w:vAlign w:val="center"/>
          </w:tcPr>
          <w:p w14:paraId="4F8BC1E4">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DW001</w:t>
            </w:r>
          </w:p>
        </w:tc>
        <w:tc>
          <w:tcPr>
            <w:tcW w:w="1486" w:type="dxa"/>
            <w:tcBorders>
              <w:tl2br w:val="nil"/>
              <w:tr2bl w:val="nil"/>
            </w:tcBorders>
            <w:noWrap w:val="0"/>
            <w:vAlign w:val="center"/>
          </w:tcPr>
          <w:p w14:paraId="4E2F905F">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☑是</w:t>
            </w:r>
          </w:p>
          <w:p w14:paraId="5A0F087F">
            <w:pPr>
              <w:pStyle w:val="24"/>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□否</w:t>
            </w:r>
          </w:p>
        </w:tc>
        <w:tc>
          <w:tcPr>
            <w:tcW w:w="3288" w:type="dxa"/>
            <w:tcBorders>
              <w:tl2br w:val="nil"/>
              <w:tr2bl w:val="nil"/>
            </w:tcBorders>
            <w:noWrap w:val="0"/>
            <w:vAlign w:val="center"/>
          </w:tcPr>
          <w:p w14:paraId="2DA0559D">
            <w:pPr>
              <w:pStyle w:val="71"/>
              <w:keepNext w:val="0"/>
              <w:keepLines w:val="0"/>
              <w:pageBreakBefore w:val="0"/>
              <w:kinsoku/>
              <w:wordWrap/>
              <w:overflowPunct/>
              <w:topLinePunct w:val="0"/>
              <w:autoSpaceDE/>
              <w:autoSpaceDN/>
              <w:bidi w:val="0"/>
              <w:spacing w:before="24" w:after="24" w:line="240" w:lineRule="auto"/>
              <w:ind w:firstLine="0" w:firstLineChars="0"/>
              <w:jc w:val="both"/>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企业总排</w:t>
            </w:r>
          </w:p>
          <w:p w14:paraId="01F6D294">
            <w:pPr>
              <w:pStyle w:val="71"/>
              <w:keepNext w:val="0"/>
              <w:keepLines w:val="0"/>
              <w:pageBreakBefore w:val="0"/>
              <w:kinsoku/>
              <w:wordWrap/>
              <w:overflowPunct/>
              <w:topLinePunct w:val="0"/>
              <w:autoSpaceDE/>
              <w:autoSpaceDN/>
              <w:bidi w:val="0"/>
              <w:spacing w:before="24" w:after="24" w:line="240" w:lineRule="auto"/>
              <w:ind w:firstLine="0" w:firstLineChars="0"/>
              <w:jc w:val="both"/>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□雨水排放</w:t>
            </w:r>
          </w:p>
          <w:p w14:paraId="7A56161F">
            <w:pPr>
              <w:pStyle w:val="71"/>
              <w:keepNext w:val="0"/>
              <w:keepLines w:val="0"/>
              <w:pageBreakBefore w:val="0"/>
              <w:kinsoku/>
              <w:wordWrap/>
              <w:overflowPunct/>
              <w:topLinePunct w:val="0"/>
              <w:autoSpaceDE/>
              <w:autoSpaceDN/>
              <w:bidi w:val="0"/>
              <w:spacing w:before="24" w:after="24" w:line="240" w:lineRule="auto"/>
              <w:ind w:firstLine="0" w:firstLineChars="0"/>
              <w:jc w:val="both"/>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□清净下水排放</w:t>
            </w:r>
          </w:p>
          <w:p w14:paraId="1A4712C2">
            <w:pPr>
              <w:pStyle w:val="71"/>
              <w:keepNext w:val="0"/>
              <w:keepLines w:val="0"/>
              <w:pageBreakBefore w:val="0"/>
              <w:kinsoku/>
              <w:wordWrap/>
              <w:overflowPunct/>
              <w:topLinePunct w:val="0"/>
              <w:autoSpaceDE/>
              <w:autoSpaceDN/>
              <w:bidi w:val="0"/>
              <w:spacing w:before="24" w:after="24" w:line="240" w:lineRule="auto"/>
              <w:ind w:firstLine="0" w:firstLineChars="0"/>
              <w:jc w:val="both"/>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□温排水排放</w:t>
            </w:r>
          </w:p>
          <w:p w14:paraId="2870E395">
            <w:pPr>
              <w:pStyle w:val="71"/>
              <w:keepNext w:val="0"/>
              <w:keepLines w:val="0"/>
              <w:pageBreakBefore w:val="0"/>
              <w:kinsoku/>
              <w:wordWrap/>
              <w:overflowPunct/>
              <w:topLinePunct w:val="0"/>
              <w:autoSpaceDE/>
              <w:autoSpaceDN/>
              <w:bidi w:val="0"/>
              <w:spacing w:before="24" w:after="24" w:line="240" w:lineRule="auto"/>
              <w:ind w:firstLine="0" w:firstLineChars="0"/>
              <w:jc w:val="both"/>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车间或车间处理设施排放</w:t>
            </w:r>
          </w:p>
        </w:tc>
      </w:tr>
    </w:tbl>
    <w:p w14:paraId="5C552626">
      <w:pPr>
        <w:pStyle w:val="44"/>
        <w:keepNext w:val="0"/>
        <w:keepLines w:val="0"/>
        <w:pageBreakBefore w:val="0"/>
        <w:widowControl w:val="0"/>
        <w:kinsoku/>
        <w:wordWrap/>
        <w:overflowPunct/>
        <w:topLinePunct w:val="0"/>
        <w:autoSpaceDE/>
        <w:autoSpaceDN/>
        <w:bidi w:val="0"/>
        <w:adjustRightInd/>
        <w:snapToGrid/>
        <w:spacing w:before="0" w:beforeLines="0"/>
        <w:textAlignment w:val="auto"/>
        <w:rPr>
          <w:snapToGrid w:val="0"/>
          <w:color w:val="000000" w:themeColor="text1"/>
          <w:highlight w:val="none"/>
          <w:lang w:val="zh-CN"/>
          <w14:textFill>
            <w14:solidFill>
              <w14:schemeClr w14:val="tx1"/>
            </w14:solidFill>
          </w14:textFill>
        </w:rPr>
      </w:pPr>
      <w:r>
        <w:rPr>
          <w:snapToGrid w:val="0"/>
          <w:color w:val="000000" w:themeColor="text1"/>
          <w:highlight w:val="none"/>
          <w:lang w:val="zh-CN"/>
          <w14:textFill>
            <w14:solidFill>
              <w14:schemeClr w14:val="tx1"/>
            </w14:solidFill>
          </w14:textFill>
        </w:rPr>
        <w:t>表4</w:t>
      </w:r>
      <w:r>
        <w:rPr>
          <w:rFonts w:hint="eastAsia"/>
          <w:snapToGrid w:val="0"/>
          <w:color w:val="000000" w:themeColor="text1"/>
          <w:highlight w:val="none"/>
          <w:lang w:val="en-US" w:eastAsia="zh-CN"/>
          <w14:textFill>
            <w14:solidFill>
              <w14:schemeClr w14:val="tx1"/>
            </w14:solidFill>
          </w14:textFill>
        </w:rPr>
        <w:t>.2</w:t>
      </w:r>
      <w:r>
        <w:rPr>
          <w:snapToGrid w:val="0"/>
          <w:color w:val="000000" w:themeColor="text1"/>
          <w:highlight w:val="none"/>
          <w:lang w:val="zh-CN"/>
          <w14:textFill>
            <w14:solidFill>
              <w14:schemeClr w14:val="tx1"/>
            </w14:solidFill>
          </w14:textFill>
        </w:rPr>
        <w:t>-</w:t>
      </w:r>
      <w:r>
        <w:rPr>
          <w:rFonts w:hint="eastAsia"/>
          <w:snapToGrid w:val="0"/>
          <w:color w:val="000000" w:themeColor="text1"/>
          <w:highlight w:val="none"/>
          <w:lang w:val="en-US" w:eastAsia="zh-CN"/>
          <w14:textFill>
            <w14:solidFill>
              <w14:schemeClr w14:val="tx1"/>
            </w14:solidFill>
          </w14:textFill>
        </w:rPr>
        <w:t>10</w:t>
      </w:r>
      <w:r>
        <w:rPr>
          <w:snapToGrid w:val="0"/>
          <w:color w:val="000000" w:themeColor="text1"/>
          <w:highlight w:val="none"/>
          <w:lang w:val="zh-CN"/>
          <w14:textFill>
            <w14:solidFill>
              <w14:schemeClr w14:val="tx1"/>
            </w14:solidFill>
          </w14:textFill>
        </w:rPr>
        <w:t xml:space="preserve">  </w:t>
      </w:r>
      <w:r>
        <w:rPr>
          <w:rFonts w:hint="eastAsia"/>
          <w:snapToGrid w:val="0"/>
          <w:color w:val="000000" w:themeColor="text1"/>
          <w:highlight w:val="none"/>
          <w:lang w:val="zh-CN"/>
          <w14:textFill>
            <w14:solidFill>
              <w14:schemeClr w14:val="tx1"/>
            </w14:solidFill>
          </w14:textFill>
        </w:rPr>
        <w:t>生产废水间接排放口基本情况表</w:t>
      </w:r>
    </w:p>
    <w:tbl>
      <w:tblPr>
        <w:tblStyle w:val="28"/>
        <w:tblW w:w="14836"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429"/>
        <w:gridCol w:w="914"/>
        <w:gridCol w:w="1596"/>
        <w:gridCol w:w="1368"/>
        <w:gridCol w:w="1077"/>
        <w:gridCol w:w="1134"/>
        <w:gridCol w:w="1191"/>
        <w:gridCol w:w="901"/>
        <w:gridCol w:w="1375"/>
        <w:gridCol w:w="1284"/>
        <w:gridCol w:w="3567"/>
      </w:tblGrid>
      <w:tr w14:paraId="4E20D7B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429" w:type="dxa"/>
            <w:vMerge w:val="restart"/>
            <w:tcBorders>
              <w:tl2br w:val="nil"/>
              <w:tr2bl w:val="nil"/>
            </w:tcBorders>
            <w:noWrap w:val="0"/>
            <w:vAlign w:val="center"/>
          </w:tcPr>
          <w:p w14:paraId="26887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序号</w:t>
            </w:r>
          </w:p>
        </w:tc>
        <w:tc>
          <w:tcPr>
            <w:tcW w:w="914" w:type="dxa"/>
            <w:vMerge w:val="restart"/>
            <w:tcBorders>
              <w:tl2br w:val="nil"/>
              <w:tr2bl w:val="nil"/>
            </w:tcBorders>
            <w:noWrap w:val="0"/>
            <w:vAlign w:val="center"/>
          </w:tcPr>
          <w:p w14:paraId="04567B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排放口</w:t>
            </w:r>
          </w:p>
          <w:p w14:paraId="7599EA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编号</w:t>
            </w:r>
          </w:p>
        </w:tc>
        <w:tc>
          <w:tcPr>
            <w:tcW w:w="2964" w:type="dxa"/>
            <w:gridSpan w:val="2"/>
            <w:tcBorders>
              <w:tl2br w:val="nil"/>
              <w:tr2bl w:val="nil"/>
            </w:tcBorders>
            <w:noWrap w:val="0"/>
            <w:vAlign w:val="center"/>
          </w:tcPr>
          <w:p w14:paraId="2E566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排放口地理坐标</w:t>
            </w:r>
          </w:p>
        </w:tc>
        <w:tc>
          <w:tcPr>
            <w:tcW w:w="1077" w:type="dxa"/>
            <w:vMerge w:val="restart"/>
            <w:tcBorders>
              <w:tl2br w:val="nil"/>
              <w:tr2bl w:val="nil"/>
            </w:tcBorders>
            <w:noWrap w:val="0"/>
            <w:vAlign w:val="center"/>
          </w:tcPr>
          <w:p w14:paraId="4726A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废水排放量（t/a）</w:t>
            </w:r>
          </w:p>
        </w:tc>
        <w:tc>
          <w:tcPr>
            <w:tcW w:w="1134" w:type="dxa"/>
            <w:vMerge w:val="restart"/>
            <w:tcBorders>
              <w:tl2br w:val="nil"/>
              <w:tr2bl w:val="nil"/>
            </w:tcBorders>
            <w:noWrap w:val="0"/>
            <w:vAlign w:val="center"/>
          </w:tcPr>
          <w:p w14:paraId="5313C5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排放去向</w:t>
            </w:r>
          </w:p>
        </w:tc>
        <w:tc>
          <w:tcPr>
            <w:tcW w:w="1191" w:type="dxa"/>
            <w:vMerge w:val="restart"/>
            <w:tcBorders>
              <w:tl2br w:val="nil"/>
              <w:tr2bl w:val="nil"/>
            </w:tcBorders>
            <w:noWrap w:val="0"/>
            <w:vAlign w:val="center"/>
          </w:tcPr>
          <w:p w14:paraId="336B55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规律</w:t>
            </w:r>
          </w:p>
        </w:tc>
        <w:tc>
          <w:tcPr>
            <w:tcW w:w="901" w:type="dxa"/>
            <w:vMerge w:val="restart"/>
            <w:tcBorders>
              <w:tl2br w:val="nil"/>
              <w:tr2bl w:val="nil"/>
            </w:tcBorders>
            <w:noWrap w:val="0"/>
            <w:vAlign w:val="center"/>
          </w:tcPr>
          <w:p w14:paraId="5CEA89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间歇排放时段</w:t>
            </w:r>
          </w:p>
        </w:tc>
        <w:tc>
          <w:tcPr>
            <w:tcW w:w="6226" w:type="dxa"/>
            <w:gridSpan w:val="3"/>
            <w:tcBorders>
              <w:tl2br w:val="nil"/>
              <w:tr2bl w:val="nil"/>
            </w:tcBorders>
            <w:noWrap w:val="0"/>
            <w:vAlign w:val="center"/>
          </w:tcPr>
          <w:p w14:paraId="727CE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受纳污水处理厂信息</w:t>
            </w:r>
          </w:p>
        </w:tc>
      </w:tr>
      <w:tr w14:paraId="5779CFE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429" w:type="dxa"/>
            <w:vMerge w:val="continue"/>
            <w:tcBorders>
              <w:tl2br w:val="nil"/>
              <w:tr2bl w:val="nil"/>
            </w:tcBorders>
            <w:noWrap w:val="0"/>
            <w:vAlign w:val="center"/>
          </w:tcPr>
          <w:p w14:paraId="72C3ED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1627DB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p>
        </w:tc>
        <w:tc>
          <w:tcPr>
            <w:tcW w:w="1596" w:type="dxa"/>
            <w:tcBorders>
              <w:tl2br w:val="nil"/>
              <w:tr2bl w:val="nil"/>
            </w:tcBorders>
            <w:noWrap w:val="0"/>
            <w:vAlign w:val="center"/>
          </w:tcPr>
          <w:p w14:paraId="4785E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经度</w:t>
            </w:r>
          </w:p>
        </w:tc>
        <w:tc>
          <w:tcPr>
            <w:tcW w:w="1368" w:type="dxa"/>
            <w:tcBorders>
              <w:tl2br w:val="nil"/>
              <w:tr2bl w:val="nil"/>
            </w:tcBorders>
            <w:noWrap w:val="0"/>
            <w:vAlign w:val="center"/>
          </w:tcPr>
          <w:p w14:paraId="5A55E4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纬度</w:t>
            </w:r>
          </w:p>
        </w:tc>
        <w:tc>
          <w:tcPr>
            <w:tcW w:w="1077" w:type="dxa"/>
            <w:vMerge w:val="continue"/>
            <w:tcBorders>
              <w:tl2br w:val="nil"/>
              <w:tr2bl w:val="nil"/>
            </w:tcBorders>
            <w:noWrap w:val="0"/>
            <w:vAlign w:val="center"/>
          </w:tcPr>
          <w:p w14:paraId="6121FF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53DE99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43AA1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4E7924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p>
        </w:tc>
        <w:tc>
          <w:tcPr>
            <w:tcW w:w="1375" w:type="dxa"/>
            <w:tcBorders>
              <w:tl2br w:val="nil"/>
              <w:tr2bl w:val="nil"/>
            </w:tcBorders>
            <w:noWrap w:val="0"/>
            <w:vAlign w:val="center"/>
          </w:tcPr>
          <w:p w14:paraId="4897CA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名称</w:t>
            </w:r>
          </w:p>
        </w:tc>
        <w:tc>
          <w:tcPr>
            <w:tcW w:w="1284" w:type="dxa"/>
            <w:tcBorders>
              <w:tl2br w:val="nil"/>
              <w:tr2bl w:val="nil"/>
            </w:tcBorders>
            <w:noWrap w:val="0"/>
            <w:vAlign w:val="center"/>
          </w:tcPr>
          <w:p w14:paraId="7BB20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污染物种类</w:t>
            </w:r>
          </w:p>
        </w:tc>
        <w:tc>
          <w:tcPr>
            <w:tcW w:w="3567" w:type="dxa"/>
            <w:tcBorders>
              <w:tl2br w:val="nil"/>
              <w:tr2bl w:val="nil"/>
            </w:tcBorders>
            <w:noWrap w:val="0"/>
            <w:vAlign w:val="center"/>
          </w:tcPr>
          <w:p w14:paraId="07EBE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《城镇污水处理厂污染物排放标准》（GB18918-2002）一级</w:t>
            </w:r>
            <w:r>
              <w:rPr>
                <w:rFonts w:hint="default" w:ascii="Times New Roman" w:hAnsi="Times New Roman" w:cs="Times New Roman"/>
                <w:b/>
                <w:bCs w:val="0"/>
                <w:snapToGrid w:val="0"/>
                <w:color w:val="000000" w:themeColor="text1"/>
                <w:kern w:val="0"/>
                <w:sz w:val="21"/>
                <w:szCs w:val="21"/>
                <w:highlight w:val="none"/>
                <w:lang w:val="en-US" w:eastAsia="zh-CN"/>
                <w14:textFill>
                  <w14:solidFill>
                    <w14:schemeClr w14:val="tx1"/>
                  </w14:solidFill>
                </w14:textFill>
              </w:rPr>
              <w:t>B</w:t>
            </w: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标（mg/L）</w:t>
            </w:r>
          </w:p>
        </w:tc>
      </w:tr>
      <w:tr w14:paraId="0F40101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429" w:type="dxa"/>
            <w:vMerge w:val="restart"/>
            <w:tcBorders>
              <w:top w:val="single" w:color="auto" w:sz="4" w:space="0"/>
              <w:tl2br w:val="nil"/>
              <w:tr2bl w:val="nil"/>
            </w:tcBorders>
            <w:noWrap w:val="0"/>
            <w:vAlign w:val="center"/>
          </w:tcPr>
          <w:p w14:paraId="3F26F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Cs/>
                <w:snapToGrid w:val="0"/>
                <w:color w:val="000000" w:themeColor="text1"/>
                <w:kern w:val="0"/>
                <w:sz w:val="21"/>
                <w:szCs w:val="21"/>
                <w:highlight w:val="none"/>
                <w:lang w:val="en-US" w:eastAsia="zh-CN"/>
                <w14:textFill>
                  <w14:solidFill>
                    <w14:schemeClr w14:val="tx1"/>
                  </w14:solidFill>
                </w14:textFill>
              </w:rPr>
              <w:t>1</w:t>
            </w:r>
          </w:p>
        </w:tc>
        <w:tc>
          <w:tcPr>
            <w:tcW w:w="914" w:type="dxa"/>
            <w:vMerge w:val="restart"/>
            <w:tcBorders>
              <w:top w:val="single" w:color="auto" w:sz="4" w:space="0"/>
              <w:tl2br w:val="nil"/>
              <w:tr2bl w:val="nil"/>
            </w:tcBorders>
            <w:noWrap w:val="0"/>
            <w:vAlign w:val="center"/>
          </w:tcPr>
          <w:p w14:paraId="1975F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DW00</w:t>
            </w:r>
            <w:r>
              <w:rPr>
                <w:rFonts w:hint="default" w:ascii="Times New Roman" w:hAnsi="Times New Roman" w:cs="Times New Roman"/>
                <w:bCs/>
                <w:snapToGrid w:val="0"/>
                <w:color w:val="000000" w:themeColor="text1"/>
                <w:kern w:val="0"/>
                <w:sz w:val="21"/>
                <w:szCs w:val="21"/>
                <w:highlight w:val="none"/>
                <w:lang w:val="en-US" w:eastAsia="zh-CN"/>
                <w14:textFill>
                  <w14:solidFill>
                    <w14:schemeClr w14:val="tx1"/>
                  </w14:solidFill>
                </w14:textFill>
              </w:rPr>
              <w:t>1</w:t>
            </w:r>
          </w:p>
        </w:tc>
        <w:tc>
          <w:tcPr>
            <w:tcW w:w="1596" w:type="dxa"/>
            <w:vMerge w:val="restart"/>
            <w:tcBorders>
              <w:top w:val="single" w:color="auto" w:sz="4" w:space="0"/>
              <w:tl2br w:val="nil"/>
              <w:tr2bl w:val="nil"/>
            </w:tcBorders>
            <w:noWrap w:val="0"/>
            <w:vAlign w:val="center"/>
          </w:tcPr>
          <w:p w14:paraId="4D7FC8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restart"/>
            <w:tcBorders>
              <w:top w:val="single" w:color="auto" w:sz="4" w:space="0"/>
              <w:tl2br w:val="nil"/>
              <w:tr2bl w:val="nil"/>
            </w:tcBorders>
            <w:noWrap w:val="0"/>
            <w:vAlign w:val="center"/>
          </w:tcPr>
          <w:p w14:paraId="7A4FA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restart"/>
            <w:tcBorders>
              <w:top w:val="single" w:color="auto" w:sz="4" w:space="0"/>
              <w:tl2br w:val="nil"/>
              <w:tr2bl w:val="nil"/>
            </w:tcBorders>
            <w:noWrap w:val="0"/>
            <w:vAlign w:val="center"/>
          </w:tcPr>
          <w:p w14:paraId="423182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eastAsia" w:cs="Times New Roman"/>
                <w:bCs/>
                <w:snapToGrid w:val="0"/>
                <w:color w:val="000000" w:themeColor="text1"/>
                <w:kern w:val="0"/>
                <w:sz w:val="21"/>
                <w:szCs w:val="21"/>
                <w:highlight w:val="none"/>
                <w:lang w:val="en-US" w:eastAsia="zh-CN"/>
                <w14:textFill>
                  <w14:solidFill>
                    <w14:schemeClr w14:val="tx1"/>
                  </w14:solidFill>
                </w14:textFill>
              </w:rPr>
              <w:t>60355.25</w:t>
            </w:r>
          </w:p>
        </w:tc>
        <w:tc>
          <w:tcPr>
            <w:tcW w:w="1134" w:type="dxa"/>
            <w:vMerge w:val="restart"/>
            <w:tcBorders>
              <w:top w:val="single" w:color="auto" w:sz="4" w:space="0"/>
              <w:tl2br w:val="nil"/>
              <w:tr2bl w:val="nil"/>
            </w:tcBorders>
            <w:noWrap w:val="0"/>
            <w:vAlign w:val="center"/>
          </w:tcPr>
          <w:p w14:paraId="562154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南溪组团A区污水处理厂</w:t>
            </w:r>
          </w:p>
        </w:tc>
        <w:tc>
          <w:tcPr>
            <w:tcW w:w="1191" w:type="dxa"/>
            <w:vMerge w:val="restart"/>
            <w:tcBorders>
              <w:top w:val="single" w:color="auto" w:sz="4" w:space="0"/>
              <w:tl2br w:val="nil"/>
              <w:tr2bl w:val="nil"/>
            </w:tcBorders>
            <w:noWrap w:val="0"/>
            <w:vAlign w:val="center"/>
          </w:tcPr>
          <w:p w14:paraId="537A4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间断排放，流量不</w:t>
            </w:r>
            <w:r>
              <w:rPr>
                <w:rFonts w:hint="eastAsia" w:cs="Times New Roman"/>
                <w:snapToGrid w:val="0"/>
                <w:color w:val="000000" w:themeColor="text1"/>
                <w:kern w:val="0"/>
                <w:sz w:val="21"/>
                <w:szCs w:val="21"/>
                <w:highlight w:val="none"/>
                <w:lang w:eastAsia="zh-CN"/>
                <w14:textFill>
                  <w14:solidFill>
                    <w14:schemeClr w14:val="tx1"/>
                  </w14:solidFill>
                </w14:textFill>
              </w:rPr>
              <w:t>稳定</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无规律</w:t>
            </w:r>
          </w:p>
        </w:tc>
        <w:tc>
          <w:tcPr>
            <w:tcW w:w="901" w:type="dxa"/>
            <w:vMerge w:val="restart"/>
            <w:tcBorders>
              <w:top w:val="single" w:color="auto" w:sz="4" w:space="0"/>
              <w:tl2br w:val="nil"/>
              <w:tr2bl w:val="nil"/>
            </w:tcBorders>
            <w:noWrap w:val="0"/>
            <w:vAlign w:val="center"/>
          </w:tcPr>
          <w:p w14:paraId="339E1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w:t>
            </w:r>
          </w:p>
        </w:tc>
        <w:tc>
          <w:tcPr>
            <w:tcW w:w="1375" w:type="dxa"/>
            <w:vMerge w:val="restart"/>
            <w:tcBorders>
              <w:top w:val="single" w:color="auto" w:sz="4" w:space="0"/>
              <w:tl2br w:val="nil"/>
              <w:tr2bl w:val="nil"/>
            </w:tcBorders>
            <w:noWrap w:val="0"/>
            <w:vAlign w:val="center"/>
          </w:tcPr>
          <w:p w14:paraId="44C8FB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南溪组团A区污水处理厂</w:t>
            </w:r>
          </w:p>
        </w:tc>
        <w:tc>
          <w:tcPr>
            <w:tcW w:w="1284" w:type="dxa"/>
            <w:tcBorders>
              <w:top w:val="single" w:color="auto" w:sz="4" w:space="0"/>
              <w:tl2br w:val="nil"/>
              <w:tr2bl w:val="nil"/>
            </w:tcBorders>
            <w:noWrap w:val="0"/>
            <w:vAlign w:val="center"/>
          </w:tcPr>
          <w:p w14:paraId="52DC0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pH</w:t>
            </w:r>
          </w:p>
        </w:tc>
        <w:tc>
          <w:tcPr>
            <w:tcW w:w="3567" w:type="dxa"/>
            <w:tcBorders>
              <w:tl2br w:val="nil"/>
              <w:tr2bl w:val="nil"/>
            </w:tcBorders>
            <w:noWrap w:val="0"/>
            <w:vAlign w:val="center"/>
          </w:tcPr>
          <w:p w14:paraId="3087A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6~9</w:t>
            </w:r>
          </w:p>
        </w:tc>
      </w:tr>
      <w:tr w14:paraId="1B77367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429" w:type="dxa"/>
            <w:vMerge w:val="continue"/>
            <w:tcBorders>
              <w:tl2br w:val="nil"/>
              <w:tr2bl w:val="nil"/>
            </w:tcBorders>
            <w:noWrap w:val="0"/>
            <w:vAlign w:val="center"/>
          </w:tcPr>
          <w:p w14:paraId="1DFC0E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14F473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596" w:type="dxa"/>
            <w:vMerge w:val="continue"/>
            <w:tcBorders>
              <w:tl2br w:val="nil"/>
              <w:tr2bl w:val="nil"/>
            </w:tcBorders>
            <w:noWrap w:val="0"/>
            <w:vAlign w:val="center"/>
          </w:tcPr>
          <w:p w14:paraId="1BCA38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continue"/>
            <w:tcBorders>
              <w:tl2br w:val="nil"/>
              <w:tr2bl w:val="nil"/>
            </w:tcBorders>
            <w:noWrap w:val="0"/>
            <w:vAlign w:val="center"/>
          </w:tcPr>
          <w:p w14:paraId="055539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continue"/>
            <w:tcBorders>
              <w:tl2br w:val="nil"/>
              <w:tr2bl w:val="nil"/>
            </w:tcBorders>
            <w:noWrap w:val="0"/>
            <w:vAlign w:val="center"/>
          </w:tcPr>
          <w:p w14:paraId="2A38E2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141B4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3E44D7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079074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75" w:type="dxa"/>
            <w:vMerge w:val="continue"/>
            <w:tcBorders>
              <w:tl2br w:val="nil"/>
              <w:tr2bl w:val="nil"/>
            </w:tcBorders>
            <w:noWrap w:val="0"/>
            <w:vAlign w:val="center"/>
          </w:tcPr>
          <w:p w14:paraId="016FD8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284" w:type="dxa"/>
            <w:tcBorders>
              <w:tl2br w:val="nil"/>
              <w:tr2bl w:val="nil"/>
            </w:tcBorders>
            <w:noWrap w:val="0"/>
            <w:vAlign w:val="center"/>
          </w:tcPr>
          <w:p w14:paraId="7C55D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COD</w:t>
            </w:r>
          </w:p>
        </w:tc>
        <w:tc>
          <w:tcPr>
            <w:tcW w:w="3567" w:type="dxa"/>
            <w:tcBorders>
              <w:tl2br w:val="nil"/>
              <w:tr2bl w:val="nil"/>
            </w:tcBorders>
            <w:noWrap w:val="0"/>
            <w:vAlign w:val="center"/>
          </w:tcPr>
          <w:p w14:paraId="3EE1FC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60</w:t>
            </w:r>
          </w:p>
        </w:tc>
      </w:tr>
      <w:tr w14:paraId="13AF619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429" w:type="dxa"/>
            <w:vMerge w:val="continue"/>
            <w:tcBorders>
              <w:tl2br w:val="nil"/>
              <w:tr2bl w:val="nil"/>
            </w:tcBorders>
            <w:noWrap w:val="0"/>
            <w:vAlign w:val="center"/>
          </w:tcPr>
          <w:p w14:paraId="3F982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5DFF91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596" w:type="dxa"/>
            <w:vMerge w:val="continue"/>
            <w:tcBorders>
              <w:tl2br w:val="nil"/>
              <w:tr2bl w:val="nil"/>
            </w:tcBorders>
            <w:noWrap w:val="0"/>
            <w:vAlign w:val="center"/>
          </w:tcPr>
          <w:p w14:paraId="28105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continue"/>
            <w:tcBorders>
              <w:tl2br w:val="nil"/>
              <w:tr2bl w:val="nil"/>
            </w:tcBorders>
            <w:noWrap w:val="0"/>
            <w:vAlign w:val="center"/>
          </w:tcPr>
          <w:p w14:paraId="6C2BA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continue"/>
            <w:tcBorders>
              <w:tl2br w:val="nil"/>
              <w:tr2bl w:val="nil"/>
            </w:tcBorders>
            <w:noWrap w:val="0"/>
            <w:vAlign w:val="center"/>
          </w:tcPr>
          <w:p w14:paraId="4B8276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25FCAF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5CAB0E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22807B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75" w:type="dxa"/>
            <w:vMerge w:val="continue"/>
            <w:tcBorders>
              <w:tl2br w:val="nil"/>
              <w:tr2bl w:val="nil"/>
            </w:tcBorders>
            <w:noWrap w:val="0"/>
            <w:vAlign w:val="center"/>
          </w:tcPr>
          <w:p w14:paraId="3B6DA3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284" w:type="dxa"/>
            <w:tcBorders>
              <w:tl2br w:val="nil"/>
              <w:tr2bl w:val="nil"/>
            </w:tcBorders>
            <w:noWrap w:val="0"/>
            <w:vAlign w:val="center"/>
          </w:tcPr>
          <w:p w14:paraId="23A10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BOD</w:t>
            </w:r>
            <w:r>
              <w:rPr>
                <w:rFonts w:hint="default" w:ascii="Times New Roman" w:hAnsi="Times New Roman" w:eastAsia="宋体" w:cs="Times New Roman"/>
                <w:bCs/>
                <w:snapToGrid w:val="0"/>
                <w:color w:val="000000" w:themeColor="text1"/>
                <w:kern w:val="0"/>
                <w:sz w:val="21"/>
                <w:szCs w:val="21"/>
                <w:highlight w:val="none"/>
                <w:vertAlign w:val="subscript"/>
                <w:lang w:val="en-US" w:eastAsia="zh-CN"/>
                <w14:textFill>
                  <w14:solidFill>
                    <w14:schemeClr w14:val="tx1"/>
                  </w14:solidFill>
                </w14:textFill>
              </w:rPr>
              <w:t>5</w:t>
            </w:r>
          </w:p>
        </w:tc>
        <w:tc>
          <w:tcPr>
            <w:tcW w:w="3567" w:type="dxa"/>
            <w:tcBorders>
              <w:tl2br w:val="nil"/>
              <w:tr2bl w:val="nil"/>
            </w:tcBorders>
            <w:noWrap w:val="0"/>
            <w:vAlign w:val="center"/>
          </w:tcPr>
          <w:p w14:paraId="43C6A4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20</w:t>
            </w:r>
          </w:p>
        </w:tc>
      </w:tr>
      <w:tr w14:paraId="06C0F5A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429" w:type="dxa"/>
            <w:vMerge w:val="continue"/>
            <w:tcBorders>
              <w:tl2br w:val="nil"/>
              <w:tr2bl w:val="nil"/>
            </w:tcBorders>
            <w:noWrap w:val="0"/>
            <w:vAlign w:val="center"/>
          </w:tcPr>
          <w:p w14:paraId="2D38ED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676EA6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596" w:type="dxa"/>
            <w:vMerge w:val="continue"/>
            <w:tcBorders>
              <w:tl2br w:val="nil"/>
              <w:tr2bl w:val="nil"/>
            </w:tcBorders>
            <w:noWrap w:val="0"/>
            <w:vAlign w:val="center"/>
          </w:tcPr>
          <w:p w14:paraId="31BC47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continue"/>
            <w:tcBorders>
              <w:tl2br w:val="nil"/>
              <w:tr2bl w:val="nil"/>
            </w:tcBorders>
            <w:noWrap w:val="0"/>
            <w:vAlign w:val="center"/>
          </w:tcPr>
          <w:p w14:paraId="6D0BA9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continue"/>
            <w:tcBorders>
              <w:tl2br w:val="nil"/>
              <w:tr2bl w:val="nil"/>
            </w:tcBorders>
            <w:noWrap w:val="0"/>
            <w:vAlign w:val="center"/>
          </w:tcPr>
          <w:p w14:paraId="29821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470121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039DF8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6D5929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75" w:type="dxa"/>
            <w:vMerge w:val="continue"/>
            <w:tcBorders>
              <w:tl2br w:val="nil"/>
              <w:tr2bl w:val="nil"/>
            </w:tcBorders>
            <w:noWrap w:val="0"/>
            <w:vAlign w:val="center"/>
          </w:tcPr>
          <w:p w14:paraId="57F21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284" w:type="dxa"/>
            <w:tcBorders>
              <w:tl2br w:val="nil"/>
              <w:tr2bl w:val="nil"/>
            </w:tcBorders>
            <w:noWrap w:val="0"/>
            <w:vAlign w:val="center"/>
          </w:tcPr>
          <w:p w14:paraId="162BA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SS</w:t>
            </w:r>
          </w:p>
        </w:tc>
        <w:tc>
          <w:tcPr>
            <w:tcW w:w="3567" w:type="dxa"/>
            <w:tcBorders>
              <w:tl2br w:val="nil"/>
              <w:tr2bl w:val="nil"/>
            </w:tcBorders>
            <w:noWrap w:val="0"/>
            <w:vAlign w:val="center"/>
          </w:tcPr>
          <w:p w14:paraId="6223C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20</w:t>
            </w:r>
          </w:p>
        </w:tc>
      </w:tr>
      <w:tr w14:paraId="6FAE138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429" w:type="dxa"/>
            <w:vMerge w:val="continue"/>
            <w:tcBorders>
              <w:tl2br w:val="nil"/>
              <w:tr2bl w:val="nil"/>
            </w:tcBorders>
            <w:noWrap w:val="0"/>
            <w:vAlign w:val="center"/>
          </w:tcPr>
          <w:p w14:paraId="6796BE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4F3EE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596" w:type="dxa"/>
            <w:vMerge w:val="continue"/>
            <w:tcBorders>
              <w:tl2br w:val="nil"/>
              <w:tr2bl w:val="nil"/>
            </w:tcBorders>
            <w:noWrap w:val="0"/>
            <w:vAlign w:val="center"/>
          </w:tcPr>
          <w:p w14:paraId="2F5626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continue"/>
            <w:tcBorders>
              <w:tl2br w:val="nil"/>
              <w:tr2bl w:val="nil"/>
            </w:tcBorders>
            <w:noWrap w:val="0"/>
            <w:vAlign w:val="center"/>
          </w:tcPr>
          <w:p w14:paraId="3C543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continue"/>
            <w:tcBorders>
              <w:tl2br w:val="nil"/>
              <w:tr2bl w:val="nil"/>
            </w:tcBorders>
            <w:noWrap w:val="0"/>
            <w:vAlign w:val="center"/>
          </w:tcPr>
          <w:p w14:paraId="75343F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412B4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5AAD88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06F31A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75" w:type="dxa"/>
            <w:vMerge w:val="continue"/>
            <w:tcBorders>
              <w:tl2br w:val="nil"/>
              <w:tr2bl w:val="nil"/>
            </w:tcBorders>
            <w:noWrap w:val="0"/>
            <w:vAlign w:val="center"/>
          </w:tcPr>
          <w:p w14:paraId="507B1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284" w:type="dxa"/>
            <w:tcBorders>
              <w:tl2br w:val="nil"/>
              <w:tr2bl w:val="nil"/>
            </w:tcBorders>
            <w:noWrap w:val="0"/>
            <w:vAlign w:val="center"/>
          </w:tcPr>
          <w:p w14:paraId="73433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NH</w:t>
            </w:r>
            <w:r>
              <w:rPr>
                <w:rFonts w:hint="default" w:ascii="Times New Roman" w:hAnsi="Times New Roman" w:eastAsia="宋体" w:cs="Times New Roman"/>
                <w:bCs/>
                <w:snapToGrid w:val="0"/>
                <w:color w:val="000000" w:themeColor="text1"/>
                <w:kern w:val="0"/>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-N</w:t>
            </w:r>
          </w:p>
        </w:tc>
        <w:tc>
          <w:tcPr>
            <w:tcW w:w="3567" w:type="dxa"/>
            <w:tcBorders>
              <w:tl2br w:val="nil"/>
              <w:tr2bl w:val="nil"/>
            </w:tcBorders>
            <w:noWrap w:val="0"/>
            <w:vAlign w:val="center"/>
          </w:tcPr>
          <w:p w14:paraId="2E2F33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8</w:t>
            </w:r>
          </w:p>
        </w:tc>
      </w:tr>
      <w:tr w14:paraId="1581BE8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429" w:type="dxa"/>
            <w:vMerge w:val="continue"/>
            <w:tcBorders>
              <w:tl2br w:val="nil"/>
              <w:tr2bl w:val="nil"/>
            </w:tcBorders>
            <w:noWrap w:val="0"/>
            <w:vAlign w:val="center"/>
          </w:tcPr>
          <w:p w14:paraId="00F0CF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685F3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596" w:type="dxa"/>
            <w:vMerge w:val="continue"/>
            <w:tcBorders>
              <w:tl2br w:val="nil"/>
              <w:tr2bl w:val="nil"/>
            </w:tcBorders>
            <w:noWrap w:val="0"/>
            <w:vAlign w:val="center"/>
          </w:tcPr>
          <w:p w14:paraId="72C77C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continue"/>
            <w:tcBorders>
              <w:tl2br w:val="nil"/>
              <w:tr2bl w:val="nil"/>
            </w:tcBorders>
            <w:noWrap w:val="0"/>
            <w:vAlign w:val="center"/>
          </w:tcPr>
          <w:p w14:paraId="07279D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continue"/>
            <w:tcBorders>
              <w:tl2br w:val="nil"/>
              <w:tr2bl w:val="nil"/>
            </w:tcBorders>
            <w:noWrap w:val="0"/>
            <w:vAlign w:val="center"/>
          </w:tcPr>
          <w:p w14:paraId="00E6BA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6A2CB8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602075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431EB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75" w:type="dxa"/>
            <w:vMerge w:val="continue"/>
            <w:tcBorders>
              <w:tl2br w:val="nil"/>
              <w:tr2bl w:val="nil"/>
            </w:tcBorders>
            <w:noWrap w:val="0"/>
            <w:vAlign w:val="center"/>
          </w:tcPr>
          <w:p w14:paraId="047DB3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284" w:type="dxa"/>
            <w:tcBorders>
              <w:tl2br w:val="nil"/>
              <w:tr2bl w:val="nil"/>
            </w:tcBorders>
            <w:noWrap w:val="0"/>
            <w:vAlign w:val="center"/>
          </w:tcPr>
          <w:p w14:paraId="16AD9B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动植物油</w:t>
            </w:r>
          </w:p>
        </w:tc>
        <w:tc>
          <w:tcPr>
            <w:tcW w:w="3567" w:type="dxa"/>
            <w:tcBorders>
              <w:tl2br w:val="nil"/>
              <w:tr2bl w:val="nil"/>
            </w:tcBorders>
            <w:noWrap w:val="0"/>
            <w:vAlign w:val="center"/>
          </w:tcPr>
          <w:p w14:paraId="2F4A3D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3</w:t>
            </w:r>
          </w:p>
        </w:tc>
      </w:tr>
      <w:tr w14:paraId="349B6B3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429" w:type="dxa"/>
            <w:vMerge w:val="continue"/>
            <w:tcBorders>
              <w:tl2br w:val="nil"/>
              <w:tr2bl w:val="nil"/>
            </w:tcBorders>
            <w:noWrap w:val="0"/>
            <w:vAlign w:val="center"/>
          </w:tcPr>
          <w:p w14:paraId="3A959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67A34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596" w:type="dxa"/>
            <w:vMerge w:val="continue"/>
            <w:tcBorders>
              <w:tl2br w:val="nil"/>
              <w:tr2bl w:val="nil"/>
            </w:tcBorders>
            <w:noWrap w:val="0"/>
            <w:vAlign w:val="center"/>
          </w:tcPr>
          <w:p w14:paraId="5FB0FD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continue"/>
            <w:tcBorders>
              <w:tl2br w:val="nil"/>
              <w:tr2bl w:val="nil"/>
            </w:tcBorders>
            <w:noWrap w:val="0"/>
            <w:vAlign w:val="center"/>
          </w:tcPr>
          <w:p w14:paraId="260590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continue"/>
            <w:tcBorders>
              <w:tl2br w:val="nil"/>
              <w:tr2bl w:val="nil"/>
            </w:tcBorders>
            <w:noWrap w:val="0"/>
            <w:vAlign w:val="center"/>
          </w:tcPr>
          <w:p w14:paraId="442BE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713053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6CD413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187EA5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75" w:type="dxa"/>
            <w:vMerge w:val="continue"/>
            <w:tcBorders>
              <w:tl2br w:val="nil"/>
              <w:tr2bl w:val="nil"/>
            </w:tcBorders>
            <w:noWrap w:val="0"/>
            <w:vAlign w:val="center"/>
          </w:tcPr>
          <w:p w14:paraId="6E4F42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284" w:type="dxa"/>
            <w:tcBorders>
              <w:tl2br w:val="nil"/>
              <w:tr2bl w:val="nil"/>
            </w:tcBorders>
            <w:noWrap w:val="0"/>
            <w:vAlign w:val="center"/>
          </w:tcPr>
          <w:p w14:paraId="609166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TP</w:t>
            </w:r>
          </w:p>
        </w:tc>
        <w:tc>
          <w:tcPr>
            <w:tcW w:w="3567" w:type="dxa"/>
            <w:tcBorders>
              <w:tl2br w:val="nil"/>
              <w:tr2bl w:val="nil"/>
            </w:tcBorders>
            <w:noWrap w:val="0"/>
            <w:vAlign w:val="center"/>
          </w:tcPr>
          <w:p w14:paraId="308602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1</w:t>
            </w:r>
          </w:p>
        </w:tc>
      </w:tr>
      <w:tr w14:paraId="798E588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429" w:type="dxa"/>
            <w:vMerge w:val="continue"/>
            <w:tcBorders>
              <w:tl2br w:val="nil"/>
              <w:tr2bl w:val="nil"/>
            </w:tcBorders>
            <w:noWrap w:val="0"/>
            <w:vAlign w:val="center"/>
          </w:tcPr>
          <w:p w14:paraId="63704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488C8B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596" w:type="dxa"/>
            <w:vMerge w:val="continue"/>
            <w:tcBorders>
              <w:tl2br w:val="nil"/>
              <w:tr2bl w:val="nil"/>
            </w:tcBorders>
            <w:noWrap w:val="0"/>
            <w:vAlign w:val="center"/>
          </w:tcPr>
          <w:p w14:paraId="384C2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continue"/>
            <w:tcBorders>
              <w:tl2br w:val="nil"/>
              <w:tr2bl w:val="nil"/>
            </w:tcBorders>
            <w:noWrap w:val="0"/>
            <w:vAlign w:val="center"/>
          </w:tcPr>
          <w:p w14:paraId="6FDB26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continue"/>
            <w:tcBorders>
              <w:tl2br w:val="nil"/>
              <w:tr2bl w:val="nil"/>
            </w:tcBorders>
            <w:noWrap w:val="0"/>
            <w:vAlign w:val="center"/>
          </w:tcPr>
          <w:p w14:paraId="3882D1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7E561F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40D2A7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60DF3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75" w:type="dxa"/>
            <w:vMerge w:val="continue"/>
            <w:tcBorders>
              <w:tl2br w:val="nil"/>
              <w:tr2bl w:val="nil"/>
            </w:tcBorders>
            <w:noWrap w:val="0"/>
            <w:vAlign w:val="center"/>
          </w:tcPr>
          <w:p w14:paraId="7C069A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284" w:type="dxa"/>
            <w:tcBorders>
              <w:tl2br w:val="nil"/>
              <w:tr2bl w:val="nil"/>
            </w:tcBorders>
            <w:shd w:val="clear" w:color="auto" w:fill="auto"/>
            <w:noWrap w:val="0"/>
            <w:vAlign w:val="center"/>
          </w:tcPr>
          <w:p w14:paraId="67CE6F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TN</w:t>
            </w:r>
          </w:p>
        </w:tc>
        <w:tc>
          <w:tcPr>
            <w:tcW w:w="3567" w:type="dxa"/>
            <w:tcBorders>
              <w:tl2br w:val="nil"/>
              <w:tr2bl w:val="nil"/>
            </w:tcBorders>
            <w:shd w:val="clear" w:color="auto" w:fill="auto"/>
            <w:noWrap w:val="0"/>
            <w:vAlign w:val="center"/>
          </w:tcPr>
          <w:p w14:paraId="274167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20</w:t>
            </w:r>
          </w:p>
        </w:tc>
      </w:tr>
      <w:tr w14:paraId="576DE0D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429" w:type="dxa"/>
            <w:vMerge w:val="continue"/>
            <w:tcBorders>
              <w:tl2br w:val="nil"/>
              <w:tr2bl w:val="nil"/>
            </w:tcBorders>
            <w:noWrap w:val="0"/>
            <w:vAlign w:val="center"/>
          </w:tcPr>
          <w:p w14:paraId="38261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14" w:type="dxa"/>
            <w:vMerge w:val="continue"/>
            <w:tcBorders>
              <w:tl2br w:val="nil"/>
              <w:tr2bl w:val="nil"/>
            </w:tcBorders>
            <w:noWrap w:val="0"/>
            <w:vAlign w:val="center"/>
          </w:tcPr>
          <w:p w14:paraId="7C00E8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596" w:type="dxa"/>
            <w:vMerge w:val="continue"/>
            <w:tcBorders>
              <w:tl2br w:val="nil"/>
              <w:tr2bl w:val="nil"/>
            </w:tcBorders>
            <w:noWrap w:val="0"/>
            <w:vAlign w:val="center"/>
          </w:tcPr>
          <w:p w14:paraId="1F13E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68" w:type="dxa"/>
            <w:vMerge w:val="continue"/>
            <w:tcBorders>
              <w:tl2br w:val="nil"/>
              <w:tr2bl w:val="nil"/>
            </w:tcBorders>
            <w:noWrap w:val="0"/>
            <w:vAlign w:val="center"/>
          </w:tcPr>
          <w:p w14:paraId="64B81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077" w:type="dxa"/>
            <w:vMerge w:val="continue"/>
            <w:tcBorders>
              <w:tl2br w:val="nil"/>
              <w:tr2bl w:val="nil"/>
            </w:tcBorders>
            <w:noWrap w:val="0"/>
            <w:vAlign w:val="center"/>
          </w:tcPr>
          <w:p w14:paraId="790966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34" w:type="dxa"/>
            <w:vMerge w:val="continue"/>
            <w:tcBorders>
              <w:tl2br w:val="nil"/>
              <w:tr2bl w:val="nil"/>
            </w:tcBorders>
            <w:noWrap w:val="0"/>
            <w:vAlign w:val="center"/>
          </w:tcPr>
          <w:p w14:paraId="3349E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191" w:type="dxa"/>
            <w:vMerge w:val="continue"/>
            <w:tcBorders>
              <w:tl2br w:val="nil"/>
              <w:tr2bl w:val="nil"/>
            </w:tcBorders>
            <w:noWrap w:val="0"/>
            <w:vAlign w:val="center"/>
          </w:tcPr>
          <w:p w14:paraId="11225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901" w:type="dxa"/>
            <w:vMerge w:val="continue"/>
            <w:tcBorders>
              <w:tl2br w:val="nil"/>
              <w:tr2bl w:val="nil"/>
            </w:tcBorders>
            <w:noWrap w:val="0"/>
            <w:vAlign w:val="center"/>
          </w:tcPr>
          <w:p w14:paraId="6E270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375" w:type="dxa"/>
            <w:vMerge w:val="continue"/>
            <w:tcBorders>
              <w:tl2br w:val="nil"/>
              <w:tr2bl w:val="nil"/>
            </w:tcBorders>
            <w:noWrap w:val="0"/>
            <w:vAlign w:val="center"/>
          </w:tcPr>
          <w:p w14:paraId="133F6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p>
        </w:tc>
        <w:tc>
          <w:tcPr>
            <w:tcW w:w="1284" w:type="dxa"/>
            <w:tcBorders>
              <w:tl2br w:val="nil"/>
              <w:tr2bl w:val="nil"/>
            </w:tcBorders>
            <w:shd w:val="clear" w:color="auto" w:fill="auto"/>
            <w:noWrap w:val="0"/>
            <w:vAlign w:val="center"/>
          </w:tcPr>
          <w:p w14:paraId="3F678D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3567" w:type="dxa"/>
            <w:tcBorders>
              <w:tl2br w:val="nil"/>
              <w:tr2bl w:val="nil"/>
            </w:tcBorders>
            <w:shd w:val="clear" w:color="auto" w:fill="auto"/>
            <w:noWrap w:val="0"/>
            <w:vAlign w:val="center"/>
          </w:tcPr>
          <w:p w14:paraId="28A1B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Cs/>
                <w:snapToGrid w:val="0"/>
                <w:color w:val="000000" w:themeColor="text1"/>
                <w:kern w:val="0"/>
                <w:sz w:val="21"/>
                <w:szCs w:val="21"/>
                <w:highlight w:val="none"/>
                <w:lang w:val="en-US" w:eastAsia="zh-CN" w:bidi="ar-SA"/>
                <w14:textFill>
                  <w14:solidFill>
                    <w14:schemeClr w14:val="tx1"/>
                  </w14:solidFill>
                </w14:textFill>
              </w:rPr>
              <w:t>1</w:t>
            </w:r>
          </w:p>
        </w:tc>
      </w:tr>
    </w:tbl>
    <w:p w14:paraId="66C4FF1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snapToGrid w:val="0"/>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snapToGrid w:val="0"/>
          <w:color w:val="000000" w:themeColor="text1"/>
          <w:sz w:val="24"/>
          <w:szCs w:val="24"/>
          <w:highlight w:val="none"/>
          <w:lang w:val="en-US" w:eastAsia="zh-CN"/>
          <w14:textFill>
            <w14:solidFill>
              <w14:schemeClr w14:val="tx1"/>
            </w14:solidFill>
          </w14:textFill>
        </w:rPr>
        <w:t>4.2-</w:t>
      </w:r>
      <w:r>
        <w:rPr>
          <w:rFonts w:hint="eastAsia" w:ascii="Times New Roman" w:hAnsi="Times New Roman" w:eastAsia="宋体" w:cs="Times New Roman"/>
          <w:b/>
          <w:snapToGrid w:val="0"/>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b/>
          <w:snapToGrid w:val="0"/>
          <w:color w:val="000000" w:themeColor="text1"/>
          <w:sz w:val="24"/>
          <w:szCs w:val="24"/>
          <w:highlight w:val="none"/>
          <w:lang w:eastAsia="zh-CN"/>
          <w14:textFill>
            <w14:solidFill>
              <w14:schemeClr w14:val="tx1"/>
            </w14:solidFill>
          </w14:textFill>
        </w:rPr>
        <w:t xml:space="preserve">  废水污染物排放信息表</w:t>
      </w:r>
    </w:p>
    <w:tbl>
      <w:tblPr>
        <w:tblStyle w:val="28"/>
        <w:tblW w:w="52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2411"/>
        <w:gridCol w:w="2411"/>
        <w:gridCol w:w="2813"/>
        <w:gridCol w:w="3220"/>
        <w:gridCol w:w="2851"/>
      </w:tblGrid>
      <w:tr w14:paraId="6702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86" w:type="pct"/>
            <w:noWrap w:val="0"/>
            <w:vAlign w:val="center"/>
          </w:tcPr>
          <w:p w14:paraId="4A61432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序号</w:t>
            </w:r>
          </w:p>
        </w:tc>
        <w:tc>
          <w:tcPr>
            <w:tcW w:w="811" w:type="pct"/>
            <w:noWrap w:val="0"/>
            <w:vAlign w:val="center"/>
          </w:tcPr>
          <w:p w14:paraId="2891BE1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废水来源</w:t>
            </w:r>
          </w:p>
        </w:tc>
        <w:tc>
          <w:tcPr>
            <w:tcW w:w="811" w:type="pct"/>
            <w:noWrap w:val="0"/>
            <w:vAlign w:val="center"/>
          </w:tcPr>
          <w:p w14:paraId="63BFE39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污染物种类</w:t>
            </w:r>
          </w:p>
        </w:tc>
        <w:tc>
          <w:tcPr>
            <w:tcW w:w="946" w:type="pct"/>
            <w:noWrap w:val="0"/>
            <w:vAlign w:val="center"/>
          </w:tcPr>
          <w:p w14:paraId="1CD159A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排放浓度（mg/L）</w:t>
            </w:r>
          </w:p>
        </w:tc>
        <w:tc>
          <w:tcPr>
            <w:tcW w:w="1083" w:type="pct"/>
            <w:noWrap w:val="0"/>
            <w:vAlign w:val="center"/>
          </w:tcPr>
          <w:p w14:paraId="565D7E2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日排放量（t/d）</w:t>
            </w:r>
          </w:p>
        </w:tc>
        <w:tc>
          <w:tcPr>
            <w:tcW w:w="959" w:type="pct"/>
            <w:noWrap w:val="0"/>
            <w:vAlign w:val="center"/>
          </w:tcPr>
          <w:p w14:paraId="3411EB5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年排放量（t/a）</w:t>
            </w:r>
          </w:p>
        </w:tc>
      </w:tr>
      <w:tr w14:paraId="00E1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restart"/>
            <w:noWrap w:val="0"/>
            <w:vAlign w:val="center"/>
          </w:tcPr>
          <w:p w14:paraId="3AFC122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p>
        </w:tc>
        <w:tc>
          <w:tcPr>
            <w:tcW w:w="811" w:type="pct"/>
            <w:vMerge w:val="restart"/>
            <w:noWrap w:val="0"/>
            <w:vAlign w:val="center"/>
          </w:tcPr>
          <w:p w14:paraId="20EC303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全厂综合</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水</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DW00</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w:t>
            </w:r>
          </w:p>
        </w:tc>
        <w:tc>
          <w:tcPr>
            <w:tcW w:w="811" w:type="pct"/>
            <w:noWrap w:val="0"/>
            <w:vAlign w:val="center"/>
          </w:tcPr>
          <w:p w14:paraId="6B7DE5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pH</w:t>
            </w:r>
          </w:p>
        </w:tc>
        <w:tc>
          <w:tcPr>
            <w:tcW w:w="946" w:type="pct"/>
            <w:noWrap w:val="0"/>
            <w:vAlign w:val="center"/>
          </w:tcPr>
          <w:p w14:paraId="1550FC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w:t>
            </w:r>
          </w:p>
        </w:tc>
        <w:tc>
          <w:tcPr>
            <w:tcW w:w="1083" w:type="pct"/>
            <w:noWrap w:val="0"/>
            <w:vAlign w:val="center"/>
          </w:tcPr>
          <w:p w14:paraId="598E437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59" w:type="pct"/>
            <w:noWrap w:val="0"/>
            <w:vAlign w:val="center"/>
          </w:tcPr>
          <w:p w14:paraId="2229F0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14:paraId="6E75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continue"/>
            <w:noWrap w:val="0"/>
            <w:vAlign w:val="center"/>
          </w:tcPr>
          <w:p w14:paraId="2697CCB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vMerge w:val="continue"/>
            <w:noWrap w:val="0"/>
            <w:vAlign w:val="center"/>
          </w:tcPr>
          <w:p w14:paraId="04DF196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noWrap w:val="0"/>
            <w:vAlign w:val="center"/>
          </w:tcPr>
          <w:p w14:paraId="0AFC4A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COD</w:t>
            </w:r>
          </w:p>
        </w:tc>
        <w:tc>
          <w:tcPr>
            <w:tcW w:w="946" w:type="pct"/>
            <w:shd w:val="clear" w:color="auto" w:fill="auto"/>
            <w:noWrap w:val="0"/>
            <w:vAlign w:val="center"/>
          </w:tcPr>
          <w:p w14:paraId="5F5C5A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60</w:t>
            </w:r>
          </w:p>
        </w:tc>
        <w:tc>
          <w:tcPr>
            <w:tcW w:w="3220" w:type="dxa"/>
            <w:noWrap w:val="0"/>
            <w:vAlign w:val="center"/>
          </w:tcPr>
          <w:p w14:paraId="1AFC4B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0.012 </w:t>
            </w:r>
          </w:p>
        </w:tc>
        <w:tc>
          <w:tcPr>
            <w:tcW w:w="2851" w:type="dxa"/>
            <w:shd w:val="clear" w:color="auto" w:fill="auto"/>
            <w:noWrap w:val="0"/>
            <w:vAlign w:val="center"/>
          </w:tcPr>
          <w:p w14:paraId="1E6AD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3.62 </w:t>
            </w:r>
          </w:p>
        </w:tc>
      </w:tr>
      <w:tr w14:paraId="3B31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continue"/>
            <w:noWrap w:val="0"/>
            <w:vAlign w:val="center"/>
          </w:tcPr>
          <w:p w14:paraId="6EE5024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vMerge w:val="continue"/>
            <w:noWrap w:val="0"/>
            <w:vAlign w:val="center"/>
          </w:tcPr>
          <w:p w14:paraId="587F52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noWrap w:val="0"/>
            <w:vAlign w:val="center"/>
          </w:tcPr>
          <w:p w14:paraId="5905B2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BOD</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5</w:t>
            </w:r>
          </w:p>
        </w:tc>
        <w:tc>
          <w:tcPr>
            <w:tcW w:w="946" w:type="pct"/>
            <w:shd w:val="clear" w:color="auto" w:fill="auto"/>
            <w:noWrap w:val="0"/>
            <w:vAlign w:val="center"/>
          </w:tcPr>
          <w:p w14:paraId="064BFC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20</w:t>
            </w:r>
          </w:p>
        </w:tc>
        <w:tc>
          <w:tcPr>
            <w:tcW w:w="3220" w:type="dxa"/>
            <w:noWrap w:val="0"/>
            <w:vAlign w:val="center"/>
          </w:tcPr>
          <w:p w14:paraId="311CC3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2851" w:type="dxa"/>
            <w:shd w:val="clear" w:color="auto" w:fill="auto"/>
            <w:noWrap w:val="0"/>
            <w:vAlign w:val="center"/>
          </w:tcPr>
          <w:p w14:paraId="30C6DB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1.20 </w:t>
            </w:r>
          </w:p>
        </w:tc>
      </w:tr>
      <w:tr w14:paraId="70AE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continue"/>
            <w:noWrap w:val="0"/>
            <w:vAlign w:val="center"/>
          </w:tcPr>
          <w:p w14:paraId="0F923F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vMerge w:val="continue"/>
            <w:noWrap w:val="0"/>
            <w:vAlign w:val="center"/>
          </w:tcPr>
          <w:p w14:paraId="7707E95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noWrap w:val="0"/>
            <w:vAlign w:val="center"/>
          </w:tcPr>
          <w:p w14:paraId="1CE268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SS</w:t>
            </w:r>
          </w:p>
        </w:tc>
        <w:tc>
          <w:tcPr>
            <w:tcW w:w="946" w:type="pct"/>
            <w:shd w:val="clear" w:color="auto" w:fill="auto"/>
            <w:noWrap w:val="0"/>
            <w:vAlign w:val="center"/>
          </w:tcPr>
          <w:p w14:paraId="2C969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20</w:t>
            </w:r>
          </w:p>
        </w:tc>
        <w:tc>
          <w:tcPr>
            <w:tcW w:w="3220" w:type="dxa"/>
            <w:noWrap w:val="0"/>
            <w:vAlign w:val="center"/>
          </w:tcPr>
          <w:p w14:paraId="702B2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2851" w:type="dxa"/>
            <w:shd w:val="clear" w:color="auto" w:fill="auto"/>
            <w:noWrap w:val="0"/>
            <w:vAlign w:val="center"/>
          </w:tcPr>
          <w:p w14:paraId="297BF4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1.21 </w:t>
            </w:r>
          </w:p>
        </w:tc>
      </w:tr>
      <w:tr w14:paraId="1BF0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continue"/>
            <w:noWrap w:val="0"/>
            <w:vAlign w:val="center"/>
          </w:tcPr>
          <w:p w14:paraId="71E0801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vMerge w:val="continue"/>
            <w:noWrap w:val="0"/>
            <w:vAlign w:val="center"/>
          </w:tcPr>
          <w:p w14:paraId="47FD163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noWrap w:val="0"/>
            <w:vAlign w:val="center"/>
          </w:tcPr>
          <w:p w14:paraId="35FB3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NH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-N</w:t>
            </w:r>
          </w:p>
        </w:tc>
        <w:tc>
          <w:tcPr>
            <w:tcW w:w="946" w:type="pct"/>
            <w:shd w:val="clear" w:color="auto" w:fill="auto"/>
            <w:noWrap w:val="0"/>
            <w:vAlign w:val="center"/>
          </w:tcPr>
          <w:p w14:paraId="4745C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8</w:t>
            </w:r>
          </w:p>
        </w:tc>
        <w:tc>
          <w:tcPr>
            <w:tcW w:w="3220" w:type="dxa"/>
            <w:noWrap w:val="0"/>
            <w:vAlign w:val="center"/>
          </w:tcPr>
          <w:p w14:paraId="5C02C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0.0016 </w:t>
            </w:r>
          </w:p>
        </w:tc>
        <w:tc>
          <w:tcPr>
            <w:tcW w:w="2851" w:type="dxa"/>
            <w:shd w:val="clear" w:color="auto" w:fill="auto"/>
            <w:noWrap w:val="0"/>
            <w:vAlign w:val="center"/>
          </w:tcPr>
          <w:p w14:paraId="3C49B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0.48 </w:t>
            </w:r>
          </w:p>
        </w:tc>
      </w:tr>
      <w:tr w14:paraId="0F26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continue"/>
            <w:noWrap w:val="0"/>
            <w:vAlign w:val="center"/>
          </w:tcPr>
          <w:p w14:paraId="7F004B5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vMerge w:val="continue"/>
            <w:noWrap w:val="0"/>
            <w:vAlign w:val="center"/>
          </w:tcPr>
          <w:p w14:paraId="031E529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noWrap w:val="0"/>
            <w:vAlign w:val="center"/>
          </w:tcPr>
          <w:p w14:paraId="4A7112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动植物油</w:t>
            </w:r>
          </w:p>
        </w:tc>
        <w:tc>
          <w:tcPr>
            <w:tcW w:w="946" w:type="pct"/>
            <w:shd w:val="clear" w:color="auto" w:fill="auto"/>
            <w:noWrap w:val="0"/>
            <w:vAlign w:val="center"/>
          </w:tcPr>
          <w:p w14:paraId="3EB812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3</w:t>
            </w:r>
          </w:p>
        </w:tc>
        <w:tc>
          <w:tcPr>
            <w:tcW w:w="3220" w:type="dxa"/>
            <w:noWrap w:val="0"/>
            <w:vAlign w:val="center"/>
          </w:tcPr>
          <w:p w14:paraId="7DA6F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0.0005 </w:t>
            </w:r>
          </w:p>
        </w:tc>
        <w:tc>
          <w:tcPr>
            <w:tcW w:w="2851" w:type="dxa"/>
            <w:shd w:val="clear" w:color="auto" w:fill="auto"/>
            <w:noWrap w:val="0"/>
            <w:vAlign w:val="center"/>
          </w:tcPr>
          <w:p w14:paraId="3976E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0.16 </w:t>
            </w:r>
          </w:p>
        </w:tc>
      </w:tr>
      <w:tr w14:paraId="13EA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continue"/>
            <w:noWrap w:val="0"/>
            <w:vAlign w:val="center"/>
          </w:tcPr>
          <w:p w14:paraId="341949F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vMerge w:val="continue"/>
            <w:noWrap w:val="0"/>
            <w:vAlign w:val="center"/>
          </w:tcPr>
          <w:p w14:paraId="447C41B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noWrap w:val="0"/>
            <w:vAlign w:val="center"/>
          </w:tcPr>
          <w:p w14:paraId="17C216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TP</w:t>
            </w:r>
          </w:p>
        </w:tc>
        <w:tc>
          <w:tcPr>
            <w:tcW w:w="946" w:type="pct"/>
            <w:shd w:val="clear" w:color="auto" w:fill="auto"/>
            <w:noWrap w:val="0"/>
            <w:vAlign w:val="center"/>
          </w:tcPr>
          <w:p w14:paraId="128EC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1</w:t>
            </w:r>
          </w:p>
        </w:tc>
        <w:tc>
          <w:tcPr>
            <w:tcW w:w="3220" w:type="dxa"/>
            <w:noWrap w:val="0"/>
            <w:vAlign w:val="center"/>
          </w:tcPr>
          <w:p w14:paraId="06BF2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c>
          <w:tcPr>
            <w:tcW w:w="2851" w:type="dxa"/>
            <w:shd w:val="clear" w:color="auto" w:fill="auto"/>
            <w:noWrap w:val="0"/>
            <w:vAlign w:val="center"/>
          </w:tcPr>
          <w:p w14:paraId="5CBE2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r>
      <w:tr w14:paraId="2EB4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continue"/>
            <w:noWrap w:val="0"/>
            <w:vAlign w:val="center"/>
          </w:tcPr>
          <w:p w14:paraId="38151C2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vMerge w:val="continue"/>
            <w:noWrap w:val="0"/>
            <w:vAlign w:val="center"/>
          </w:tcPr>
          <w:p w14:paraId="5BDEF42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shd w:val="clear" w:color="auto" w:fill="auto"/>
            <w:noWrap w:val="0"/>
            <w:vAlign w:val="center"/>
          </w:tcPr>
          <w:p w14:paraId="27B524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TN</w:t>
            </w:r>
          </w:p>
        </w:tc>
        <w:tc>
          <w:tcPr>
            <w:tcW w:w="946" w:type="pct"/>
            <w:shd w:val="clear" w:color="auto" w:fill="auto"/>
            <w:noWrap w:val="0"/>
            <w:vAlign w:val="center"/>
          </w:tcPr>
          <w:p w14:paraId="3AA4C4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20</w:t>
            </w:r>
          </w:p>
        </w:tc>
        <w:tc>
          <w:tcPr>
            <w:tcW w:w="3220" w:type="dxa"/>
            <w:shd w:val="clear" w:color="auto" w:fill="auto"/>
            <w:noWrap w:val="0"/>
            <w:vAlign w:val="center"/>
          </w:tcPr>
          <w:p w14:paraId="5AA3A0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0.0031 </w:t>
            </w:r>
          </w:p>
        </w:tc>
        <w:tc>
          <w:tcPr>
            <w:tcW w:w="2851" w:type="dxa"/>
            <w:shd w:val="clear" w:color="auto" w:fill="auto"/>
            <w:noWrap w:val="0"/>
            <w:vAlign w:val="center"/>
          </w:tcPr>
          <w:p w14:paraId="11BDB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0.94 </w:t>
            </w:r>
          </w:p>
        </w:tc>
      </w:tr>
      <w:tr w14:paraId="0BA3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6" w:type="pct"/>
            <w:vMerge w:val="continue"/>
            <w:noWrap w:val="0"/>
            <w:vAlign w:val="center"/>
          </w:tcPr>
          <w:p w14:paraId="2617B4D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vMerge w:val="continue"/>
            <w:noWrap w:val="0"/>
            <w:vAlign w:val="center"/>
          </w:tcPr>
          <w:p w14:paraId="14EB3CE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811" w:type="pct"/>
            <w:noWrap w:val="0"/>
            <w:vAlign w:val="center"/>
          </w:tcPr>
          <w:p w14:paraId="23AF32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LAS</w:t>
            </w:r>
          </w:p>
        </w:tc>
        <w:tc>
          <w:tcPr>
            <w:tcW w:w="946" w:type="pct"/>
            <w:shd w:val="clear" w:color="auto" w:fill="auto"/>
            <w:noWrap w:val="0"/>
            <w:vAlign w:val="center"/>
          </w:tcPr>
          <w:p w14:paraId="474B4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Cs/>
                <w:snapToGrid w:val="0"/>
                <w:color w:val="000000" w:themeColor="text1"/>
                <w:kern w:val="0"/>
                <w:sz w:val="21"/>
                <w:szCs w:val="21"/>
                <w:highlight w:val="none"/>
                <w:lang w:val="en-US" w:eastAsia="zh-CN" w:bidi="ar-SA"/>
                <w14:textFill>
                  <w14:solidFill>
                    <w14:schemeClr w14:val="tx1"/>
                  </w14:solidFill>
                </w14:textFill>
              </w:rPr>
              <w:t>1</w:t>
            </w:r>
          </w:p>
        </w:tc>
        <w:tc>
          <w:tcPr>
            <w:tcW w:w="3220" w:type="dxa"/>
            <w:noWrap w:val="0"/>
            <w:vAlign w:val="center"/>
          </w:tcPr>
          <w:p w14:paraId="3961A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0.00002 </w:t>
            </w:r>
          </w:p>
        </w:tc>
        <w:tc>
          <w:tcPr>
            <w:tcW w:w="2851" w:type="dxa"/>
            <w:shd w:val="clear" w:color="auto" w:fill="auto"/>
            <w:noWrap w:val="0"/>
            <w:vAlign w:val="center"/>
          </w:tcPr>
          <w:p w14:paraId="08D51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0.007 </w:t>
            </w:r>
          </w:p>
        </w:tc>
      </w:tr>
    </w:tbl>
    <w:p w14:paraId="1F53FF7C">
      <w:pPr>
        <w:ind w:left="0" w:leftChars="0" w:firstLine="0" w:firstLineChars="0"/>
        <w:rPr>
          <w:color w:val="000000" w:themeColor="text1"/>
          <w:highlight w:val="none"/>
          <w14:textFill>
            <w14:solidFill>
              <w14:schemeClr w14:val="tx1"/>
            </w14:solidFill>
          </w14:textFill>
        </w:rPr>
        <w:sectPr>
          <w:pgSz w:w="16840" w:h="11907" w:orient="landscape"/>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6"/>
        <w:gridCol w:w="9247"/>
      </w:tblGrid>
      <w:tr w14:paraId="67411DF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021" w:hRule="atLeast"/>
        </w:trPr>
        <w:tc>
          <w:tcPr>
            <w:tcW w:w="699" w:type="dxa"/>
            <w:vAlign w:val="center"/>
          </w:tcPr>
          <w:p w14:paraId="20A91B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8"/>
                <w:szCs w:val="28"/>
                <w:highlight w:val="none"/>
                <w14:textFill>
                  <w14:solidFill>
                    <w14:schemeClr w14:val="tx1"/>
                  </w14:solidFill>
                </w14:textFill>
              </w:rPr>
            </w:pPr>
            <w:r>
              <w:rPr>
                <w:bCs/>
                <w:color w:val="000000" w:themeColor="text1"/>
                <w:szCs w:val="21"/>
                <w:highlight w:val="none"/>
                <w14:textFill>
                  <w14:solidFill>
                    <w14:schemeClr w14:val="tx1"/>
                  </w14:solidFill>
                </w14:textFill>
              </w:rPr>
              <w:t>运营期环境影响和保护措施</w:t>
            </w:r>
          </w:p>
        </w:tc>
        <w:tc>
          <w:tcPr>
            <w:tcW w:w="9028" w:type="dxa"/>
          </w:tcPr>
          <w:p w14:paraId="6F7368FD">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w:t>
            </w:r>
            <w:r>
              <w:rPr>
                <w:rFonts w:hint="eastAsia" w:cs="Times New Roman"/>
                <w:b/>
                <w:bCs/>
                <w:snapToGrid w:val="0"/>
                <w:color w:val="000000" w:themeColor="text1"/>
                <w:spacing w:val="0"/>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）污水处理设施可行性分析</w:t>
            </w:r>
          </w:p>
          <w:p w14:paraId="1D552D2F">
            <w:pPr>
              <w:keepNext w:val="0"/>
              <w:keepLines w:val="0"/>
              <w:pageBreakBefore w:val="0"/>
              <w:widowControl w:val="0"/>
              <w:kinsoku/>
              <w:wordWrap/>
              <w:overflowPunct/>
              <w:topLinePunct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项目于厂区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北角设置污水处理站1座，用于处理</w:t>
            </w:r>
            <w:r>
              <w:rPr>
                <w:rFonts w:hint="eastAsia" w:cs="Times New Roman"/>
                <w:color w:val="000000" w:themeColor="text1"/>
                <w:sz w:val="24"/>
                <w:highlight w:val="none"/>
                <w:lang w:val="en-US" w:eastAsia="zh-CN"/>
                <w14:textFill>
                  <w14:solidFill>
                    <w14:schemeClr w14:val="tx1"/>
                  </w14:solidFill>
                </w14:textFill>
              </w:rPr>
              <w:t>全厂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综合废水，污水处理站采取的处理工艺为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格栅+</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隔油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+调节+气浮+UASB+一级接触氧化+沉淀+二级接触氧化+沉淀</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，设计处理能力为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750m</w:t>
            </w:r>
            <w:r>
              <w:rPr>
                <w:rFonts w:hint="eastAsia"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/d。项目生产废水、</w:t>
            </w:r>
            <w:r>
              <w:rPr>
                <w:rFonts w:hint="eastAsia" w:cs="Times New Roman"/>
                <w:color w:val="000000" w:themeColor="text1"/>
                <w:sz w:val="24"/>
                <w:highlight w:val="none"/>
                <w:lang w:val="en-US" w:eastAsia="zh-CN"/>
                <w14:textFill>
                  <w14:solidFill>
                    <w14:schemeClr w14:val="tx1"/>
                  </w14:solidFill>
                </w14:textFill>
              </w:rPr>
              <w:t>生活</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废水和</w:t>
            </w:r>
            <w:r>
              <w:rPr>
                <w:rFonts w:hint="eastAsia" w:cs="Times New Roman"/>
                <w:color w:val="000000" w:themeColor="text1"/>
                <w:sz w:val="24"/>
                <w:highlight w:val="none"/>
                <w:lang w:val="en-US" w:eastAsia="zh-CN"/>
                <w14:textFill>
                  <w14:solidFill>
                    <w14:schemeClr w14:val="tx1"/>
                  </w14:solidFill>
                </w14:textFill>
              </w:rPr>
              <w:t>食堂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废水经污水处理站处理后，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COD、BOD</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、SS、动植物油执行《肉类加工工业水污染物排放标准》（GB13457-92）表3中肉制品加工三级标准</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氨氮、总磷、总氮执行《污水排入城镇下水道水质标准》（</w:t>
            </w:r>
            <w:r>
              <w:rPr>
                <w:rFonts w:hint="default" w:ascii="Times New Roman" w:hAnsi="Times New Roman" w:eastAsia="宋体" w:cs="Times New Roman"/>
                <w:color w:val="000000" w:themeColor="text1"/>
                <w:sz w:val="24"/>
                <w:szCs w:val="24"/>
                <w:highlight w:val="none"/>
                <w14:textFill>
                  <w14:solidFill>
                    <w14:schemeClr w14:val="tx1"/>
                  </w14:solidFill>
                </w14:textFill>
              </w:rPr>
              <w:t>GB/T 31962-2015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）B级标准</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LAS执行《污水综合排放标准》（GB8978-96）中三级标准</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处理达</w:t>
            </w:r>
            <w:r>
              <w:rPr>
                <w:rFonts w:hint="eastAsia"/>
                <w:color w:val="000000" w:themeColor="text1"/>
                <w:kern w:val="0"/>
                <w:szCs w:val="21"/>
                <w:highlight w:val="none"/>
                <w:lang w:eastAsia="zh-CN"/>
                <w14:textFill>
                  <w14:solidFill>
                    <w14:schemeClr w14:val="tx1"/>
                  </w14:solidFill>
                </w14:textFill>
              </w:rPr>
              <w:t>标</w:t>
            </w:r>
            <w:r>
              <w:rPr>
                <w:color w:val="000000" w:themeColor="text1"/>
                <w:kern w:val="0"/>
                <w:szCs w:val="21"/>
                <w:highlight w:val="none"/>
                <w14:textFill>
                  <w14:solidFill>
                    <w14:schemeClr w14:val="tx1"/>
                  </w14:solidFill>
                </w14:textFill>
              </w:rPr>
              <w:t>后</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接入市政管网排至</w:t>
            </w:r>
            <w:r>
              <w:rPr>
                <w:rFonts w:hint="eastAsia"/>
                <w:color w:val="000000" w:themeColor="text1"/>
                <w:highlight w:val="none"/>
                <w14:textFill>
                  <w14:solidFill>
                    <w14:schemeClr w14:val="tx1"/>
                  </w14:solidFill>
                </w14:textFill>
              </w:rPr>
              <w:t>园区污水</w:t>
            </w:r>
            <w:r>
              <w:rPr>
                <w:color w:val="000000" w:themeColor="text1"/>
                <w:highlight w:val="none"/>
                <w14:textFill>
                  <w14:solidFill>
                    <w14:schemeClr w14:val="tx1"/>
                  </w14:solidFill>
                </w14:textFill>
              </w:rPr>
              <w:t>处理厂</w:t>
            </w:r>
            <w:r>
              <w:rPr>
                <w:rFonts w:hint="eastAsia"/>
                <w:color w:val="000000" w:themeColor="text1"/>
                <w:highlight w:val="none"/>
                <w14:textFill>
                  <w14:solidFill>
                    <w14:schemeClr w14:val="tx1"/>
                  </w14:solidFill>
                </w14:textFill>
              </w:rPr>
              <w:t>，最终处理达到《城镇污水处理厂污染物排放标准》（GB18918-2002）一级B标准后排入建梁河</w:t>
            </w:r>
            <w:r>
              <w:rPr>
                <w:rFonts w:hint="eastAsia"/>
                <w:color w:val="000000" w:themeColor="text1"/>
                <w:highlight w:val="none"/>
                <w:lang w:eastAsia="zh-CN"/>
                <w14:textFill>
                  <w14:solidFill>
                    <w14:schemeClr w14:val="tx1"/>
                  </w14:solidFill>
                </w14:textFill>
              </w:rPr>
              <w:t>。</w:t>
            </w:r>
          </w:p>
          <w:p w14:paraId="032BDD81">
            <w:pPr>
              <w:ind w:firstLine="480"/>
              <w:rPr>
                <w:color w:val="000000" w:themeColor="text1"/>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工艺流程图如下：</w:t>
            </w:r>
          </w:p>
          <w:p w14:paraId="79E77B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8" o:spt="75" type="#_x0000_t75" style="height:555pt;width:318.35pt;" o:ole="t" filled="f" o:preferrelative="t" stroked="f" coordsize="21600,21600">
                  <v:path/>
                  <v:fill on="f" focussize="0,0"/>
                  <v:stroke on="f"/>
                  <v:imagedata r:id="rId25" o:title=""/>
                  <o:lock v:ext="edit" aspectratio="t"/>
                  <w10:wrap type="none"/>
                  <w10:anchorlock/>
                </v:shape>
                <o:OLEObject Type="Embed" ProgID="Visio.Drawing.11" ShapeID="_x0000_i1028" DrawAspect="Content" ObjectID="_1468075728" r:id="rId24">
                  <o:LockedField>false</o:LockedField>
                </o:OLEObject>
              </w:object>
            </w:r>
          </w:p>
          <w:p w14:paraId="406BD0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图4</w:t>
            </w:r>
            <w:r>
              <w:rPr>
                <w:rFonts w:hint="eastAsia"/>
                <w:b/>
                <w:bCs/>
                <w:color w:val="000000" w:themeColor="text1"/>
                <w:highlight w:val="none"/>
                <w:lang w:val="en-US" w:eastAsia="zh-CN"/>
                <w14:textFill>
                  <w14:solidFill>
                    <w14:schemeClr w14:val="tx1"/>
                  </w14:solidFill>
                </w14:textFill>
              </w:rPr>
              <w:t>.2</w:t>
            </w:r>
            <w:r>
              <w:rPr>
                <w:rFonts w:hint="eastAsia"/>
                <w:b/>
                <w:bCs/>
                <w:color w:val="000000" w:themeColor="text1"/>
                <w:highlight w:val="none"/>
                <w14:textFill>
                  <w14:solidFill>
                    <w14:schemeClr w14:val="tx1"/>
                  </w14:solidFill>
                </w14:textFill>
              </w:rPr>
              <w:t>-1 污水处理站工艺流程图</w:t>
            </w:r>
          </w:p>
          <w:p w14:paraId="65302E07">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工艺流程简介：</w:t>
            </w:r>
          </w:p>
          <w:p w14:paraId="5AFCE8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废水经收集进入格栅，通过格栅去除大颗粒物质或悬浮物后自流进入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集水池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集水池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中去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除浮油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。污水经提升泵进入调节池，调节池起均质均量的作用，避免水质水量的波动对系统造成冲击。</w:t>
            </w:r>
          </w:p>
          <w:p w14:paraId="43BEB688">
            <w:pPr>
              <w:keepNext w:val="0"/>
              <w:keepLines w:val="0"/>
              <w:widowControl/>
              <w:suppressLineNumbers w:val="0"/>
              <w:jc w:val="left"/>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污水经提升泵入气浮系统，气浮可去除前段未能沉淀的悬浮物，气浮后进入水解酸化系统，水解酸化将脂类进行断链分解，并对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分子进行预处理，预处理后的污水进入UASB反应器进行厌氧反应，彻底将大分子分解为小分子。</w:t>
            </w:r>
          </w:p>
          <w:p w14:paraId="5036F509">
            <w:pPr>
              <w:ind w:firstLine="48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通过厌氧处理后的污水</w:t>
            </w:r>
            <w:r>
              <w:rPr>
                <w:rFonts w:hint="eastAsia" w:cs="Times New Roman"/>
                <w:color w:val="000000" w:themeColor="text1"/>
                <w:sz w:val="24"/>
                <w:highlight w:val="none"/>
                <w:lang w:val="en-US" w:eastAsia="zh-CN"/>
                <w14:textFill>
                  <w14:solidFill>
                    <w14:schemeClr w14:val="tx1"/>
                  </w14:solidFill>
                </w14:textFill>
              </w:rPr>
              <w:t>进入</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一级接触氧化</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首先，‌通过通入氧气将其传递到污水中，‌使氧气与污水充分接触。‌接着，‌将氧气与污水进行充分混合，‌以确保氧气能够与污水中的有机物质充分接触。‌在充分接触的条件下，‌氧气与污水中的有机物发生氧化反应，‌将有机物质降解为无害物质。‌经过氧化反应后，‌一些固体颗粒和悬浮物会沉淀到底部，‌形成污泥。一级接触氧化</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池进入沉淀池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，‌将沉淀的污泥与上清液分离</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污泥排放到污泥池</w:t>
            </w:r>
            <w:r>
              <w:rPr>
                <w:rFonts w:hint="eastAsia" w:ascii="Times New Roman" w:hAnsi="Times New Roman" w:cs="Times New Roman"/>
                <w:color w:val="000000" w:themeColor="text1"/>
                <w:sz w:val="24"/>
                <w:highlight w:val="none"/>
                <w:lang w:val="en-US" w:eastAsia="zh-CN"/>
                <w14:textFill>
                  <w14:solidFill>
                    <w14:schemeClr w14:val="tx1"/>
                  </w14:solidFill>
                </w14:textFill>
              </w:rPr>
              <w:t>。上清液进入二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级接触氧化</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池</w:t>
            </w:r>
            <w:r>
              <w:rPr>
                <w:rFonts w:hint="eastAsia" w:ascii="Times New Roman" w:hAnsi="Times New Roman" w:cs="Times New Roman"/>
                <w:color w:val="000000" w:themeColor="text1"/>
                <w:sz w:val="24"/>
                <w:highlight w:val="none"/>
                <w:lang w:val="en-US" w:eastAsia="zh-CN"/>
                <w14:textFill>
                  <w14:solidFill>
                    <w14:schemeClr w14:val="tx1"/>
                  </w14:solidFill>
                </w14:textFill>
              </w:rPr>
              <w:t>，再次进行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泥水分离</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上清液达标排放</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污泥排放到污泥池</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1EC0BDC5">
            <w:pPr>
              <w:keepNext w:val="0"/>
              <w:keepLines w:val="0"/>
              <w:widowControl/>
              <w:suppressLineNumbers w:val="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污水处理设施技术可行性分析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：项目污水处理站采用的处理工艺为“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格栅+</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隔油</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调节+气浮+UASB+一级接触氧化+沉淀+二级接触氧化+沉淀</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”，属于《屠宰及肉类加工业污染防治可行技术指南》（</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HJ1285-2023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）中“表 7 屠宰及肉类加工工业排污单位废水治理可行技术参照表”中推荐的“不含羽绒清洗废水”的“厂内综合污水处理站的综合污水、专门处理屠宰及肉类加工废水的集中式污水处理厂综合污水（屠宰及肉制品加工生产废水、生活污水、初期雨水等）”间接排放的可行技术“（1）预处理：粗（细）格栅、</w:t>
            </w:r>
            <w:r>
              <w:rPr>
                <w:rFonts w:hint="eastAsia" w:cs="Times New Roman"/>
                <w:color w:val="000000" w:themeColor="text1"/>
                <w:sz w:val="24"/>
                <w:highlight w:val="none"/>
                <w:lang w:val="en-US" w:eastAsia="zh-CN"/>
                <w14:textFill>
                  <w14:solidFill>
                    <w14:schemeClr w14:val="tx1"/>
                  </w14:solidFill>
                </w14:textFill>
              </w:rPr>
              <w:t>隔油、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调节、酸化、气浮。</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2）生化</w:t>
            </w:r>
            <w:r>
              <w:rPr>
                <w:rFonts w:hint="eastAsia" w:cs="Times New Roman"/>
                <w:color w:val="000000" w:themeColor="text1"/>
                <w:sz w:val="24"/>
                <w:highlight w:val="none"/>
                <w:lang w:val="en-US" w:eastAsia="zh-CN"/>
                <w14:textFill>
                  <w14:solidFill>
                    <w14:schemeClr w14:val="tx1"/>
                  </w14:solidFill>
                </w14:textFill>
              </w:rPr>
              <w:t>法</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处理：升流式厌氧污泥床（UASB）+生物接触氧化法）”。</w:t>
            </w:r>
          </w:p>
          <w:p w14:paraId="7560FC81">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综上，项目污水处理站污水处理措施可行。</w:t>
            </w:r>
          </w:p>
          <w:p w14:paraId="458CC20B">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jc w:val="left"/>
              <w:textAlignment w:val="auto"/>
              <w:rPr>
                <w:snapToGrid w:val="0"/>
                <w:color w:val="000000" w:themeColor="text1"/>
                <w:kern w:val="0"/>
                <w:sz w:val="24"/>
                <w:szCs w:val="21"/>
                <w:highlight w:val="none"/>
                <w14:textFill>
                  <w14:solidFill>
                    <w14:schemeClr w14:val="tx1"/>
                  </w14:solidFill>
                </w14:textFill>
              </w:rPr>
            </w:pPr>
            <w:r>
              <w:rPr>
                <w:rFonts w:hint="eastAsia" w:cs="Times New Roman"/>
                <w:b/>
                <w:bCs/>
                <w:snapToGrid w:val="0"/>
                <w:color w:val="000000" w:themeColor="text1"/>
                <w:kern w:val="0"/>
                <w:sz w:val="24"/>
                <w:szCs w:val="24"/>
                <w:highlight w:val="none"/>
                <w:lang w:eastAsia="zh-CN"/>
                <w14:textFill>
                  <w14:solidFill>
                    <w14:schemeClr w14:val="tx1"/>
                  </w14:solidFill>
                </w14:textFill>
              </w:rPr>
              <w:t>（</w:t>
            </w:r>
            <w:r>
              <w:rPr>
                <w:rFonts w:hint="eastAsia" w:cs="Times New Roman"/>
                <w:b/>
                <w:bCs/>
                <w:snapToGrid w:val="0"/>
                <w:color w:val="000000" w:themeColor="text1"/>
                <w:kern w:val="0"/>
                <w:sz w:val="24"/>
                <w:szCs w:val="24"/>
                <w:highlight w:val="none"/>
                <w:lang w:val="en-US" w:eastAsia="zh-CN"/>
                <w14:textFill>
                  <w14:solidFill>
                    <w14:schemeClr w14:val="tx1"/>
                  </w14:solidFill>
                </w14:textFill>
              </w:rPr>
              <w:t>3</w:t>
            </w:r>
            <w:r>
              <w:rPr>
                <w:rFonts w:hint="eastAsia" w:cs="Times New Roman"/>
                <w:b/>
                <w:bCs/>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bCs/>
                <w:snapToGrid w:val="0"/>
                <w:color w:val="000000" w:themeColor="text1"/>
                <w:kern w:val="0"/>
                <w:sz w:val="24"/>
                <w:szCs w:val="24"/>
                <w:highlight w:val="none"/>
                <w:lang w:eastAsia="zh-CN"/>
                <w14:textFill>
                  <w14:solidFill>
                    <w14:schemeClr w14:val="tx1"/>
                  </w14:solidFill>
                </w14:textFill>
              </w:rPr>
              <w:t>依托南溪组团A区</w:t>
            </w:r>
            <w:r>
              <w:rPr>
                <w:rFonts w:hint="eastAsia" w:ascii="Times New Roman" w:hAnsi="Times New Roman" w:eastAsia="宋体" w:cs="Times New Roman"/>
                <w:b/>
                <w:bCs/>
                <w:snapToGrid w:val="0"/>
                <w:color w:val="000000" w:themeColor="text1"/>
                <w:kern w:val="0"/>
                <w:sz w:val="24"/>
                <w:szCs w:val="24"/>
                <w:highlight w:val="none"/>
                <w:lang w:eastAsia="zh-CN"/>
                <w14:textFill>
                  <w14:solidFill>
                    <w14:schemeClr w14:val="tx1"/>
                  </w14:solidFill>
                </w14:textFill>
              </w:rPr>
              <w:t>污水处理厂</w:t>
            </w:r>
            <w:r>
              <w:rPr>
                <w:rFonts w:hint="default" w:ascii="Times New Roman" w:hAnsi="Times New Roman" w:eastAsia="宋体" w:cs="Times New Roman"/>
                <w:b/>
                <w:bCs/>
                <w:snapToGrid w:val="0"/>
                <w:color w:val="000000" w:themeColor="text1"/>
                <w:kern w:val="0"/>
                <w:sz w:val="24"/>
                <w:szCs w:val="24"/>
                <w:highlight w:val="none"/>
                <w:lang w:eastAsia="zh-CN"/>
                <w14:textFill>
                  <w14:solidFill>
                    <w14:schemeClr w14:val="tx1"/>
                  </w14:solidFill>
                </w14:textFill>
              </w:rPr>
              <w:t>可行性</w:t>
            </w:r>
            <w:r>
              <w:rPr>
                <w:rFonts w:hint="eastAsia" w:ascii="Times New Roman" w:hAnsi="Times New Roman" w:eastAsia="宋体" w:cs="Times New Roman"/>
                <w:b/>
                <w:bCs/>
                <w:snapToGrid w:val="0"/>
                <w:color w:val="000000" w:themeColor="text1"/>
                <w:kern w:val="0"/>
                <w:sz w:val="24"/>
                <w:szCs w:val="24"/>
                <w:highlight w:val="none"/>
                <w:lang w:eastAsia="zh-CN"/>
                <w14:textFill>
                  <w14:solidFill>
                    <w14:schemeClr w14:val="tx1"/>
                  </w14:solidFill>
                </w14:textFill>
              </w:rPr>
              <w:t>分析</w:t>
            </w:r>
          </w:p>
          <w:p w14:paraId="386A3F11">
            <w:pPr>
              <w:keepNext w:val="0"/>
              <w:keepLines w:val="0"/>
              <w:pageBreakBefore w:val="0"/>
              <w:widowControl w:val="0"/>
              <w:numPr>
                <w:ilvl w:val="0"/>
                <w:numId w:val="0"/>
              </w:numPr>
              <w:kinsoku/>
              <w:wordWrap/>
              <w:overflowPunct/>
              <w:topLinePunct w:val="0"/>
              <w:autoSpaceDE/>
              <w:autoSpaceDN/>
              <w:bidi w:val="0"/>
              <w:ind w:leftChars="0" w:firstLine="480" w:firstLineChars="200"/>
              <w:jc w:val="both"/>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南溪组团A区污水处理厂处理规模2万m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d，采用A/O处理工艺，主要对园区投产企业的生活污水、生产废水及公共设置、交通设施等产生的生活污水进行处理，设计出水水质满足《城镇污水处理厂污染物排放标准》（GB18918-2002）中一级标准的B级标准。污水处理厂于2014年8月开工建设，2017年8月进行了调试，目前园区污水管完善，所有企业均能进入园区污水处理厂。根据园区污水处理厂运行记录，目前园区污水剩余处理能力约7000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/d。本项目废水最大</w:t>
            </w:r>
            <w:r>
              <w:rPr>
                <w:rFonts w:hint="eastAsia"/>
                <w:color w:val="000000" w:themeColor="text1"/>
                <w:szCs w:val="21"/>
                <w:highlight w:val="none"/>
                <w14:textFill>
                  <w14:solidFill>
                    <w14:schemeClr w14:val="tx1"/>
                  </w14:solidFill>
                </w14:textFill>
              </w:rPr>
              <w:t>排放</w:t>
            </w:r>
            <w:r>
              <w:rPr>
                <w:color w:val="000000" w:themeColor="text1"/>
                <w:szCs w:val="21"/>
                <w:highlight w:val="none"/>
                <w14:textFill>
                  <w14:solidFill>
                    <w14:schemeClr w14:val="tx1"/>
                  </w14:solidFill>
                </w14:textFill>
              </w:rPr>
              <w:t>量为</w:t>
            </w:r>
            <w:r>
              <w:rPr>
                <w:rFonts w:hint="eastAsia"/>
                <w:color w:val="000000" w:themeColor="text1"/>
                <w:szCs w:val="21"/>
                <w:highlight w:val="none"/>
                <w:lang w:val="en-US" w:eastAsia="zh-CN"/>
                <w14:textFill>
                  <w14:solidFill>
                    <w14:schemeClr w14:val="tx1"/>
                  </w14:solidFill>
                </w14:textFill>
              </w:rPr>
              <w:t>201.18</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/d，在园区污水处理厂可接受能力内，本项目的建成不会对污水处理厂的正常运营造成影响。因此项目废水排入园区污水处理厂是可行的。</w:t>
            </w:r>
          </w:p>
          <w:p w14:paraId="2C73E65F">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color w:val="000000" w:themeColor="text1"/>
                <w:sz w:val="24"/>
                <w:szCs w:val="32"/>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32"/>
                <w:highlight w:val="none"/>
                <w14:textFill>
                  <w14:solidFill>
                    <w14:schemeClr w14:val="tx1"/>
                  </w14:solidFill>
                </w14:textFill>
              </w:rPr>
              <w:t>监测要求</w:t>
            </w:r>
          </w:p>
          <w:p w14:paraId="434A249D">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根据《固定污染源排污许可分类管理名录》（2019版），本项目属于简化管理，根据《排污单位自行监测技术指南 农副食品加工业》（HJ986-2018）及</w:t>
            </w:r>
            <w:r>
              <w:rPr>
                <w:rFonts w:hint="default" w:ascii="Times New Roman" w:hAnsi="Times New Roman" w:eastAsia="宋体" w:cs="Times New Roman"/>
                <w:bCs/>
                <w:snapToGrid w:val="0"/>
                <w:color w:val="000000" w:themeColor="text1"/>
                <w:spacing w:val="0"/>
                <w:kern w:val="0"/>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排污单位自行监测技术指南</w:t>
            </w:r>
            <w:r>
              <w:rPr>
                <w:rFonts w:hint="eastAsia"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Cs/>
                <w:snapToGrid w:val="0"/>
                <w:color w:val="000000" w:themeColor="text1"/>
                <w:spacing w:val="0"/>
                <w:kern w:val="0"/>
                <w:sz w:val="24"/>
                <w:szCs w:val="24"/>
                <w:highlight w:val="none"/>
                <w:lang w:eastAsia="zh-CN"/>
                <w14:textFill>
                  <w14:solidFill>
                    <w14:schemeClr w14:val="tx1"/>
                  </w14:solidFill>
                </w14:textFill>
              </w:rPr>
              <w:t>食品制造</w:t>
            </w:r>
            <w:r>
              <w:rPr>
                <w:rFonts w:hint="default" w:ascii="Times New Roman" w:hAnsi="Times New Roman" w:eastAsia="宋体" w:cs="Times New Roman"/>
                <w:bCs/>
                <w:snapToGrid w:val="0"/>
                <w:color w:val="000000" w:themeColor="text1"/>
                <w:spacing w:val="0"/>
                <w:kern w:val="0"/>
                <w:sz w:val="24"/>
                <w:szCs w:val="24"/>
                <w:highlight w:val="none"/>
                <w14:textFill>
                  <w14:solidFill>
                    <w14:schemeClr w14:val="tx1"/>
                  </w14:solidFill>
                </w14:textFill>
              </w:rPr>
              <w:t>》（HJ</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 xml:space="preserve"> 1084</w:t>
            </w:r>
            <w:r>
              <w:rPr>
                <w:rFonts w:hint="default" w:ascii="Times New Roman" w:hAnsi="Times New Roman" w:eastAsia="宋体" w:cs="Times New Roman"/>
                <w:bCs/>
                <w:snapToGrid w:val="0"/>
                <w:color w:val="000000" w:themeColor="text1"/>
                <w:spacing w:val="0"/>
                <w:kern w:val="0"/>
                <w:sz w:val="24"/>
                <w:szCs w:val="24"/>
                <w:highlight w:val="none"/>
                <w14:textFill>
                  <w14:solidFill>
                    <w14:schemeClr w14:val="tx1"/>
                  </w14:solidFill>
                </w14:textFill>
              </w:rPr>
              <w:t>-20</w:t>
            </w:r>
            <w:r>
              <w:rPr>
                <w:rFonts w:hint="default" w:ascii="Times New Roman" w:hAnsi="Times New Roman" w:eastAsia="宋体" w:cs="Times New Roman"/>
                <w:bCs/>
                <w:snapToGrid w:val="0"/>
                <w:color w:val="000000" w:themeColor="text1"/>
                <w:spacing w:val="0"/>
                <w:kern w:val="0"/>
                <w:sz w:val="24"/>
                <w:szCs w:val="24"/>
                <w:highlight w:val="none"/>
                <w:lang w:val="en-US" w:eastAsia="zh-CN"/>
                <w14:textFill>
                  <w14:solidFill>
                    <w14:schemeClr w14:val="tx1"/>
                  </w14:solidFill>
                </w14:textFill>
              </w:rPr>
              <w:t>20</w:t>
            </w:r>
            <w:r>
              <w:rPr>
                <w:rFonts w:hint="default" w:ascii="Times New Roman" w:hAnsi="Times New Roman" w:eastAsia="宋体" w:cs="Times New Roman"/>
                <w:bCs/>
                <w:snapToGrid w:val="0"/>
                <w:color w:val="000000" w:themeColor="text1"/>
                <w:spacing w:val="0"/>
                <w:kern w:val="0"/>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相关要求，项目废水监测计划详见表4.2-</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12</w:t>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p w14:paraId="5EE4B807">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eastAsia="宋体" w:cs="Times New Roman"/>
                <w:b/>
                <w:color w:val="000000" w:themeColor="text1"/>
                <w:sz w:val="24"/>
                <w:szCs w:val="32"/>
                <w:highlight w:val="none"/>
                <w14:textFill>
                  <w14:solidFill>
                    <w14:schemeClr w14:val="tx1"/>
                  </w14:solidFill>
                </w14:textFill>
              </w:rPr>
            </w:pPr>
            <w:r>
              <w:rPr>
                <w:rFonts w:hint="default" w:ascii="Times New Roman" w:hAnsi="Times New Roman" w:eastAsia="宋体" w:cs="Times New Roman"/>
                <w:b/>
                <w:color w:val="000000" w:themeColor="text1"/>
                <w:sz w:val="24"/>
                <w:szCs w:val="32"/>
                <w:highlight w:val="none"/>
                <w14:textFill>
                  <w14:solidFill>
                    <w14:schemeClr w14:val="tx1"/>
                  </w14:solidFill>
                </w14:textFill>
              </w:rPr>
              <w:t>表</w:t>
            </w:r>
            <w:r>
              <w:rPr>
                <w:rFonts w:hint="default" w:ascii="Times New Roman" w:hAnsi="Times New Roman" w:eastAsia="宋体" w:cs="Times New Roman"/>
                <w:b/>
                <w:color w:val="000000" w:themeColor="text1"/>
                <w:sz w:val="24"/>
                <w:szCs w:val="32"/>
                <w:highlight w:val="none"/>
                <w:lang w:val="en-US" w:eastAsia="zh-CN"/>
                <w14:textFill>
                  <w14:solidFill>
                    <w14:schemeClr w14:val="tx1"/>
                  </w14:solidFill>
                </w14:textFill>
              </w:rPr>
              <w:t>4.2-</w:t>
            </w:r>
            <w:r>
              <w:rPr>
                <w:rFonts w:hint="eastAsia" w:cs="Times New Roman"/>
                <w:b/>
                <w:color w:val="000000" w:themeColor="text1"/>
                <w:sz w:val="24"/>
                <w:szCs w:val="32"/>
                <w:highlight w:val="none"/>
                <w:lang w:val="en-US" w:eastAsia="zh-CN"/>
                <w14:textFill>
                  <w14:solidFill>
                    <w14:schemeClr w14:val="tx1"/>
                  </w14:solidFill>
                </w14:textFill>
              </w:rPr>
              <w:t>12</w:t>
            </w:r>
            <w:r>
              <w:rPr>
                <w:rFonts w:hint="default" w:ascii="Times New Roman" w:hAnsi="Times New Roman" w:eastAsia="宋体" w:cs="Times New Roman"/>
                <w:b/>
                <w:color w:val="000000" w:themeColor="text1"/>
                <w:sz w:val="24"/>
                <w:szCs w:val="32"/>
                <w:highlight w:val="none"/>
                <w14:textFill>
                  <w14:solidFill>
                    <w14:schemeClr w14:val="tx1"/>
                  </w14:solidFill>
                </w14:textFill>
              </w:rPr>
              <w:t xml:space="preserve"> 本项目废水验收监测情况一览表</w:t>
            </w:r>
          </w:p>
          <w:tbl>
            <w:tblPr>
              <w:tblStyle w:val="28"/>
              <w:tblW w:w="893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013"/>
              <w:gridCol w:w="1475"/>
              <w:gridCol w:w="4278"/>
            </w:tblGrid>
            <w:tr w14:paraId="4D515C2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72" w:type="dxa"/>
                  <w:tcBorders>
                    <w:tl2br w:val="nil"/>
                    <w:tr2bl w:val="nil"/>
                  </w:tcBorders>
                  <w:noWrap w:val="0"/>
                  <w:vAlign w:val="center"/>
                </w:tcPr>
                <w:p w14:paraId="41621CC3">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监测点位</w:t>
                  </w:r>
                </w:p>
              </w:tc>
              <w:tc>
                <w:tcPr>
                  <w:tcW w:w="2013" w:type="dxa"/>
                  <w:tcBorders>
                    <w:tl2br w:val="nil"/>
                    <w:tr2bl w:val="nil"/>
                  </w:tcBorders>
                  <w:noWrap w:val="0"/>
                  <w:vAlign w:val="center"/>
                </w:tcPr>
                <w:p w14:paraId="06E523AE">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监测指标</w:t>
                  </w:r>
                </w:p>
              </w:tc>
              <w:tc>
                <w:tcPr>
                  <w:tcW w:w="1475" w:type="dxa"/>
                  <w:tcBorders>
                    <w:tl2br w:val="nil"/>
                    <w:tr2bl w:val="nil"/>
                  </w:tcBorders>
                  <w:noWrap w:val="0"/>
                  <w:vAlign w:val="center"/>
                </w:tcPr>
                <w:p w14:paraId="75297D06">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监测频次</w:t>
                  </w:r>
                </w:p>
              </w:tc>
              <w:tc>
                <w:tcPr>
                  <w:tcW w:w="4278" w:type="dxa"/>
                  <w:tcBorders>
                    <w:tl2br w:val="nil"/>
                    <w:tr2bl w:val="nil"/>
                  </w:tcBorders>
                  <w:noWrap w:val="0"/>
                  <w:vAlign w:val="center"/>
                </w:tcPr>
                <w:p w14:paraId="51F7517F">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执行标准</w:t>
                  </w:r>
                </w:p>
              </w:tc>
            </w:tr>
            <w:tr w14:paraId="0D18C56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72" w:type="dxa"/>
                  <w:tcBorders>
                    <w:tl2br w:val="nil"/>
                    <w:tr2bl w:val="nil"/>
                  </w:tcBorders>
                  <w:noWrap w:val="0"/>
                  <w:vAlign w:val="center"/>
                </w:tcPr>
                <w:p w14:paraId="52803B1C">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污水处理站排放口</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DW00</w:t>
                  </w:r>
                  <w:r>
                    <w:rPr>
                      <w:rFonts w:hint="eastAsia" w:cs="Times New Roman"/>
                      <w:snapToGrid w:val="0"/>
                      <w:color w:val="000000" w:themeColor="text1"/>
                      <w:kern w:val="0"/>
                      <w:sz w:val="21"/>
                      <w:szCs w:val="21"/>
                      <w:highlight w:val="none"/>
                      <w:lang w:val="en-US" w:eastAsia="zh-CN"/>
                      <w14:textFill>
                        <w14:solidFill>
                          <w14:schemeClr w14:val="tx1"/>
                        </w14:solidFill>
                      </w14:textFill>
                    </w:rPr>
                    <w:t>1</w:t>
                  </w:r>
                </w:p>
              </w:tc>
              <w:tc>
                <w:tcPr>
                  <w:tcW w:w="2013" w:type="dxa"/>
                  <w:tcBorders>
                    <w:tl2br w:val="nil"/>
                    <w:tr2bl w:val="nil"/>
                  </w:tcBorders>
                  <w:noWrap w:val="0"/>
                  <w:vAlign w:val="center"/>
                </w:tcPr>
                <w:p w14:paraId="09EF3B8F">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流量、</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pH、COD、BOD</w:t>
                  </w:r>
                  <w:r>
                    <w:rPr>
                      <w:rFonts w:hint="default" w:ascii="Times New Roman" w:hAnsi="Times New Roman" w:eastAsia="宋体" w:cs="Times New Roman"/>
                      <w:b w:val="0"/>
                      <w:bCs/>
                      <w:snapToGrid w:val="0"/>
                      <w:color w:val="000000" w:themeColor="text1"/>
                      <w:kern w:val="0"/>
                      <w:sz w:val="21"/>
                      <w:szCs w:val="21"/>
                      <w:highlight w:val="none"/>
                      <w:vertAlign w:val="subscript"/>
                      <w14:textFill>
                        <w14:solidFill>
                          <w14:schemeClr w14:val="tx1"/>
                        </w14:solidFill>
                      </w14:textFill>
                    </w:rPr>
                    <w:t>5</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、SS、NH</w:t>
                  </w:r>
                  <w:r>
                    <w:rPr>
                      <w:rFonts w:hint="default" w:ascii="Times New Roman" w:hAnsi="Times New Roman" w:eastAsia="宋体" w:cs="Times New Roman"/>
                      <w:b w:val="0"/>
                      <w:bCs/>
                      <w:snapToGrid w:val="0"/>
                      <w:color w:val="000000" w:themeColor="text1"/>
                      <w:ker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-N</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、动植物油、</w:t>
                  </w:r>
                  <w:r>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t>总磷、总氮</w:t>
                  </w:r>
                  <w:r>
                    <w:rPr>
                      <w:rFonts w:hint="eastAsia" w:cs="Times New Roman"/>
                      <w:snapToGrid w:val="0"/>
                      <w:color w:val="000000" w:themeColor="text1"/>
                      <w:kern w:val="0"/>
                      <w:sz w:val="21"/>
                      <w:szCs w:val="21"/>
                      <w:highlight w:val="none"/>
                      <w:vertAlign w:val="baseline"/>
                      <w:lang w:val="en-US" w:eastAsia="zh-CN"/>
                      <w14:textFill>
                        <w14:solidFill>
                          <w14:schemeClr w14:val="tx1"/>
                        </w14:solidFill>
                      </w14:textFill>
                    </w:rPr>
                    <w:t>、LAS</w:t>
                  </w:r>
                </w:p>
              </w:tc>
              <w:tc>
                <w:tcPr>
                  <w:tcW w:w="1475" w:type="dxa"/>
                  <w:tcBorders>
                    <w:tl2br w:val="nil"/>
                    <w:tr2bl w:val="nil"/>
                  </w:tcBorders>
                  <w:noWrap w:val="0"/>
                  <w:vAlign w:val="center"/>
                </w:tcPr>
                <w:p w14:paraId="0DDF9F46">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竣工验收时监测一次</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以后半年一次</w:t>
                  </w:r>
                </w:p>
              </w:tc>
              <w:tc>
                <w:tcPr>
                  <w:tcW w:w="4278" w:type="dxa"/>
                  <w:tcBorders>
                    <w:tl2br w:val="nil"/>
                    <w:tr2bl w:val="nil"/>
                  </w:tcBorders>
                  <w:noWrap w:val="0"/>
                  <w:vAlign w:val="center"/>
                </w:tcPr>
                <w:p w14:paraId="0A8691A2">
                  <w:pPr>
                    <w:keepNext w:val="0"/>
                    <w:keepLines w:val="0"/>
                    <w:pageBreakBefore w:val="0"/>
                    <w:widowControl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COD、BOD</w:t>
                  </w:r>
                  <w:r>
                    <w:rPr>
                      <w:rFonts w:hint="default" w:ascii="Times New Roman" w:hAnsi="Times New Roman" w:eastAsia="宋体" w:cs="Times New Roman"/>
                      <w:snapToGrid w:val="0"/>
                      <w:color w:val="000000" w:themeColor="text1"/>
                      <w:kern w:val="0"/>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、SS、动植物油执行《肉类加工工业水污染物排放标准》（GB13457-92）表3中肉制品加工三级标准；氨氮、总磷、总氮执行《污水排入城镇下水道水质标准》（CJ343-2010）B级标准</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LAS执行《污水综合排放标准》（GB8978-96）中三级标准；</w:t>
                  </w:r>
                </w:p>
              </w:tc>
            </w:tr>
          </w:tbl>
          <w:p w14:paraId="7E9ACF5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lang w:val="en-US" w:eastAsia="zh-CN"/>
                <w14:textFill>
                  <w14:solidFill>
                    <w14:schemeClr w14:val="tx1"/>
                  </w14:solidFill>
                </w14:textFill>
              </w:rPr>
              <w:t xml:space="preserve">4.2.3 </w:t>
            </w: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噪声环境影响及保护措施</w:t>
            </w:r>
          </w:p>
          <w:p w14:paraId="2E05734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（1）噪声源强</w:t>
            </w:r>
          </w:p>
          <w:p w14:paraId="2E74C0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t>本项目</w:t>
            </w:r>
            <w:r>
              <w:rPr>
                <w:rFonts w:hint="eastAsia" w:ascii="Times New Roman" w:hAnsi="Times New Roman" w:eastAsia="宋体" w:cs="Times New Roman"/>
                <w:snapToGrid w:val="0"/>
                <w:color w:val="000000" w:themeColor="text1"/>
                <w:spacing w:val="0"/>
                <w:kern w:val="0"/>
                <w:sz w:val="24"/>
                <w:szCs w:val="24"/>
                <w:highlight w:val="none"/>
                <w:lang w:eastAsia="zh-CN"/>
                <w14:textFill>
                  <w14:solidFill>
                    <w14:schemeClr w14:val="tx1"/>
                  </w14:solidFill>
                </w14:textFill>
              </w:rPr>
              <w:t>以整个厂区的用地红线边界为厂界，</w:t>
            </w:r>
            <w:r>
              <w:rPr>
                <w:rFonts w:hint="eastAsia" w:ascii="Times New Roman" w:hAnsi="Times New Roman" w:cs="Times New Roman"/>
                <w:snapToGrid w:val="0"/>
                <w:color w:val="000000" w:themeColor="text1"/>
                <w:spacing w:val="0"/>
                <w:kern w:val="0"/>
                <w:sz w:val="24"/>
                <w:szCs w:val="24"/>
                <w:highlight w:val="none"/>
                <w:lang w:val="en-US" w:eastAsia="zh-CN"/>
                <w14:textFill>
                  <w14:solidFill>
                    <w14:schemeClr w14:val="tx1"/>
                  </w14:solidFill>
                </w14:textFill>
              </w:rPr>
              <w:t>真空</w:t>
            </w:r>
            <w:r>
              <w:rPr>
                <w:rFonts w:hint="eastAsia"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机、</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打</w:t>
            </w:r>
            <w:r>
              <w:rPr>
                <w:rFonts w:hint="eastAsia" w:ascii="Times New Roman" w:hAnsi="Times New Roman" w:cs="Times New Roman"/>
                <w:snapToGrid w:val="0"/>
                <w:color w:val="000000" w:themeColor="text1"/>
                <w:spacing w:val="0"/>
                <w:kern w:val="0"/>
                <w:sz w:val="24"/>
                <w:szCs w:val="24"/>
                <w:highlight w:val="none"/>
                <w:lang w:val="en-US" w:eastAsia="zh-CN"/>
                <w14:textFill>
                  <w14:solidFill>
                    <w14:schemeClr w14:val="tx1"/>
                  </w14:solidFill>
                </w14:textFill>
              </w:rPr>
              <w:t>码</w:t>
            </w:r>
            <w:r>
              <w:rPr>
                <w:rFonts w:hint="eastAsia"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机</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等</w:t>
            </w:r>
            <w:r>
              <w:rPr>
                <w:rFonts w:hint="eastAsia"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设备噪声源强较小，本次评价不纳入统计。项目主要</w:t>
            </w:r>
            <w:r>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t>噪声源为</w:t>
            </w:r>
            <w:r>
              <w:rPr>
                <w:rFonts w:hint="eastAsia" w:cs="Times New Roman"/>
                <w:snapToGrid w:val="0"/>
                <w:color w:val="000000" w:themeColor="text1"/>
                <w:spacing w:val="0"/>
                <w:kern w:val="0"/>
                <w:sz w:val="24"/>
                <w:szCs w:val="24"/>
                <w:highlight w:val="none"/>
                <w:lang w:eastAsia="zh-CN"/>
                <w14:textFill>
                  <w14:solidFill>
                    <w14:schemeClr w14:val="tx1"/>
                  </w14:solidFill>
                </w14:textFill>
              </w:rPr>
              <w:t>空压机、锅炉、切割机、打磨机</w:t>
            </w:r>
            <w:r>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t>等，噪声源强一般在</w:t>
            </w:r>
            <w:r>
              <w:rPr>
                <w:rFonts w:hint="eastAsia"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75</w:t>
            </w:r>
            <w:r>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t>～</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8</w:t>
            </w:r>
            <w:r>
              <w:rPr>
                <w:rFonts w:hint="eastAsia"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0</w:t>
            </w:r>
            <w:r>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t>dB（A）</w:t>
            </w:r>
            <w:r>
              <w:rPr>
                <w:rFonts w:hint="eastAsia" w:ascii="Times New Roman" w:hAnsi="Times New Roman" w:eastAsia="宋体" w:cs="Times New Roman"/>
                <w:snapToGrid w:val="0"/>
                <w:color w:val="000000" w:themeColor="text1"/>
                <w:spacing w:val="0"/>
                <w:kern w:val="0"/>
                <w:sz w:val="24"/>
                <w:szCs w:val="24"/>
                <w:highlight w:val="none"/>
                <w:lang w:eastAsia="zh-CN"/>
                <w14:textFill>
                  <w14:solidFill>
                    <w14:schemeClr w14:val="tx1"/>
                  </w14:solidFill>
                </w14:textFill>
              </w:rPr>
              <w:t>。扩建项目</w:t>
            </w:r>
            <w:r>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t>主要设备噪声源强见下表</w:t>
            </w:r>
            <w:r>
              <w:rPr>
                <w:rFonts w:hint="eastAsia"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4.2-1</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及表4.2-</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14</w:t>
            </w:r>
            <w:r>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t>。</w:t>
            </w:r>
          </w:p>
          <w:p w14:paraId="62102F4A">
            <w:pPr>
              <w:bidi w:val="0"/>
              <w:spacing w:line="240" w:lineRule="auto"/>
              <w:ind w:left="0" w:leftChars="0" w:firstLine="0" w:firstLineChars="0"/>
              <w:jc w:val="cente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表4.2-1</w:t>
            </w:r>
            <w:r>
              <w:rPr>
                <w:rFonts w:hint="eastAsia" w:cs="Times New Roman"/>
                <w:b/>
                <w:bCs/>
                <w:color w:val="000000" w:themeColor="text1"/>
                <w:sz w:val="24"/>
                <w:szCs w:val="32"/>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 xml:space="preserve"> 工业企业噪声源强调查清单（室外声源）</w:t>
            </w:r>
          </w:p>
          <w:tbl>
            <w:tblPr>
              <w:tblStyle w:val="29"/>
              <w:tblW w:w="494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59"/>
              <w:gridCol w:w="1364"/>
              <w:gridCol w:w="2540"/>
              <w:gridCol w:w="779"/>
              <w:gridCol w:w="718"/>
              <w:gridCol w:w="794"/>
              <w:gridCol w:w="1160"/>
            </w:tblGrid>
            <w:tr w14:paraId="62642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01" w:type="pct"/>
                  <w:vMerge w:val="restart"/>
                  <w:tcBorders>
                    <w:top w:val="single" w:color="auto" w:sz="2" w:space="0"/>
                    <w:left w:val="single" w:color="auto" w:sz="0" w:space="0"/>
                  </w:tcBorders>
                  <w:noWrap w:val="0"/>
                  <w:vAlign w:val="center"/>
                </w:tcPr>
                <w:p w14:paraId="3878C3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声源名称</w:t>
                  </w:r>
                </w:p>
              </w:tc>
              <w:tc>
                <w:tcPr>
                  <w:tcW w:w="480" w:type="pct"/>
                  <w:vMerge w:val="restart"/>
                  <w:tcBorders>
                    <w:top w:val="single" w:color="auto" w:sz="2" w:space="0"/>
                  </w:tcBorders>
                  <w:noWrap w:val="0"/>
                  <w:vAlign w:val="center"/>
                </w:tcPr>
                <w:p w14:paraId="152EE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设备数量/台</w:t>
                  </w:r>
                </w:p>
              </w:tc>
              <w:tc>
                <w:tcPr>
                  <w:tcW w:w="763" w:type="pct"/>
                  <w:vMerge w:val="restart"/>
                  <w:tcBorders>
                    <w:top w:val="single" w:color="auto" w:sz="2" w:space="0"/>
                  </w:tcBorders>
                  <w:noWrap w:val="0"/>
                  <w:vAlign w:val="center"/>
                </w:tcPr>
                <w:p w14:paraId="6A0ADA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声压级/距声源距离（dB（A）/m）</w:t>
                  </w:r>
                </w:p>
              </w:tc>
              <w:tc>
                <w:tcPr>
                  <w:tcW w:w="1422" w:type="pct"/>
                  <w:vMerge w:val="restart"/>
                  <w:tcBorders>
                    <w:top w:val="single" w:color="auto" w:sz="2" w:space="0"/>
                  </w:tcBorders>
                  <w:noWrap w:val="0"/>
                  <w:vAlign w:val="center"/>
                </w:tcPr>
                <w:p w14:paraId="464511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声控制措施</w:t>
                  </w:r>
                </w:p>
              </w:tc>
              <w:tc>
                <w:tcPr>
                  <w:tcW w:w="1282" w:type="pct"/>
                  <w:gridSpan w:val="3"/>
                  <w:tcBorders>
                    <w:top w:val="single" w:color="auto" w:sz="2" w:space="0"/>
                  </w:tcBorders>
                  <w:noWrap w:val="0"/>
                  <w:vAlign w:val="center"/>
                </w:tcPr>
                <w:p w14:paraId="612EC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空间相对位置/m</w:t>
                  </w:r>
                </w:p>
              </w:tc>
              <w:tc>
                <w:tcPr>
                  <w:tcW w:w="649" w:type="pct"/>
                  <w:vMerge w:val="restart"/>
                  <w:tcBorders>
                    <w:top w:val="single" w:color="auto" w:sz="2" w:space="0"/>
                    <w:right w:val="single" w:color="auto" w:sz="2" w:space="0"/>
                  </w:tcBorders>
                  <w:noWrap w:val="0"/>
                  <w:vAlign w:val="center"/>
                </w:tcPr>
                <w:p w14:paraId="3E904D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运行时段</w:t>
                  </w:r>
                </w:p>
              </w:tc>
            </w:tr>
            <w:tr w14:paraId="32DA4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01" w:type="pct"/>
                  <w:vMerge w:val="continue"/>
                  <w:tcBorders>
                    <w:left w:val="single" w:color="auto" w:sz="4" w:space="0"/>
                  </w:tcBorders>
                  <w:noWrap w:val="0"/>
                  <w:vAlign w:val="center"/>
                </w:tcPr>
                <w:p w14:paraId="64B2E6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c>
                <w:tcPr>
                  <w:tcW w:w="480" w:type="pct"/>
                  <w:vMerge w:val="continue"/>
                  <w:noWrap w:val="0"/>
                  <w:vAlign w:val="center"/>
                </w:tcPr>
                <w:p w14:paraId="5EDE16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c>
                <w:tcPr>
                  <w:tcW w:w="763" w:type="pct"/>
                  <w:vMerge w:val="continue"/>
                  <w:noWrap w:val="0"/>
                  <w:vAlign w:val="center"/>
                </w:tcPr>
                <w:p w14:paraId="004938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c>
                <w:tcPr>
                  <w:tcW w:w="1422" w:type="pct"/>
                  <w:vMerge w:val="continue"/>
                  <w:noWrap w:val="0"/>
                  <w:vAlign w:val="center"/>
                </w:tcPr>
                <w:p w14:paraId="1EC6D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c>
                <w:tcPr>
                  <w:tcW w:w="436" w:type="pct"/>
                  <w:noWrap w:val="0"/>
                  <w:vAlign w:val="center"/>
                </w:tcPr>
                <w:p w14:paraId="2D9C1A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X</w:t>
                  </w:r>
                </w:p>
              </w:tc>
              <w:tc>
                <w:tcPr>
                  <w:tcW w:w="401" w:type="pct"/>
                  <w:noWrap w:val="0"/>
                  <w:vAlign w:val="center"/>
                </w:tcPr>
                <w:p w14:paraId="5862F8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Y</w:t>
                  </w:r>
                </w:p>
              </w:tc>
              <w:tc>
                <w:tcPr>
                  <w:tcW w:w="444" w:type="pct"/>
                  <w:noWrap w:val="0"/>
                  <w:vAlign w:val="center"/>
                </w:tcPr>
                <w:p w14:paraId="159CF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Z</w:t>
                  </w:r>
                </w:p>
              </w:tc>
              <w:tc>
                <w:tcPr>
                  <w:tcW w:w="649" w:type="pct"/>
                  <w:vMerge w:val="continue"/>
                  <w:tcBorders>
                    <w:right w:val="single" w:color="auto" w:sz="2" w:space="0"/>
                  </w:tcBorders>
                  <w:noWrap w:val="0"/>
                  <w:vAlign w:val="center"/>
                </w:tcPr>
                <w:p w14:paraId="70614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r>
            <w:tr w14:paraId="28C76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01" w:type="pct"/>
                  <w:tcBorders>
                    <w:left w:val="single" w:color="auto" w:sz="4" w:space="0"/>
                  </w:tcBorders>
                  <w:noWrap w:val="0"/>
                  <w:vAlign w:val="center"/>
                </w:tcPr>
                <w:p w14:paraId="745B3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w:t>
                  </w:r>
                </w:p>
              </w:tc>
              <w:tc>
                <w:tcPr>
                  <w:tcW w:w="480" w:type="pct"/>
                  <w:noWrap w:val="0"/>
                  <w:vAlign w:val="center"/>
                </w:tcPr>
                <w:p w14:paraId="6949C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763" w:type="pct"/>
                  <w:noWrap w:val="0"/>
                  <w:vAlign w:val="center"/>
                </w:tcPr>
                <w:p w14:paraId="1C0BC2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422" w:type="pct"/>
                  <w:vMerge w:val="restart"/>
                  <w:noWrap w:val="0"/>
                  <w:vAlign w:val="center"/>
                </w:tcPr>
                <w:p w14:paraId="66093E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采用低噪声设备、加强厂区绿化</w:t>
                  </w:r>
                </w:p>
              </w:tc>
              <w:tc>
                <w:tcPr>
                  <w:tcW w:w="436" w:type="pct"/>
                  <w:noWrap w:val="0"/>
                  <w:vAlign w:val="center"/>
                </w:tcPr>
                <w:p w14:paraId="1CDE49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35</w:t>
                  </w:r>
                </w:p>
              </w:tc>
              <w:tc>
                <w:tcPr>
                  <w:tcW w:w="401" w:type="pct"/>
                  <w:noWrap w:val="0"/>
                  <w:vAlign w:val="center"/>
                </w:tcPr>
                <w:p w14:paraId="04D8F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p>
              </w:tc>
              <w:tc>
                <w:tcPr>
                  <w:tcW w:w="444" w:type="pct"/>
                  <w:noWrap w:val="0"/>
                  <w:vAlign w:val="center"/>
                </w:tcPr>
                <w:p w14:paraId="2AEE9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w:t>
                  </w:r>
                </w:p>
              </w:tc>
              <w:tc>
                <w:tcPr>
                  <w:tcW w:w="649" w:type="pct"/>
                  <w:tcBorders>
                    <w:right w:val="single" w:color="auto" w:sz="2" w:space="0"/>
                  </w:tcBorders>
                  <w:noWrap w:val="0"/>
                  <w:vAlign w:val="center"/>
                </w:tcPr>
                <w:p w14:paraId="6B9852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r>
            <w:tr w14:paraId="1BF6A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01" w:type="pct"/>
                  <w:tcBorders>
                    <w:left w:val="single" w:color="auto" w:sz="4" w:space="0"/>
                  </w:tcBorders>
                  <w:noWrap w:val="0"/>
                  <w:vAlign w:val="center"/>
                </w:tcPr>
                <w:p w14:paraId="2E1C26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空压机</w:t>
                  </w:r>
                </w:p>
              </w:tc>
              <w:tc>
                <w:tcPr>
                  <w:tcW w:w="480" w:type="pct"/>
                  <w:noWrap w:val="0"/>
                  <w:vAlign w:val="center"/>
                </w:tcPr>
                <w:p w14:paraId="0780B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w:t>
                  </w:r>
                </w:p>
              </w:tc>
              <w:tc>
                <w:tcPr>
                  <w:tcW w:w="763" w:type="pct"/>
                  <w:noWrap w:val="0"/>
                  <w:vAlign w:val="center"/>
                </w:tcPr>
                <w:p w14:paraId="3B378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80/1</w:t>
                  </w:r>
                </w:p>
              </w:tc>
              <w:tc>
                <w:tcPr>
                  <w:tcW w:w="1422" w:type="pct"/>
                  <w:vMerge w:val="continue"/>
                  <w:noWrap w:val="0"/>
                  <w:vAlign w:val="center"/>
                </w:tcPr>
                <w:p w14:paraId="3D173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36" w:type="pct"/>
                  <w:noWrap w:val="0"/>
                  <w:vAlign w:val="center"/>
                </w:tcPr>
                <w:p w14:paraId="251DE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35</w:t>
                  </w:r>
                </w:p>
              </w:tc>
              <w:tc>
                <w:tcPr>
                  <w:tcW w:w="401" w:type="pct"/>
                  <w:noWrap w:val="0"/>
                  <w:vAlign w:val="center"/>
                </w:tcPr>
                <w:p w14:paraId="417955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w:t>
                  </w:r>
                </w:p>
              </w:tc>
              <w:tc>
                <w:tcPr>
                  <w:tcW w:w="444" w:type="pct"/>
                  <w:noWrap w:val="0"/>
                  <w:vAlign w:val="center"/>
                </w:tcPr>
                <w:p w14:paraId="2DB050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w:t>
                  </w:r>
                </w:p>
              </w:tc>
              <w:tc>
                <w:tcPr>
                  <w:tcW w:w="649" w:type="pct"/>
                  <w:tcBorders>
                    <w:right w:val="single" w:color="auto" w:sz="2" w:space="0"/>
                  </w:tcBorders>
                  <w:noWrap w:val="0"/>
                  <w:vAlign w:val="center"/>
                </w:tcPr>
                <w:p w14:paraId="76923F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r>
            <w:tr w14:paraId="51B5C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000" w:type="pct"/>
                  <w:gridSpan w:val="8"/>
                  <w:tcBorders>
                    <w:left w:val="single" w:color="auto" w:sz="4" w:space="0"/>
                    <w:bottom w:val="single" w:color="auto" w:sz="2" w:space="0"/>
                    <w:right w:val="single" w:color="auto" w:sz="2" w:space="0"/>
                  </w:tcBorders>
                  <w:noWrap w:val="0"/>
                  <w:vAlign w:val="center"/>
                </w:tcPr>
                <w:p w14:paraId="10D6AD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注：</w:t>
                  </w:r>
                  <w:r>
                    <w:rPr>
                      <w:rFonts w:hint="default" w:ascii="Times New Roman" w:hAnsi="Times New Roman" w:cs="Times New Roman"/>
                      <w:b w:val="0"/>
                      <w:bCs w:val="0"/>
                      <w:color w:val="000000" w:themeColor="text1"/>
                      <w:sz w:val="21"/>
                      <w:szCs w:val="21"/>
                      <w:highlight w:val="none"/>
                      <w14:textFill>
                        <w14:solidFill>
                          <w14:schemeClr w14:val="tx1"/>
                        </w14:solidFill>
                      </w14:textFill>
                    </w:rPr>
                    <w:t>本项目以</w:t>
                  </w: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厂区</w:t>
                  </w:r>
                  <w:r>
                    <w:rPr>
                      <w:rFonts w:hint="default" w:ascii="Times New Roman" w:hAnsi="Times New Roman" w:cs="Times New Roman"/>
                      <w:b w:val="0"/>
                      <w:bCs w:val="0"/>
                      <w:color w:val="000000" w:themeColor="text1"/>
                      <w:sz w:val="21"/>
                      <w:szCs w:val="21"/>
                      <w:highlight w:val="none"/>
                      <w14:textFill>
                        <w14:solidFill>
                          <w14:schemeClr w14:val="tx1"/>
                        </w14:solidFill>
                      </w14:textFill>
                    </w:rPr>
                    <w:t>中心为空间相对位置坐标原点，东西走向X轴，南北走向Y轴。</w:t>
                  </w:r>
                </w:p>
              </w:tc>
            </w:tr>
          </w:tbl>
          <w:p w14:paraId="72999A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pPr>
          </w:p>
          <w:p w14:paraId="7F3299A5">
            <w:pPr>
              <w:ind w:firstLine="480"/>
              <w:rPr>
                <w:rFonts w:ascii="宋体" w:hAnsi="宋体" w:eastAsia="MS Mincho" w:cs="宋体"/>
                <w:color w:val="000000" w:themeColor="text1"/>
                <w:szCs w:val="21"/>
                <w:highlight w:val="none"/>
                <w:lang w:eastAsia="ja-JP"/>
                <w14:textFill>
                  <w14:solidFill>
                    <w14:schemeClr w14:val="tx1"/>
                  </w14:solidFill>
                </w14:textFill>
              </w:rPr>
            </w:pPr>
          </w:p>
        </w:tc>
      </w:tr>
    </w:tbl>
    <w:p w14:paraId="48C37516">
      <w:pPr>
        <w:pStyle w:val="21"/>
        <w:rPr>
          <w:color w:val="000000" w:themeColor="text1"/>
          <w:highlight w:val="none"/>
          <w14:textFill>
            <w14:solidFill>
              <w14:schemeClr w14:val="tx1"/>
            </w14:solidFill>
          </w14:textFill>
        </w:rPr>
        <w:sectPr>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4EBC69B2">
      <w:pPr>
        <w:pStyle w:val="7"/>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4" w:name="_Toc24876"/>
      <w:bookmarkStart w:id="5" w:name="_Toc28867"/>
      <w:bookmarkStart w:id="6" w:name="_Toc6105"/>
      <w:bookmarkStart w:id="7" w:name="_Toc20836"/>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表4.2-</w:t>
      </w:r>
      <w:r>
        <w:rPr>
          <w:rFonts w:hint="eastAsia" w:cs="Times New Roman"/>
          <w:b/>
          <w:bCs/>
          <w:color w:val="000000" w:themeColor="text1"/>
          <w:sz w:val="24"/>
          <w:szCs w:val="32"/>
          <w:highlight w:val="none"/>
          <w:lang w:val="en-US" w:eastAsia="zh-CN"/>
          <w14:textFill>
            <w14:solidFill>
              <w14:schemeClr w14:val="tx1"/>
            </w14:solidFill>
          </w14:textFill>
        </w:rPr>
        <w:t>14</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 xml:space="preserve"> 工业企业噪声源强调查清单（室内声源）</w:t>
      </w:r>
      <w:bookmarkEnd w:id="4"/>
      <w:bookmarkEnd w:id="5"/>
      <w:bookmarkEnd w:id="6"/>
      <w:bookmarkEnd w:id="7"/>
    </w:p>
    <w:tbl>
      <w:tblPr>
        <w:tblStyle w:val="28"/>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95"/>
        <w:gridCol w:w="692"/>
        <w:gridCol w:w="1374"/>
        <w:gridCol w:w="929"/>
        <w:gridCol w:w="854"/>
        <w:gridCol w:w="695"/>
        <w:gridCol w:w="695"/>
        <w:gridCol w:w="680"/>
        <w:gridCol w:w="666"/>
        <w:gridCol w:w="767"/>
        <w:gridCol w:w="1012"/>
        <w:gridCol w:w="723"/>
        <w:gridCol w:w="1112"/>
        <w:gridCol w:w="1291"/>
        <w:gridCol w:w="1094"/>
      </w:tblGrid>
      <w:tr w14:paraId="47FB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48" w:type="pct"/>
            <w:vMerge w:val="restart"/>
            <w:noWrap w:val="0"/>
            <w:vAlign w:val="center"/>
          </w:tcPr>
          <w:p w14:paraId="22C8BE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序号</w:t>
            </w:r>
          </w:p>
        </w:tc>
        <w:tc>
          <w:tcPr>
            <w:tcW w:w="248" w:type="pct"/>
            <w:vMerge w:val="restart"/>
            <w:noWrap w:val="0"/>
            <w:vAlign w:val="center"/>
          </w:tcPr>
          <w:p w14:paraId="37C7AD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建筑名称</w:t>
            </w:r>
          </w:p>
        </w:tc>
        <w:tc>
          <w:tcPr>
            <w:tcW w:w="247" w:type="pct"/>
            <w:vMerge w:val="restart"/>
            <w:noWrap w:val="0"/>
            <w:vAlign w:val="center"/>
          </w:tcPr>
          <w:p w14:paraId="65F2E9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声源名称</w:t>
            </w:r>
          </w:p>
        </w:tc>
        <w:tc>
          <w:tcPr>
            <w:tcW w:w="491" w:type="pct"/>
            <w:vMerge w:val="restart"/>
            <w:noWrap w:val="0"/>
            <w:vAlign w:val="center"/>
          </w:tcPr>
          <w:p w14:paraId="64E217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型号/（数量）</w:t>
            </w:r>
          </w:p>
        </w:tc>
        <w:tc>
          <w:tcPr>
            <w:tcW w:w="332" w:type="pct"/>
            <w:vMerge w:val="restart"/>
            <w:noWrap w:val="0"/>
            <w:vAlign w:val="center"/>
          </w:tcPr>
          <w:p w14:paraId="252EDB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声功率级/dB（A）</w:t>
            </w:r>
          </w:p>
        </w:tc>
        <w:tc>
          <w:tcPr>
            <w:tcW w:w="305" w:type="pct"/>
            <w:vMerge w:val="restart"/>
            <w:noWrap w:val="0"/>
            <w:vAlign w:val="center"/>
          </w:tcPr>
          <w:p w14:paraId="07A7AA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声控制措施</w:t>
            </w:r>
          </w:p>
        </w:tc>
        <w:tc>
          <w:tcPr>
            <w:tcW w:w="740" w:type="pct"/>
            <w:gridSpan w:val="3"/>
            <w:noWrap w:val="0"/>
            <w:vAlign w:val="center"/>
          </w:tcPr>
          <w:p w14:paraId="189C9C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空间相对位置/m</w:t>
            </w:r>
          </w:p>
        </w:tc>
        <w:tc>
          <w:tcPr>
            <w:tcW w:w="512" w:type="pct"/>
            <w:gridSpan w:val="2"/>
            <w:vMerge w:val="restart"/>
            <w:noWrap w:val="0"/>
            <w:vAlign w:val="center"/>
          </w:tcPr>
          <w:p w14:paraId="56B69C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距室内边界距离/m</w:t>
            </w:r>
          </w:p>
        </w:tc>
        <w:tc>
          <w:tcPr>
            <w:tcW w:w="362" w:type="pct"/>
            <w:vMerge w:val="restart"/>
            <w:noWrap w:val="0"/>
            <w:vAlign w:val="center"/>
          </w:tcPr>
          <w:p w14:paraId="430EBF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室内边界声级/dB（A）</w:t>
            </w:r>
          </w:p>
        </w:tc>
        <w:tc>
          <w:tcPr>
            <w:tcW w:w="258" w:type="pct"/>
            <w:vMerge w:val="restart"/>
            <w:noWrap w:val="0"/>
            <w:vAlign w:val="center"/>
          </w:tcPr>
          <w:p w14:paraId="689551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运行时段</w:t>
            </w:r>
          </w:p>
        </w:tc>
        <w:tc>
          <w:tcPr>
            <w:tcW w:w="397" w:type="pct"/>
            <w:vMerge w:val="restart"/>
            <w:noWrap w:val="0"/>
            <w:vAlign w:val="center"/>
          </w:tcPr>
          <w:p w14:paraId="4C5919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建筑物插入损失/ dB（A）</w:t>
            </w:r>
          </w:p>
        </w:tc>
        <w:tc>
          <w:tcPr>
            <w:tcW w:w="853" w:type="pct"/>
            <w:gridSpan w:val="2"/>
            <w:noWrap w:val="0"/>
            <w:vAlign w:val="center"/>
          </w:tcPr>
          <w:p w14:paraId="7C6B9E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建筑物外噪声</w:t>
            </w:r>
          </w:p>
        </w:tc>
      </w:tr>
      <w:tr w14:paraId="47C0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continue"/>
            <w:noWrap w:val="0"/>
            <w:vAlign w:val="center"/>
          </w:tcPr>
          <w:p w14:paraId="11011C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0E5A44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247" w:type="pct"/>
            <w:vMerge w:val="continue"/>
            <w:noWrap w:val="0"/>
            <w:vAlign w:val="center"/>
          </w:tcPr>
          <w:p w14:paraId="345FBB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491" w:type="pct"/>
            <w:vMerge w:val="continue"/>
            <w:noWrap w:val="0"/>
            <w:vAlign w:val="center"/>
          </w:tcPr>
          <w:p w14:paraId="4A3DF4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332" w:type="pct"/>
            <w:vMerge w:val="continue"/>
            <w:noWrap w:val="0"/>
            <w:vAlign w:val="center"/>
          </w:tcPr>
          <w:p w14:paraId="70F541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305" w:type="pct"/>
            <w:vMerge w:val="continue"/>
            <w:noWrap w:val="0"/>
            <w:vAlign w:val="center"/>
          </w:tcPr>
          <w:p w14:paraId="1ED127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248" w:type="pct"/>
            <w:noWrap w:val="0"/>
            <w:vAlign w:val="center"/>
          </w:tcPr>
          <w:p w14:paraId="067A44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X</w:t>
            </w:r>
          </w:p>
        </w:tc>
        <w:tc>
          <w:tcPr>
            <w:tcW w:w="248" w:type="pct"/>
            <w:noWrap w:val="0"/>
            <w:vAlign w:val="center"/>
          </w:tcPr>
          <w:p w14:paraId="0CFE3C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Y</w:t>
            </w:r>
          </w:p>
        </w:tc>
        <w:tc>
          <w:tcPr>
            <w:tcW w:w="243" w:type="pct"/>
            <w:noWrap w:val="0"/>
            <w:vAlign w:val="center"/>
          </w:tcPr>
          <w:p w14:paraId="0FF3C5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Z</w:t>
            </w:r>
          </w:p>
        </w:tc>
        <w:tc>
          <w:tcPr>
            <w:tcW w:w="512" w:type="pct"/>
            <w:gridSpan w:val="2"/>
            <w:vMerge w:val="continue"/>
            <w:noWrap w:val="0"/>
            <w:vAlign w:val="center"/>
          </w:tcPr>
          <w:p w14:paraId="4D0041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362" w:type="pct"/>
            <w:vMerge w:val="continue"/>
            <w:noWrap w:val="0"/>
            <w:vAlign w:val="center"/>
          </w:tcPr>
          <w:p w14:paraId="453BC0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258" w:type="pct"/>
            <w:vMerge w:val="continue"/>
            <w:noWrap w:val="0"/>
            <w:vAlign w:val="center"/>
          </w:tcPr>
          <w:p w14:paraId="4909EA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397" w:type="pct"/>
            <w:vMerge w:val="continue"/>
            <w:noWrap w:val="0"/>
            <w:vAlign w:val="center"/>
          </w:tcPr>
          <w:p w14:paraId="2CFF10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461" w:type="pct"/>
            <w:noWrap w:val="0"/>
            <w:vAlign w:val="center"/>
          </w:tcPr>
          <w:p w14:paraId="468BDC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声压级/dB（A）</w:t>
            </w:r>
          </w:p>
        </w:tc>
        <w:tc>
          <w:tcPr>
            <w:tcW w:w="391" w:type="pct"/>
            <w:noWrap w:val="0"/>
            <w:vAlign w:val="center"/>
          </w:tcPr>
          <w:p w14:paraId="61F314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eastAsia="zh-CN"/>
                <w14:textFill>
                  <w14:solidFill>
                    <w14:schemeClr w14:val="tx1"/>
                  </w14:solidFill>
                </w14:textFill>
              </w:rPr>
              <w:t>建筑物外距离</w:t>
            </w: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/m</w:t>
            </w:r>
          </w:p>
        </w:tc>
      </w:tr>
      <w:tr w14:paraId="51E3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8" w:type="pct"/>
            <w:vMerge w:val="restart"/>
            <w:noWrap w:val="0"/>
            <w:vAlign w:val="center"/>
          </w:tcPr>
          <w:p w14:paraId="2AAEA2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1</w:t>
            </w:r>
          </w:p>
        </w:tc>
        <w:tc>
          <w:tcPr>
            <w:tcW w:w="248" w:type="pct"/>
            <w:vMerge w:val="restart"/>
            <w:noWrap w:val="0"/>
            <w:vAlign w:val="center"/>
          </w:tcPr>
          <w:p w14:paraId="41BE40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车间</w:t>
            </w:r>
          </w:p>
        </w:tc>
        <w:tc>
          <w:tcPr>
            <w:tcW w:w="247" w:type="pct"/>
            <w:vMerge w:val="restart"/>
            <w:noWrap w:val="0"/>
            <w:vAlign w:val="center"/>
          </w:tcPr>
          <w:p w14:paraId="04A46D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打磨机</w:t>
            </w:r>
          </w:p>
        </w:tc>
        <w:tc>
          <w:tcPr>
            <w:tcW w:w="491" w:type="pct"/>
            <w:vMerge w:val="restart"/>
            <w:noWrap w:val="0"/>
            <w:vAlign w:val="center"/>
          </w:tcPr>
          <w:p w14:paraId="3D0A87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332" w:type="pct"/>
            <w:vMerge w:val="restart"/>
            <w:noWrap w:val="0"/>
            <w:vAlign w:val="center"/>
          </w:tcPr>
          <w:p w14:paraId="11A9F4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p>
        </w:tc>
        <w:tc>
          <w:tcPr>
            <w:tcW w:w="305" w:type="pct"/>
            <w:vMerge w:val="restart"/>
            <w:noWrap w:val="0"/>
            <w:vAlign w:val="center"/>
          </w:tcPr>
          <w:p w14:paraId="325E79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设备加装基座、建筑隔声</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加装隔声棉等</w:t>
            </w:r>
          </w:p>
        </w:tc>
        <w:tc>
          <w:tcPr>
            <w:tcW w:w="248" w:type="pct"/>
            <w:vMerge w:val="restart"/>
            <w:noWrap w:val="0"/>
            <w:vAlign w:val="center"/>
          </w:tcPr>
          <w:p w14:paraId="2ADFA252">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34.0 </w:t>
            </w:r>
          </w:p>
        </w:tc>
        <w:tc>
          <w:tcPr>
            <w:tcW w:w="248" w:type="pct"/>
            <w:vMerge w:val="restart"/>
            <w:noWrap w:val="0"/>
            <w:vAlign w:val="center"/>
          </w:tcPr>
          <w:p w14:paraId="11CF654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49.8 </w:t>
            </w:r>
          </w:p>
        </w:tc>
        <w:tc>
          <w:tcPr>
            <w:tcW w:w="243" w:type="pct"/>
            <w:vMerge w:val="restart"/>
            <w:noWrap w:val="0"/>
            <w:vAlign w:val="center"/>
          </w:tcPr>
          <w:p w14:paraId="7BFCB0E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13.5 </w:t>
            </w:r>
          </w:p>
        </w:tc>
        <w:tc>
          <w:tcPr>
            <w:tcW w:w="238" w:type="pct"/>
            <w:noWrap w:val="0"/>
            <w:vAlign w:val="center"/>
          </w:tcPr>
          <w:p w14:paraId="1618EA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46325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362" w:type="pct"/>
            <w:noWrap w:val="0"/>
            <w:vAlign w:val="bottom"/>
          </w:tcPr>
          <w:p w14:paraId="3D1E2F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restart"/>
            <w:noWrap w:val="0"/>
            <w:vAlign w:val="center"/>
          </w:tcPr>
          <w:p w14:paraId="20E8BC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昼间8h</w:t>
            </w:r>
          </w:p>
        </w:tc>
        <w:tc>
          <w:tcPr>
            <w:tcW w:w="397" w:type="pct"/>
            <w:vMerge w:val="restart"/>
            <w:noWrap w:val="0"/>
            <w:vAlign w:val="center"/>
          </w:tcPr>
          <w:p w14:paraId="459D4A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60F77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10B4D0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55F7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8" w:type="pct"/>
            <w:vMerge w:val="continue"/>
            <w:noWrap w:val="0"/>
            <w:vAlign w:val="center"/>
          </w:tcPr>
          <w:p w14:paraId="310B31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18DEF4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continue"/>
            <w:noWrap w:val="0"/>
            <w:vAlign w:val="center"/>
          </w:tcPr>
          <w:p w14:paraId="14240B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48E51B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3B2974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5" w:type="pct"/>
            <w:vMerge w:val="continue"/>
            <w:noWrap w:val="0"/>
            <w:vAlign w:val="center"/>
          </w:tcPr>
          <w:p w14:paraId="1ACAE8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5FC6B32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4B0318C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3" w:type="pct"/>
            <w:vMerge w:val="continue"/>
            <w:noWrap w:val="0"/>
            <w:vAlign w:val="center"/>
          </w:tcPr>
          <w:p w14:paraId="68CD024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38" w:type="pct"/>
            <w:noWrap w:val="0"/>
            <w:vAlign w:val="center"/>
          </w:tcPr>
          <w:p w14:paraId="276E7E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0035E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75.8 </w:t>
            </w:r>
          </w:p>
        </w:tc>
        <w:tc>
          <w:tcPr>
            <w:tcW w:w="362" w:type="pct"/>
            <w:noWrap w:val="0"/>
            <w:vAlign w:val="bottom"/>
          </w:tcPr>
          <w:p w14:paraId="62A908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543181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continue"/>
            <w:noWrap w:val="0"/>
            <w:vAlign w:val="center"/>
          </w:tcPr>
          <w:p w14:paraId="216E6B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61" w:type="pct"/>
            <w:noWrap w:val="0"/>
            <w:vAlign w:val="center"/>
          </w:tcPr>
          <w:p w14:paraId="559D9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4E0B0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3503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8" w:type="pct"/>
            <w:vMerge w:val="continue"/>
            <w:noWrap w:val="0"/>
            <w:vAlign w:val="center"/>
          </w:tcPr>
          <w:p w14:paraId="45D87F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2FA822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continue"/>
            <w:noWrap w:val="0"/>
            <w:vAlign w:val="center"/>
          </w:tcPr>
          <w:p w14:paraId="3716B1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34C153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6D4C7E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5" w:type="pct"/>
            <w:vMerge w:val="continue"/>
            <w:noWrap w:val="0"/>
            <w:vAlign w:val="center"/>
          </w:tcPr>
          <w:p w14:paraId="1B6189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26CDDB2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7E0AF40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3" w:type="pct"/>
            <w:vMerge w:val="continue"/>
            <w:noWrap w:val="0"/>
            <w:vAlign w:val="center"/>
          </w:tcPr>
          <w:p w14:paraId="0D7FF29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38" w:type="pct"/>
            <w:noWrap w:val="0"/>
            <w:vAlign w:val="center"/>
          </w:tcPr>
          <w:p w14:paraId="1FD07D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50223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8 </w:t>
            </w:r>
          </w:p>
        </w:tc>
        <w:tc>
          <w:tcPr>
            <w:tcW w:w="362" w:type="pct"/>
            <w:noWrap w:val="0"/>
            <w:vAlign w:val="bottom"/>
          </w:tcPr>
          <w:p w14:paraId="2EB076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61.1 </w:t>
            </w:r>
          </w:p>
        </w:tc>
        <w:tc>
          <w:tcPr>
            <w:tcW w:w="258" w:type="pct"/>
            <w:vMerge w:val="continue"/>
            <w:noWrap w:val="0"/>
            <w:vAlign w:val="center"/>
          </w:tcPr>
          <w:p w14:paraId="63E31F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continue"/>
            <w:noWrap w:val="0"/>
            <w:vAlign w:val="center"/>
          </w:tcPr>
          <w:p w14:paraId="0F051A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61" w:type="pct"/>
            <w:noWrap w:val="0"/>
            <w:vAlign w:val="center"/>
          </w:tcPr>
          <w:p w14:paraId="21F1B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40.1</w:t>
            </w:r>
          </w:p>
        </w:tc>
        <w:tc>
          <w:tcPr>
            <w:tcW w:w="391" w:type="pct"/>
            <w:noWrap w:val="0"/>
            <w:vAlign w:val="bottom"/>
          </w:tcPr>
          <w:p w14:paraId="7940F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5C3E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8" w:type="pct"/>
            <w:vMerge w:val="continue"/>
            <w:noWrap w:val="0"/>
            <w:vAlign w:val="center"/>
          </w:tcPr>
          <w:p w14:paraId="2D037B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7D783F5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continue"/>
            <w:noWrap w:val="0"/>
            <w:vAlign w:val="center"/>
          </w:tcPr>
          <w:p w14:paraId="04AED8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1E0593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54E216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5" w:type="pct"/>
            <w:vMerge w:val="continue"/>
            <w:noWrap w:val="0"/>
            <w:vAlign w:val="center"/>
          </w:tcPr>
          <w:p w14:paraId="1620AA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4FD4DCD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41E0252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3" w:type="pct"/>
            <w:vMerge w:val="continue"/>
            <w:noWrap w:val="0"/>
            <w:vAlign w:val="center"/>
          </w:tcPr>
          <w:p w14:paraId="53E336B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38" w:type="pct"/>
            <w:noWrap w:val="0"/>
            <w:vAlign w:val="center"/>
          </w:tcPr>
          <w:p w14:paraId="233E65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1B312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12.8 </w:t>
            </w:r>
          </w:p>
        </w:tc>
        <w:tc>
          <w:tcPr>
            <w:tcW w:w="362" w:type="pct"/>
            <w:noWrap w:val="0"/>
            <w:vAlign w:val="bottom"/>
          </w:tcPr>
          <w:p w14:paraId="2FFF0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60.6 </w:t>
            </w:r>
          </w:p>
        </w:tc>
        <w:tc>
          <w:tcPr>
            <w:tcW w:w="258" w:type="pct"/>
            <w:vMerge w:val="continue"/>
            <w:noWrap w:val="0"/>
            <w:vAlign w:val="center"/>
          </w:tcPr>
          <w:p w14:paraId="12C646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continue"/>
            <w:noWrap w:val="0"/>
            <w:vAlign w:val="center"/>
          </w:tcPr>
          <w:p w14:paraId="77C326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61" w:type="pct"/>
            <w:noWrap w:val="0"/>
            <w:vAlign w:val="center"/>
          </w:tcPr>
          <w:p w14:paraId="5FE04F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39.6</w:t>
            </w:r>
          </w:p>
        </w:tc>
        <w:tc>
          <w:tcPr>
            <w:tcW w:w="391" w:type="pct"/>
            <w:noWrap w:val="0"/>
            <w:vAlign w:val="bottom"/>
          </w:tcPr>
          <w:p w14:paraId="0A620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2291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restart"/>
            <w:noWrap w:val="0"/>
            <w:vAlign w:val="center"/>
          </w:tcPr>
          <w:p w14:paraId="414870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p>
        </w:tc>
        <w:tc>
          <w:tcPr>
            <w:tcW w:w="248" w:type="pct"/>
            <w:vMerge w:val="continue"/>
            <w:noWrap w:val="0"/>
            <w:vAlign w:val="center"/>
          </w:tcPr>
          <w:p w14:paraId="18DA3A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31737B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打磨机</w:t>
            </w:r>
          </w:p>
        </w:tc>
        <w:tc>
          <w:tcPr>
            <w:tcW w:w="491" w:type="pct"/>
            <w:vMerge w:val="restart"/>
            <w:noWrap w:val="0"/>
            <w:vAlign w:val="center"/>
          </w:tcPr>
          <w:p w14:paraId="05551E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332" w:type="pct"/>
            <w:vMerge w:val="restart"/>
            <w:noWrap w:val="0"/>
            <w:vAlign w:val="center"/>
          </w:tcPr>
          <w:p w14:paraId="1825DA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p>
        </w:tc>
        <w:tc>
          <w:tcPr>
            <w:tcW w:w="305" w:type="pct"/>
            <w:vMerge w:val="continue"/>
            <w:noWrap w:val="0"/>
            <w:vAlign w:val="center"/>
          </w:tcPr>
          <w:p w14:paraId="4B103B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38A3CB9F">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34.0 </w:t>
            </w:r>
          </w:p>
        </w:tc>
        <w:tc>
          <w:tcPr>
            <w:tcW w:w="248" w:type="pct"/>
            <w:vMerge w:val="restart"/>
            <w:noWrap w:val="0"/>
            <w:vAlign w:val="center"/>
          </w:tcPr>
          <w:p w14:paraId="4945FE99">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48.8 </w:t>
            </w:r>
          </w:p>
        </w:tc>
        <w:tc>
          <w:tcPr>
            <w:tcW w:w="243" w:type="pct"/>
            <w:vMerge w:val="restart"/>
            <w:noWrap w:val="0"/>
            <w:vAlign w:val="center"/>
          </w:tcPr>
          <w:p w14:paraId="5DD68AD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13.5 </w:t>
            </w:r>
          </w:p>
        </w:tc>
        <w:tc>
          <w:tcPr>
            <w:tcW w:w="238" w:type="pct"/>
            <w:noWrap w:val="0"/>
            <w:vAlign w:val="center"/>
          </w:tcPr>
          <w:p w14:paraId="4DC7C8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5594E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362" w:type="pct"/>
            <w:noWrap w:val="0"/>
            <w:vAlign w:val="bottom"/>
          </w:tcPr>
          <w:p w14:paraId="268E9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774156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014486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0658F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1FC5A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3F1C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48" w:type="pct"/>
            <w:vMerge w:val="continue"/>
            <w:noWrap w:val="0"/>
            <w:vAlign w:val="center"/>
          </w:tcPr>
          <w:p w14:paraId="53996B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597512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continue"/>
            <w:noWrap w:val="0"/>
            <w:vAlign w:val="center"/>
          </w:tcPr>
          <w:p w14:paraId="250393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65EC42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20236C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5" w:type="pct"/>
            <w:vMerge w:val="continue"/>
            <w:noWrap w:val="0"/>
            <w:vAlign w:val="center"/>
          </w:tcPr>
          <w:p w14:paraId="5F40B4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0787D2D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57259C2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3" w:type="pct"/>
            <w:vMerge w:val="continue"/>
            <w:noWrap w:val="0"/>
            <w:vAlign w:val="center"/>
          </w:tcPr>
          <w:p w14:paraId="180EE22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38" w:type="pct"/>
            <w:noWrap w:val="0"/>
            <w:vAlign w:val="center"/>
          </w:tcPr>
          <w:p w14:paraId="1DF216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01DC90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75.8 </w:t>
            </w:r>
          </w:p>
        </w:tc>
        <w:tc>
          <w:tcPr>
            <w:tcW w:w="362" w:type="pct"/>
            <w:noWrap w:val="0"/>
            <w:vAlign w:val="bottom"/>
          </w:tcPr>
          <w:p w14:paraId="1C174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2A2BB2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continue"/>
            <w:noWrap w:val="0"/>
            <w:vAlign w:val="center"/>
          </w:tcPr>
          <w:p w14:paraId="3EDF8D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61" w:type="pct"/>
            <w:noWrap w:val="0"/>
            <w:vAlign w:val="center"/>
          </w:tcPr>
          <w:p w14:paraId="06CE2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3582F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0263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48" w:type="pct"/>
            <w:vMerge w:val="continue"/>
            <w:noWrap w:val="0"/>
            <w:vAlign w:val="center"/>
          </w:tcPr>
          <w:p w14:paraId="3D42D3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5D8E69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continue"/>
            <w:noWrap w:val="0"/>
            <w:vAlign w:val="center"/>
          </w:tcPr>
          <w:p w14:paraId="2C85F2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1AC614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3666D1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5" w:type="pct"/>
            <w:vMerge w:val="continue"/>
            <w:noWrap w:val="0"/>
            <w:vAlign w:val="center"/>
          </w:tcPr>
          <w:p w14:paraId="4D6425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23DDC20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4C58D35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3" w:type="pct"/>
            <w:vMerge w:val="continue"/>
            <w:noWrap w:val="0"/>
            <w:vAlign w:val="center"/>
          </w:tcPr>
          <w:p w14:paraId="66A3EA3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38" w:type="pct"/>
            <w:noWrap w:val="0"/>
            <w:vAlign w:val="center"/>
          </w:tcPr>
          <w:p w14:paraId="011A7B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1339CA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 </w:t>
            </w:r>
          </w:p>
        </w:tc>
        <w:tc>
          <w:tcPr>
            <w:tcW w:w="362" w:type="pct"/>
            <w:noWrap w:val="0"/>
            <w:vAlign w:val="bottom"/>
          </w:tcPr>
          <w:p w14:paraId="688E0F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61.4 </w:t>
            </w:r>
          </w:p>
        </w:tc>
        <w:tc>
          <w:tcPr>
            <w:tcW w:w="258" w:type="pct"/>
            <w:vMerge w:val="continue"/>
            <w:noWrap w:val="0"/>
            <w:vAlign w:val="center"/>
          </w:tcPr>
          <w:p w14:paraId="269F62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continue"/>
            <w:noWrap w:val="0"/>
            <w:vAlign w:val="center"/>
          </w:tcPr>
          <w:p w14:paraId="0965A8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61" w:type="pct"/>
            <w:noWrap w:val="0"/>
            <w:vAlign w:val="center"/>
          </w:tcPr>
          <w:p w14:paraId="457F6D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40.4</w:t>
            </w:r>
          </w:p>
        </w:tc>
        <w:tc>
          <w:tcPr>
            <w:tcW w:w="391" w:type="pct"/>
            <w:noWrap w:val="0"/>
            <w:vAlign w:val="bottom"/>
          </w:tcPr>
          <w:p w14:paraId="593CB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5DB1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48" w:type="pct"/>
            <w:vMerge w:val="continue"/>
            <w:noWrap w:val="0"/>
            <w:vAlign w:val="center"/>
          </w:tcPr>
          <w:p w14:paraId="16A48E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6CFBB3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continue"/>
            <w:noWrap w:val="0"/>
            <w:vAlign w:val="center"/>
          </w:tcPr>
          <w:p w14:paraId="105AEE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2A8393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599996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305" w:type="pct"/>
            <w:vMerge w:val="continue"/>
            <w:noWrap w:val="0"/>
            <w:vAlign w:val="center"/>
          </w:tcPr>
          <w:p w14:paraId="5F0344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53BCE53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continue"/>
            <w:noWrap w:val="0"/>
            <w:vAlign w:val="center"/>
          </w:tcPr>
          <w:p w14:paraId="1E3B8AC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3" w:type="pct"/>
            <w:vMerge w:val="continue"/>
            <w:noWrap w:val="0"/>
            <w:vAlign w:val="center"/>
          </w:tcPr>
          <w:p w14:paraId="49E35B4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38" w:type="pct"/>
            <w:noWrap w:val="0"/>
            <w:vAlign w:val="center"/>
          </w:tcPr>
          <w:p w14:paraId="1280E5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4CEA6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13.8 </w:t>
            </w:r>
          </w:p>
        </w:tc>
        <w:tc>
          <w:tcPr>
            <w:tcW w:w="362" w:type="pct"/>
            <w:noWrap w:val="0"/>
            <w:vAlign w:val="bottom"/>
          </w:tcPr>
          <w:p w14:paraId="17298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60.5 </w:t>
            </w:r>
          </w:p>
        </w:tc>
        <w:tc>
          <w:tcPr>
            <w:tcW w:w="258" w:type="pct"/>
            <w:vMerge w:val="continue"/>
            <w:noWrap w:val="0"/>
            <w:vAlign w:val="center"/>
          </w:tcPr>
          <w:p w14:paraId="47E79E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continue"/>
            <w:noWrap w:val="0"/>
            <w:vAlign w:val="center"/>
          </w:tcPr>
          <w:p w14:paraId="4BCB90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61" w:type="pct"/>
            <w:noWrap w:val="0"/>
            <w:vAlign w:val="center"/>
          </w:tcPr>
          <w:p w14:paraId="019D65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39.5</w:t>
            </w:r>
          </w:p>
        </w:tc>
        <w:tc>
          <w:tcPr>
            <w:tcW w:w="391" w:type="pct"/>
            <w:noWrap w:val="0"/>
            <w:vAlign w:val="bottom"/>
          </w:tcPr>
          <w:p w14:paraId="5FD74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6588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41D380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w:t>
            </w:r>
          </w:p>
        </w:tc>
        <w:tc>
          <w:tcPr>
            <w:tcW w:w="248" w:type="pct"/>
            <w:vMerge w:val="continue"/>
            <w:noWrap w:val="0"/>
            <w:vAlign w:val="center"/>
          </w:tcPr>
          <w:p w14:paraId="5565B6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448995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打磨机</w:t>
            </w:r>
          </w:p>
        </w:tc>
        <w:tc>
          <w:tcPr>
            <w:tcW w:w="491" w:type="pct"/>
            <w:vMerge w:val="restart"/>
            <w:noWrap w:val="0"/>
            <w:vAlign w:val="center"/>
          </w:tcPr>
          <w:p w14:paraId="616EED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332" w:type="pct"/>
            <w:vMerge w:val="restart"/>
            <w:noWrap w:val="0"/>
            <w:vAlign w:val="center"/>
          </w:tcPr>
          <w:p w14:paraId="55BC60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p>
        </w:tc>
        <w:tc>
          <w:tcPr>
            <w:tcW w:w="305" w:type="pct"/>
            <w:vMerge w:val="continue"/>
            <w:noWrap w:val="0"/>
            <w:vAlign w:val="center"/>
          </w:tcPr>
          <w:p w14:paraId="03C5CD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226DCDD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34.0 </w:t>
            </w:r>
          </w:p>
        </w:tc>
        <w:tc>
          <w:tcPr>
            <w:tcW w:w="248" w:type="pct"/>
            <w:vMerge w:val="restart"/>
            <w:noWrap w:val="0"/>
            <w:vAlign w:val="center"/>
          </w:tcPr>
          <w:p w14:paraId="070D9A52">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47.8 </w:t>
            </w:r>
          </w:p>
        </w:tc>
        <w:tc>
          <w:tcPr>
            <w:tcW w:w="243" w:type="pct"/>
            <w:vMerge w:val="restart"/>
            <w:noWrap w:val="0"/>
            <w:vAlign w:val="center"/>
          </w:tcPr>
          <w:p w14:paraId="1E00AB32">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13.5 </w:t>
            </w:r>
          </w:p>
        </w:tc>
        <w:tc>
          <w:tcPr>
            <w:tcW w:w="238" w:type="pct"/>
            <w:noWrap w:val="0"/>
            <w:vAlign w:val="center"/>
          </w:tcPr>
          <w:p w14:paraId="77BFDA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27027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362" w:type="pct"/>
            <w:noWrap w:val="0"/>
            <w:vAlign w:val="bottom"/>
          </w:tcPr>
          <w:p w14:paraId="39D38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6BB184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2C982B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088F4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49BED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615D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4B091C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7BD23C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79799E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3F34E5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1F34B7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77A80F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6EB6496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187E878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7B6F847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22F3E9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73EA9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75.8 </w:t>
            </w:r>
          </w:p>
        </w:tc>
        <w:tc>
          <w:tcPr>
            <w:tcW w:w="362" w:type="pct"/>
            <w:noWrap w:val="0"/>
            <w:vAlign w:val="bottom"/>
          </w:tcPr>
          <w:p w14:paraId="1FE2DA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13B78D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80678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34CD77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1D9C9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3A91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7957BF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356E0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0EA58B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5E90A0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10FE37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26AD78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4E959D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79380C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F90106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41A4C5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225DB6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 </w:t>
            </w:r>
          </w:p>
        </w:tc>
        <w:tc>
          <w:tcPr>
            <w:tcW w:w="362" w:type="pct"/>
            <w:noWrap w:val="0"/>
            <w:vAlign w:val="bottom"/>
          </w:tcPr>
          <w:p w14:paraId="43C2C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61.7 </w:t>
            </w:r>
          </w:p>
        </w:tc>
        <w:tc>
          <w:tcPr>
            <w:tcW w:w="258" w:type="pct"/>
            <w:vMerge w:val="continue"/>
            <w:noWrap w:val="0"/>
            <w:vAlign w:val="center"/>
          </w:tcPr>
          <w:p w14:paraId="6F6C89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89048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56188F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40.7</w:t>
            </w:r>
          </w:p>
        </w:tc>
        <w:tc>
          <w:tcPr>
            <w:tcW w:w="391" w:type="pct"/>
            <w:noWrap w:val="0"/>
            <w:vAlign w:val="bottom"/>
          </w:tcPr>
          <w:p w14:paraId="284D2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3F95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7E6065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1F49F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4A1C3C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0ACFDD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6E6A08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81C9D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B52E08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4D8936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02132D3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1CC4D1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319A92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14.8 </w:t>
            </w:r>
          </w:p>
        </w:tc>
        <w:tc>
          <w:tcPr>
            <w:tcW w:w="362" w:type="pct"/>
            <w:noWrap w:val="0"/>
            <w:vAlign w:val="bottom"/>
          </w:tcPr>
          <w:p w14:paraId="4B8EA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60.5 </w:t>
            </w:r>
          </w:p>
        </w:tc>
        <w:tc>
          <w:tcPr>
            <w:tcW w:w="258" w:type="pct"/>
            <w:vMerge w:val="continue"/>
            <w:noWrap w:val="0"/>
            <w:vAlign w:val="center"/>
          </w:tcPr>
          <w:p w14:paraId="1EAF77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5C97E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132E3C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39.5</w:t>
            </w:r>
          </w:p>
        </w:tc>
        <w:tc>
          <w:tcPr>
            <w:tcW w:w="391" w:type="pct"/>
            <w:noWrap w:val="0"/>
            <w:vAlign w:val="bottom"/>
          </w:tcPr>
          <w:p w14:paraId="0065EB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4658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3AB54C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w:t>
            </w:r>
          </w:p>
        </w:tc>
        <w:tc>
          <w:tcPr>
            <w:tcW w:w="248" w:type="pct"/>
            <w:vMerge w:val="continue"/>
            <w:noWrap w:val="0"/>
            <w:vAlign w:val="center"/>
          </w:tcPr>
          <w:p w14:paraId="59B559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4EA1EC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打磨机</w:t>
            </w:r>
          </w:p>
        </w:tc>
        <w:tc>
          <w:tcPr>
            <w:tcW w:w="491" w:type="pct"/>
            <w:vMerge w:val="restart"/>
            <w:noWrap w:val="0"/>
            <w:vAlign w:val="center"/>
          </w:tcPr>
          <w:p w14:paraId="0930E1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332" w:type="pct"/>
            <w:vMerge w:val="restart"/>
            <w:noWrap w:val="0"/>
            <w:vAlign w:val="center"/>
          </w:tcPr>
          <w:p w14:paraId="6A803C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p>
        </w:tc>
        <w:tc>
          <w:tcPr>
            <w:tcW w:w="305" w:type="pct"/>
            <w:vMerge w:val="continue"/>
            <w:noWrap w:val="0"/>
            <w:vAlign w:val="center"/>
          </w:tcPr>
          <w:p w14:paraId="439A8C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59810CBA">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34.0 </w:t>
            </w:r>
          </w:p>
        </w:tc>
        <w:tc>
          <w:tcPr>
            <w:tcW w:w="248" w:type="pct"/>
            <w:vMerge w:val="restart"/>
            <w:noWrap w:val="0"/>
            <w:vAlign w:val="center"/>
          </w:tcPr>
          <w:p w14:paraId="007EDFF1">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46.8 </w:t>
            </w:r>
          </w:p>
        </w:tc>
        <w:tc>
          <w:tcPr>
            <w:tcW w:w="243" w:type="pct"/>
            <w:vMerge w:val="restart"/>
            <w:noWrap w:val="0"/>
            <w:vAlign w:val="center"/>
          </w:tcPr>
          <w:p w14:paraId="41576EF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13.5 </w:t>
            </w:r>
          </w:p>
        </w:tc>
        <w:tc>
          <w:tcPr>
            <w:tcW w:w="238" w:type="pct"/>
            <w:noWrap w:val="0"/>
            <w:vAlign w:val="center"/>
          </w:tcPr>
          <w:p w14:paraId="431306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5DB5F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362" w:type="pct"/>
            <w:noWrap w:val="0"/>
            <w:vAlign w:val="bottom"/>
          </w:tcPr>
          <w:p w14:paraId="3DAB67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00BB2E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3F7A94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71983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60477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69D2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38C92B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6F631F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4EFFE3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02414C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5A3CF4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062839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1382899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48090BB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2F85039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1512F0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30061B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75.8 </w:t>
            </w:r>
          </w:p>
        </w:tc>
        <w:tc>
          <w:tcPr>
            <w:tcW w:w="362" w:type="pct"/>
            <w:noWrap w:val="0"/>
            <w:vAlign w:val="bottom"/>
          </w:tcPr>
          <w:p w14:paraId="5E8B8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26062C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41EB4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19038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1144A9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78F1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C92B8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2223B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6987BC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077954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2B4F75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0AF503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E9DA0D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3A235A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0B411D4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6015D5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63D5F2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5 </w:t>
            </w:r>
          </w:p>
        </w:tc>
        <w:tc>
          <w:tcPr>
            <w:tcW w:w="362" w:type="pct"/>
            <w:noWrap w:val="0"/>
            <w:vAlign w:val="bottom"/>
          </w:tcPr>
          <w:p w14:paraId="7F3D9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62.3 </w:t>
            </w:r>
          </w:p>
        </w:tc>
        <w:tc>
          <w:tcPr>
            <w:tcW w:w="258" w:type="pct"/>
            <w:vMerge w:val="continue"/>
            <w:noWrap w:val="0"/>
            <w:vAlign w:val="center"/>
          </w:tcPr>
          <w:p w14:paraId="317AEC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B719E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8859A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41.3</w:t>
            </w:r>
          </w:p>
        </w:tc>
        <w:tc>
          <w:tcPr>
            <w:tcW w:w="391" w:type="pct"/>
            <w:noWrap w:val="0"/>
            <w:vAlign w:val="bottom"/>
          </w:tcPr>
          <w:p w14:paraId="26C9C9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46EB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657540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674EF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5AEB7E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3CB050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2DB76D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6E0BF0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D0C3C5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3DFB60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1769F0E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5D9837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2AE61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15.8 </w:t>
            </w:r>
          </w:p>
        </w:tc>
        <w:tc>
          <w:tcPr>
            <w:tcW w:w="362" w:type="pct"/>
            <w:noWrap w:val="0"/>
            <w:vAlign w:val="bottom"/>
          </w:tcPr>
          <w:p w14:paraId="1F22D3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5B90C0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330D1C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4D6A9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338AF3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34F9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3CEE56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w:t>
            </w:r>
          </w:p>
        </w:tc>
        <w:tc>
          <w:tcPr>
            <w:tcW w:w="248" w:type="pct"/>
            <w:vMerge w:val="continue"/>
            <w:noWrap w:val="0"/>
            <w:vAlign w:val="center"/>
          </w:tcPr>
          <w:p w14:paraId="4A52D3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35897B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打磨机</w:t>
            </w:r>
          </w:p>
        </w:tc>
        <w:tc>
          <w:tcPr>
            <w:tcW w:w="491" w:type="pct"/>
            <w:vMerge w:val="restart"/>
            <w:noWrap w:val="0"/>
            <w:vAlign w:val="center"/>
          </w:tcPr>
          <w:p w14:paraId="3CA9DC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332" w:type="pct"/>
            <w:vMerge w:val="restart"/>
            <w:noWrap w:val="0"/>
            <w:vAlign w:val="center"/>
          </w:tcPr>
          <w:p w14:paraId="541D70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p>
        </w:tc>
        <w:tc>
          <w:tcPr>
            <w:tcW w:w="305" w:type="pct"/>
            <w:vMerge w:val="continue"/>
            <w:noWrap w:val="0"/>
            <w:vAlign w:val="center"/>
          </w:tcPr>
          <w:p w14:paraId="50C78C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0C5326A7">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34.0 </w:t>
            </w:r>
          </w:p>
        </w:tc>
        <w:tc>
          <w:tcPr>
            <w:tcW w:w="248" w:type="pct"/>
            <w:vMerge w:val="restart"/>
            <w:noWrap w:val="0"/>
            <w:vAlign w:val="center"/>
          </w:tcPr>
          <w:p w14:paraId="29E1EEA9">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45.8 </w:t>
            </w:r>
          </w:p>
        </w:tc>
        <w:tc>
          <w:tcPr>
            <w:tcW w:w="243" w:type="pct"/>
            <w:vMerge w:val="restart"/>
            <w:noWrap w:val="0"/>
            <w:vAlign w:val="center"/>
          </w:tcPr>
          <w:p w14:paraId="259CC019">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13.5 </w:t>
            </w:r>
          </w:p>
        </w:tc>
        <w:tc>
          <w:tcPr>
            <w:tcW w:w="238" w:type="pct"/>
            <w:noWrap w:val="0"/>
            <w:vAlign w:val="center"/>
          </w:tcPr>
          <w:p w14:paraId="3CFACF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57620E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362" w:type="pct"/>
            <w:noWrap w:val="0"/>
            <w:vAlign w:val="bottom"/>
          </w:tcPr>
          <w:p w14:paraId="0F87E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614519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66DC8B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646277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41163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66B4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400C03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250A91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2C6626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0E1AE1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4BAB18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1DF072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6A4E12D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64C2D51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17D6D89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3C7EF7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0AD1C2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75.8 </w:t>
            </w:r>
          </w:p>
        </w:tc>
        <w:tc>
          <w:tcPr>
            <w:tcW w:w="362" w:type="pct"/>
            <w:noWrap w:val="0"/>
            <w:vAlign w:val="bottom"/>
          </w:tcPr>
          <w:p w14:paraId="7141FC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0B81D9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36764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078EEE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42F050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3618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2F6CDC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3AFE6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581B01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23F374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3CCB31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003D0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810F71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156177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F09499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5A3B89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6C14C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 </w:t>
            </w:r>
          </w:p>
        </w:tc>
        <w:tc>
          <w:tcPr>
            <w:tcW w:w="362" w:type="pct"/>
            <w:noWrap w:val="0"/>
            <w:vAlign w:val="bottom"/>
          </w:tcPr>
          <w:p w14:paraId="01BC1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63.1 </w:t>
            </w:r>
          </w:p>
        </w:tc>
        <w:tc>
          <w:tcPr>
            <w:tcW w:w="258" w:type="pct"/>
            <w:vMerge w:val="continue"/>
            <w:noWrap w:val="0"/>
            <w:vAlign w:val="center"/>
          </w:tcPr>
          <w:p w14:paraId="09F283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611580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410843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42.1</w:t>
            </w:r>
          </w:p>
        </w:tc>
        <w:tc>
          <w:tcPr>
            <w:tcW w:w="391" w:type="pct"/>
            <w:noWrap w:val="0"/>
            <w:vAlign w:val="bottom"/>
          </w:tcPr>
          <w:p w14:paraId="56EA0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3F0B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396DE0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FAC1A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78C67C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1" w:type="pct"/>
            <w:vMerge w:val="continue"/>
            <w:noWrap w:val="0"/>
            <w:vAlign w:val="center"/>
          </w:tcPr>
          <w:p w14:paraId="03D35C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32" w:type="pct"/>
            <w:vMerge w:val="continue"/>
            <w:noWrap w:val="0"/>
            <w:vAlign w:val="center"/>
          </w:tcPr>
          <w:p w14:paraId="252D0E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0B2E0F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0072DC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97782A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542A27C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3DC4AC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09598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16.8 </w:t>
            </w:r>
          </w:p>
        </w:tc>
        <w:tc>
          <w:tcPr>
            <w:tcW w:w="362" w:type="pct"/>
            <w:noWrap w:val="0"/>
            <w:vAlign w:val="bottom"/>
          </w:tcPr>
          <w:p w14:paraId="37127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65DA65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670F5A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64D5B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21442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7ED9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58B4B9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w:t>
            </w:r>
          </w:p>
        </w:tc>
        <w:tc>
          <w:tcPr>
            <w:tcW w:w="248" w:type="pct"/>
            <w:vMerge w:val="continue"/>
            <w:noWrap w:val="0"/>
            <w:vAlign w:val="center"/>
          </w:tcPr>
          <w:p w14:paraId="416EF5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247" w:type="pct"/>
            <w:vMerge w:val="restart"/>
            <w:noWrap w:val="0"/>
            <w:vAlign w:val="center"/>
          </w:tcPr>
          <w:p w14:paraId="477DA5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打磨机</w:t>
            </w:r>
          </w:p>
        </w:tc>
        <w:tc>
          <w:tcPr>
            <w:tcW w:w="491" w:type="pct"/>
            <w:vMerge w:val="restart"/>
            <w:noWrap w:val="0"/>
            <w:vAlign w:val="center"/>
          </w:tcPr>
          <w:p w14:paraId="4DBBBB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332" w:type="pct"/>
            <w:vMerge w:val="restart"/>
            <w:noWrap w:val="0"/>
            <w:vAlign w:val="center"/>
          </w:tcPr>
          <w:p w14:paraId="0F2858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p>
        </w:tc>
        <w:tc>
          <w:tcPr>
            <w:tcW w:w="305" w:type="pct"/>
            <w:vMerge w:val="continue"/>
            <w:noWrap w:val="0"/>
            <w:vAlign w:val="center"/>
          </w:tcPr>
          <w:p w14:paraId="15850A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4E368151">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34.0 </w:t>
            </w:r>
          </w:p>
        </w:tc>
        <w:tc>
          <w:tcPr>
            <w:tcW w:w="248" w:type="pct"/>
            <w:vMerge w:val="restart"/>
            <w:noWrap w:val="0"/>
            <w:vAlign w:val="center"/>
          </w:tcPr>
          <w:p w14:paraId="7E13586B">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44.8 </w:t>
            </w:r>
          </w:p>
        </w:tc>
        <w:tc>
          <w:tcPr>
            <w:tcW w:w="243" w:type="pct"/>
            <w:vMerge w:val="restart"/>
            <w:noWrap w:val="0"/>
            <w:vAlign w:val="center"/>
          </w:tcPr>
          <w:p w14:paraId="41914045">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13.5 </w:t>
            </w:r>
          </w:p>
        </w:tc>
        <w:tc>
          <w:tcPr>
            <w:tcW w:w="238" w:type="pct"/>
            <w:noWrap w:val="0"/>
            <w:vAlign w:val="center"/>
          </w:tcPr>
          <w:p w14:paraId="43BEEB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2E03FA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 </w:t>
            </w:r>
          </w:p>
        </w:tc>
        <w:tc>
          <w:tcPr>
            <w:tcW w:w="362" w:type="pct"/>
            <w:noWrap w:val="0"/>
            <w:vAlign w:val="bottom"/>
          </w:tcPr>
          <w:p w14:paraId="65D5B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3AD3ED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639A28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6A4164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3FD623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6001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7B286D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7214A0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748CE7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1" w:type="pct"/>
            <w:vMerge w:val="continue"/>
            <w:noWrap w:val="0"/>
            <w:vAlign w:val="center"/>
          </w:tcPr>
          <w:p w14:paraId="711483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32" w:type="pct"/>
            <w:vMerge w:val="continue"/>
            <w:noWrap w:val="0"/>
            <w:vAlign w:val="center"/>
          </w:tcPr>
          <w:p w14:paraId="0695F9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60A96D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5943910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4C8CF8D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7195BDA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150DAF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325F1C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75.8 </w:t>
            </w:r>
          </w:p>
        </w:tc>
        <w:tc>
          <w:tcPr>
            <w:tcW w:w="362" w:type="pct"/>
            <w:noWrap w:val="0"/>
            <w:vAlign w:val="bottom"/>
          </w:tcPr>
          <w:p w14:paraId="1E926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388C93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D84F0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E6B5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4245BC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3C6B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06683C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E1064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6A92BF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256F35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6D67AE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73307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C89F5A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DD5CC5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58D2821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6D85AA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4C9E09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 </w:t>
            </w:r>
          </w:p>
        </w:tc>
        <w:tc>
          <w:tcPr>
            <w:tcW w:w="362" w:type="pct"/>
            <w:noWrap w:val="0"/>
            <w:vAlign w:val="bottom"/>
          </w:tcPr>
          <w:p w14:paraId="555807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64.5 </w:t>
            </w:r>
          </w:p>
        </w:tc>
        <w:tc>
          <w:tcPr>
            <w:tcW w:w="258" w:type="pct"/>
            <w:vMerge w:val="continue"/>
            <w:noWrap w:val="0"/>
            <w:vAlign w:val="center"/>
          </w:tcPr>
          <w:p w14:paraId="71CFFC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1E5E42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65B5F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43.5</w:t>
            </w:r>
          </w:p>
        </w:tc>
        <w:tc>
          <w:tcPr>
            <w:tcW w:w="391" w:type="pct"/>
            <w:noWrap w:val="0"/>
            <w:vAlign w:val="bottom"/>
          </w:tcPr>
          <w:p w14:paraId="4CF17C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3A2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23FF32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60437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38B1CF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3205EC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5041A3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38EEDC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25A2EF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AE2709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A67478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7A8B7E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4FC80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17.8 </w:t>
            </w:r>
          </w:p>
        </w:tc>
        <w:tc>
          <w:tcPr>
            <w:tcW w:w="362" w:type="pct"/>
            <w:noWrap w:val="0"/>
            <w:vAlign w:val="bottom"/>
          </w:tcPr>
          <w:p w14:paraId="2F07E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4E1507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6F2CD1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186952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7C2766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2304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6CE46A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w:t>
            </w:r>
          </w:p>
        </w:tc>
        <w:tc>
          <w:tcPr>
            <w:tcW w:w="248" w:type="pct"/>
            <w:vMerge w:val="continue"/>
            <w:noWrap w:val="0"/>
            <w:vAlign w:val="center"/>
          </w:tcPr>
          <w:p w14:paraId="3053E9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2B0AEA8D">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切割</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2E3A24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07FBA1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w:t>
            </w:r>
          </w:p>
        </w:tc>
        <w:tc>
          <w:tcPr>
            <w:tcW w:w="305" w:type="pct"/>
            <w:vMerge w:val="continue"/>
            <w:noWrap w:val="0"/>
            <w:vAlign w:val="center"/>
          </w:tcPr>
          <w:p w14:paraId="164C337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4AF92D8F">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22.9 </w:t>
            </w:r>
          </w:p>
        </w:tc>
        <w:tc>
          <w:tcPr>
            <w:tcW w:w="248" w:type="pct"/>
            <w:vMerge w:val="restart"/>
            <w:noWrap w:val="0"/>
            <w:vAlign w:val="center"/>
          </w:tcPr>
          <w:p w14:paraId="2A9DDE3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60.6 </w:t>
            </w:r>
          </w:p>
        </w:tc>
        <w:tc>
          <w:tcPr>
            <w:tcW w:w="243" w:type="pct"/>
            <w:vMerge w:val="restart"/>
            <w:noWrap w:val="0"/>
            <w:vAlign w:val="center"/>
          </w:tcPr>
          <w:p w14:paraId="480CF005">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238" w:type="pct"/>
            <w:noWrap w:val="0"/>
            <w:vAlign w:val="center"/>
          </w:tcPr>
          <w:p w14:paraId="6C750F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41849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25 </w:t>
            </w:r>
          </w:p>
        </w:tc>
        <w:tc>
          <w:tcPr>
            <w:tcW w:w="362" w:type="pct"/>
            <w:noWrap w:val="0"/>
            <w:vAlign w:val="bottom"/>
          </w:tcPr>
          <w:p w14:paraId="58E7D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47.0 </w:t>
            </w:r>
          </w:p>
        </w:tc>
        <w:tc>
          <w:tcPr>
            <w:tcW w:w="258" w:type="pct"/>
            <w:vMerge w:val="continue"/>
            <w:noWrap w:val="0"/>
            <w:vAlign w:val="center"/>
          </w:tcPr>
          <w:p w14:paraId="569F1F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15EFBD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6D1F3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w:t>
            </w:r>
          </w:p>
        </w:tc>
        <w:tc>
          <w:tcPr>
            <w:tcW w:w="391" w:type="pct"/>
            <w:noWrap w:val="0"/>
            <w:vAlign w:val="bottom"/>
          </w:tcPr>
          <w:p w14:paraId="3ED18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7737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586555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37E222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79F514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1" w:type="pct"/>
            <w:vMerge w:val="continue"/>
            <w:noWrap w:val="0"/>
            <w:vAlign w:val="center"/>
          </w:tcPr>
          <w:p w14:paraId="130C1C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32" w:type="pct"/>
            <w:vMerge w:val="continue"/>
            <w:noWrap w:val="0"/>
            <w:vAlign w:val="center"/>
          </w:tcPr>
          <w:p w14:paraId="5B6ADE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33ED90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5FB1E28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441923B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456C494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2D0D54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0EF39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70.8 </w:t>
            </w:r>
          </w:p>
        </w:tc>
        <w:tc>
          <w:tcPr>
            <w:tcW w:w="362" w:type="pct"/>
            <w:noWrap w:val="0"/>
            <w:vAlign w:val="bottom"/>
          </w:tcPr>
          <w:p w14:paraId="23F5A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38.0 </w:t>
            </w:r>
          </w:p>
        </w:tc>
        <w:tc>
          <w:tcPr>
            <w:tcW w:w="258" w:type="pct"/>
            <w:vMerge w:val="continue"/>
            <w:noWrap w:val="0"/>
            <w:vAlign w:val="center"/>
          </w:tcPr>
          <w:p w14:paraId="0FF5B8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BF0CF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8F70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391" w:type="pct"/>
            <w:noWrap w:val="0"/>
            <w:vAlign w:val="bottom"/>
          </w:tcPr>
          <w:p w14:paraId="46E3D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0540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436E86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79BE9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7F3929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2400F7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2E918B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1A54B5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9C7DF9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25A992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7D6C4B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58A8A2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5F98E7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18.8 </w:t>
            </w:r>
          </w:p>
        </w:tc>
        <w:tc>
          <w:tcPr>
            <w:tcW w:w="362" w:type="pct"/>
            <w:noWrap w:val="0"/>
            <w:vAlign w:val="bottom"/>
          </w:tcPr>
          <w:p w14:paraId="63B3B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49.5 </w:t>
            </w:r>
          </w:p>
        </w:tc>
        <w:tc>
          <w:tcPr>
            <w:tcW w:w="258" w:type="pct"/>
            <w:vMerge w:val="continue"/>
            <w:noWrap w:val="0"/>
            <w:vAlign w:val="center"/>
          </w:tcPr>
          <w:p w14:paraId="642E39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CA1DB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5F5B8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33.5</w:t>
            </w:r>
          </w:p>
        </w:tc>
        <w:tc>
          <w:tcPr>
            <w:tcW w:w="391" w:type="pct"/>
            <w:noWrap w:val="0"/>
            <w:vAlign w:val="bottom"/>
          </w:tcPr>
          <w:p w14:paraId="326C46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2C49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51D197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2D6F3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5B066C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6CAB99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2066A9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6E36B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2E8132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18F08E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3F2C74E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4538E0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76DAA7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p>
        </w:tc>
        <w:tc>
          <w:tcPr>
            <w:tcW w:w="362" w:type="pct"/>
            <w:noWrap w:val="0"/>
            <w:vAlign w:val="bottom"/>
          </w:tcPr>
          <w:p w14:paraId="5D4ABD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69.0 </w:t>
            </w:r>
          </w:p>
        </w:tc>
        <w:tc>
          <w:tcPr>
            <w:tcW w:w="258" w:type="pct"/>
            <w:vMerge w:val="continue"/>
            <w:noWrap w:val="0"/>
            <w:vAlign w:val="center"/>
          </w:tcPr>
          <w:p w14:paraId="646F60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88271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657E1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w:t>
            </w:r>
          </w:p>
        </w:tc>
        <w:tc>
          <w:tcPr>
            <w:tcW w:w="391" w:type="pct"/>
            <w:noWrap w:val="0"/>
            <w:vAlign w:val="bottom"/>
          </w:tcPr>
          <w:p w14:paraId="1A7B07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2CF5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146829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w:t>
            </w:r>
          </w:p>
        </w:tc>
        <w:tc>
          <w:tcPr>
            <w:tcW w:w="248" w:type="pct"/>
            <w:vMerge w:val="continue"/>
            <w:noWrap w:val="0"/>
            <w:vAlign w:val="center"/>
          </w:tcPr>
          <w:p w14:paraId="4AD491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54917D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切割</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692A44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413ECB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w:t>
            </w:r>
          </w:p>
        </w:tc>
        <w:tc>
          <w:tcPr>
            <w:tcW w:w="305" w:type="pct"/>
            <w:vMerge w:val="continue"/>
            <w:noWrap w:val="0"/>
            <w:vAlign w:val="center"/>
          </w:tcPr>
          <w:p w14:paraId="3AC073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2FF7F56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21.9 </w:t>
            </w:r>
          </w:p>
        </w:tc>
        <w:tc>
          <w:tcPr>
            <w:tcW w:w="248" w:type="pct"/>
            <w:vMerge w:val="restart"/>
            <w:noWrap w:val="0"/>
            <w:vAlign w:val="center"/>
          </w:tcPr>
          <w:p w14:paraId="2F3100E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60.6 </w:t>
            </w:r>
          </w:p>
        </w:tc>
        <w:tc>
          <w:tcPr>
            <w:tcW w:w="243" w:type="pct"/>
            <w:vMerge w:val="restart"/>
            <w:noWrap w:val="0"/>
            <w:vAlign w:val="center"/>
          </w:tcPr>
          <w:p w14:paraId="13891312">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238" w:type="pct"/>
            <w:noWrap w:val="0"/>
            <w:vAlign w:val="center"/>
          </w:tcPr>
          <w:p w14:paraId="3EAFAD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67DED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26 </w:t>
            </w:r>
          </w:p>
        </w:tc>
        <w:tc>
          <w:tcPr>
            <w:tcW w:w="362" w:type="pct"/>
            <w:noWrap w:val="0"/>
            <w:vAlign w:val="bottom"/>
          </w:tcPr>
          <w:p w14:paraId="37ECC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46.7 </w:t>
            </w:r>
          </w:p>
        </w:tc>
        <w:tc>
          <w:tcPr>
            <w:tcW w:w="258" w:type="pct"/>
            <w:vMerge w:val="continue"/>
            <w:noWrap w:val="0"/>
            <w:vAlign w:val="center"/>
          </w:tcPr>
          <w:p w14:paraId="7CAE99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50174F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370C0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30.7</w:t>
            </w:r>
          </w:p>
        </w:tc>
        <w:tc>
          <w:tcPr>
            <w:tcW w:w="391" w:type="pct"/>
            <w:noWrap w:val="0"/>
            <w:vAlign w:val="bottom"/>
          </w:tcPr>
          <w:p w14:paraId="6A3AC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5EA2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F843D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5F42F3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2BD10F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1" w:type="pct"/>
            <w:vMerge w:val="continue"/>
            <w:noWrap w:val="0"/>
            <w:vAlign w:val="center"/>
          </w:tcPr>
          <w:p w14:paraId="2A21B2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32" w:type="pct"/>
            <w:vMerge w:val="continue"/>
            <w:noWrap w:val="0"/>
            <w:vAlign w:val="center"/>
          </w:tcPr>
          <w:p w14:paraId="24886D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5F9380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505803A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1FF0210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1327223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77792D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101C5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69.8 </w:t>
            </w:r>
          </w:p>
        </w:tc>
        <w:tc>
          <w:tcPr>
            <w:tcW w:w="362" w:type="pct"/>
            <w:noWrap w:val="0"/>
            <w:vAlign w:val="bottom"/>
          </w:tcPr>
          <w:p w14:paraId="62727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38.1 </w:t>
            </w:r>
          </w:p>
        </w:tc>
        <w:tc>
          <w:tcPr>
            <w:tcW w:w="258" w:type="pct"/>
            <w:vMerge w:val="continue"/>
            <w:noWrap w:val="0"/>
            <w:vAlign w:val="center"/>
          </w:tcPr>
          <w:p w14:paraId="7AAC56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6CA94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3CC1AD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22.1</w:t>
            </w:r>
          </w:p>
        </w:tc>
        <w:tc>
          <w:tcPr>
            <w:tcW w:w="391" w:type="pct"/>
            <w:noWrap w:val="0"/>
            <w:vAlign w:val="bottom"/>
          </w:tcPr>
          <w:p w14:paraId="6049D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768B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685646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566F6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399522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1A0F66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5F5686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78A160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2C35D3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1FA701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90D46D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673B9B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6EBB0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18.8 </w:t>
            </w:r>
          </w:p>
        </w:tc>
        <w:tc>
          <w:tcPr>
            <w:tcW w:w="362" w:type="pct"/>
            <w:noWrap w:val="0"/>
            <w:vAlign w:val="bottom"/>
          </w:tcPr>
          <w:p w14:paraId="41146A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49.5 </w:t>
            </w:r>
          </w:p>
        </w:tc>
        <w:tc>
          <w:tcPr>
            <w:tcW w:w="258" w:type="pct"/>
            <w:vMerge w:val="continue"/>
            <w:noWrap w:val="0"/>
            <w:vAlign w:val="center"/>
          </w:tcPr>
          <w:p w14:paraId="55BF4A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A28EF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5C599E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33.5</w:t>
            </w:r>
          </w:p>
        </w:tc>
        <w:tc>
          <w:tcPr>
            <w:tcW w:w="391" w:type="pct"/>
            <w:noWrap w:val="0"/>
            <w:vAlign w:val="bottom"/>
          </w:tcPr>
          <w:p w14:paraId="62759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02B5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041385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EBEA6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472BC3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150053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0ED5F1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254CC0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23919F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7DCA9F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99AFBB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2415AE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1EFB70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p>
        </w:tc>
        <w:tc>
          <w:tcPr>
            <w:tcW w:w="362" w:type="pct"/>
            <w:noWrap w:val="0"/>
            <w:vAlign w:val="bottom"/>
          </w:tcPr>
          <w:p w14:paraId="2048F7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69.0 </w:t>
            </w:r>
          </w:p>
        </w:tc>
        <w:tc>
          <w:tcPr>
            <w:tcW w:w="258" w:type="pct"/>
            <w:vMerge w:val="continue"/>
            <w:noWrap w:val="0"/>
            <w:vAlign w:val="center"/>
          </w:tcPr>
          <w:p w14:paraId="5F0644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E2527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770F7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w:t>
            </w:r>
          </w:p>
        </w:tc>
        <w:tc>
          <w:tcPr>
            <w:tcW w:w="391" w:type="pct"/>
            <w:noWrap w:val="0"/>
            <w:vAlign w:val="bottom"/>
          </w:tcPr>
          <w:p w14:paraId="53DF4F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3488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6509C9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w:t>
            </w:r>
          </w:p>
        </w:tc>
        <w:tc>
          <w:tcPr>
            <w:tcW w:w="248" w:type="pct"/>
            <w:vMerge w:val="continue"/>
            <w:noWrap w:val="0"/>
            <w:vAlign w:val="center"/>
          </w:tcPr>
          <w:p w14:paraId="3C6751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019274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切割</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328D12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4E3811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w:t>
            </w:r>
          </w:p>
        </w:tc>
        <w:tc>
          <w:tcPr>
            <w:tcW w:w="305" w:type="pct"/>
            <w:vMerge w:val="continue"/>
            <w:noWrap w:val="0"/>
            <w:vAlign w:val="center"/>
          </w:tcPr>
          <w:p w14:paraId="226C49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0BC24B2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20.9 </w:t>
            </w:r>
          </w:p>
        </w:tc>
        <w:tc>
          <w:tcPr>
            <w:tcW w:w="248" w:type="pct"/>
            <w:vMerge w:val="restart"/>
            <w:noWrap w:val="0"/>
            <w:vAlign w:val="center"/>
          </w:tcPr>
          <w:p w14:paraId="4C0BC68A">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60.6 </w:t>
            </w:r>
          </w:p>
        </w:tc>
        <w:tc>
          <w:tcPr>
            <w:tcW w:w="243" w:type="pct"/>
            <w:vMerge w:val="restart"/>
            <w:noWrap w:val="0"/>
            <w:vAlign w:val="center"/>
          </w:tcPr>
          <w:p w14:paraId="6303CC0B">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238" w:type="pct"/>
            <w:noWrap w:val="0"/>
            <w:vAlign w:val="center"/>
          </w:tcPr>
          <w:p w14:paraId="22A7D4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2B2B9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27 </w:t>
            </w:r>
          </w:p>
        </w:tc>
        <w:tc>
          <w:tcPr>
            <w:tcW w:w="362" w:type="pct"/>
            <w:noWrap w:val="0"/>
            <w:vAlign w:val="bottom"/>
          </w:tcPr>
          <w:p w14:paraId="509BC2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46.4 </w:t>
            </w:r>
          </w:p>
        </w:tc>
        <w:tc>
          <w:tcPr>
            <w:tcW w:w="258" w:type="pct"/>
            <w:vMerge w:val="continue"/>
            <w:noWrap w:val="0"/>
            <w:vAlign w:val="center"/>
          </w:tcPr>
          <w:p w14:paraId="6EC938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2DBC0D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143AB5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30.4</w:t>
            </w:r>
          </w:p>
        </w:tc>
        <w:tc>
          <w:tcPr>
            <w:tcW w:w="391" w:type="pct"/>
            <w:noWrap w:val="0"/>
            <w:vAlign w:val="bottom"/>
          </w:tcPr>
          <w:p w14:paraId="168000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5576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51846A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61C796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63EE37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1" w:type="pct"/>
            <w:vMerge w:val="continue"/>
            <w:noWrap w:val="0"/>
            <w:vAlign w:val="center"/>
          </w:tcPr>
          <w:p w14:paraId="3AD4E0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32" w:type="pct"/>
            <w:vMerge w:val="continue"/>
            <w:noWrap w:val="0"/>
            <w:vAlign w:val="center"/>
          </w:tcPr>
          <w:p w14:paraId="611570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781A24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7CBE1A2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093F871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21BF64E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651CF4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32606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68.8 </w:t>
            </w:r>
          </w:p>
        </w:tc>
        <w:tc>
          <w:tcPr>
            <w:tcW w:w="362" w:type="pct"/>
            <w:noWrap w:val="0"/>
            <w:vAlign w:val="bottom"/>
          </w:tcPr>
          <w:p w14:paraId="51169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38.2 </w:t>
            </w:r>
          </w:p>
        </w:tc>
        <w:tc>
          <w:tcPr>
            <w:tcW w:w="258" w:type="pct"/>
            <w:vMerge w:val="continue"/>
            <w:noWrap w:val="0"/>
            <w:vAlign w:val="center"/>
          </w:tcPr>
          <w:p w14:paraId="578BFF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32C63E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3CAC5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22.2</w:t>
            </w:r>
          </w:p>
        </w:tc>
        <w:tc>
          <w:tcPr>
            <w:tcW w:w="391" w:type="pct"/>
            <w:noWrap w:val="0"/>
            <w:vAlign w:val="bottom"/>
          </w:tcPr>
          <w:p w14:paraId="65726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77A1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8C674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07417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1DB47A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4A1676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647801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377A21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DF927B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234189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4B6A5BD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71037A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2F3CA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18.8 </w:t>
            </w:r>
          </w:p>
        </w:tc>
        <w:tc>
          <w:tcPr>
            <w:tcW w:w="362" w:type="pct"/>
            <w:noWrap w:val="0"/>
            <w:vAlign w:val="bottom"/>
          </w:tcPr>
          <w:p w14:paraId="1C429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49.5 </w:t>
            </w:r>
          </w:p>
        </w:tc>
        <w:tc>
          <w:tcPr>
            <w:tcW w:w="258" w:type="pct"/>
            <w:vMerge w:val="continue"/>
            <w:noWrap w:val="0"/>
            <w:vAlign w:val="center"/>
          </w:tcPr>
          <w:p w14:paraId="14E90D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5D6F4A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70C64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33.5</w:t>
            </w:r>
          </w:p>
        </w:tc>
        <w:tc>
          <w:tcPr>
            <w:tcW w:w="391" w:type="pct"/>
            <w:noWrap w:val="0"/>
            <w:vAlign w:val="bottom"/>
          </w:tcPr>
          <w:p w14:paraId="36D98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56B3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4AD9F1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DD808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52D0ED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1AFB8B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109E19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96EA4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BF2454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422272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746C09A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617DF3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2BF56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p>
        </w:tc>
        <w:tc>
          <w:tcPr>
            <w:tcW w:w="362" w:type="pct"/>
            <w:noWrap w:val="0"/>
            <w:vAlign w:val="bottom"/>
          </w:tcPr>
          <w:p w14:paraId="06654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69.0 </w:t>
            </w:r>
          </w:p>
        </w:tc>
        <w:tc>
          <w:tcPr>
            <w:tcW w:w="258" w:type="pct"/>
            <w:vMerge w:val="continue"/>
            <w:noWrap w:val="0"/>
            <w:vAlign w:val="center"/>
          </w:tcPr>
          <w:p w14:paraId="1DFF89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BE051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552978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w:t>
            </w:r>
          </w:p>
        </w:tc>
        <w:tc>
          <w:tcPr>
            <w:tcW w:w="391" w:type="pct"/>
            <w:noWrap w:val="0"/>
            <w:vAlign w:val="bottom"/>
          </w:tcPr>
          <w:p w14:paraId="676C0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1070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34CCB1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w:t>
            </w:r>
          </w:p>
        </w:tc>
        <w:tc>
          <w:tcPr>
            <w:tcW w:w="248" w:type="pct"/>
            <w:vMerge w:val="continue"/>
            <w:noWrap w:val="0"/>
            <w:vAlign w:val="center"/>
          </w:tcPr>
          <w:p w14:paraId="548F5A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62DF8F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切割</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5EC70A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530D9B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75</w:t>
            </w:r>
          </w:p>
        </w:tc>
        <w:tc>
          <w:tcPr>
            <w:tcW w:w="305" w:type="pct"/>
            <w:vMerge w:val="continue"/>
            <w:noWrap w:val="0"/>
            <w:vAlign w:val="center"/>
          </w:tcPr>
          <w:p w14:paraId="266D71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1AE05C6A">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19.9 </w:t>
            </w:r>
          </w:p>
        </w:tc>
        <w:tc>
          <w:tcPr>
            <w:tcW w:w="248" w:type="pct"/>
            <w:vMerge w:val="restart"/>
            <w:noWrap w:val="0"/>
            <w:vAlign w:val="center"/>
          </w:tcPr>
          <w:p w14:paraId="7534AE2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60.6 </w:t>
            </w:r>
          </w:p>
        </w:tc>
        <w:tc>
          <w:tcPr>
            <w:tcW w:w="243" w:type="pct"/>
            <w:vMerge w:val="restart"/>
            <w:noWrap w:val="0"/>
            <w:vAlign w:val="center"/>
          </w:tcPr>
          <w:p w14:paraId="0669094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238" w:type="pct"/>
            <w:noWrap w:val="0"/>
            <w:vAlign w:val="center"/>
          </w:tcPr>
          <w:p w14:paraId="788836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255BF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28 </w:t>
            </w:r>
          </w:p>
        </w:tc>
        <w:tc>
          <w:tcPr>
            <w:tcW w:w="362" w:type="pct"/>
            <w:noWrap w:val="0"/>
            <w:vAlign w:val="bottom"/>
          </w:tcPr>
          <w:p w14:paraId="33A95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46.1 </w:t>
            </w:r>
          </w:p>
        </w:tc>
        <w:tc>
          <w:tcPr>
            <w:tcW w:w="258" w:type="pct"/>
            <w:vMerge w:val="continue"/>
            <w:noWrap w:val="0"/>
            <w:vAlign w:val="center"/>
          </w:tcPr>
          <w:p w14:paraId="493E55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195FCF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1830A9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30.1</w:t>
            </w:r>
          </w:p>
        </w:tc>
        <w:tc>
          <w:tcPr>
            <w:tcW w:w="391" w:type="pct"/>
            <w:noWrap w:val="0"/>
            <w:vAlign w:val="bottom"/>
          </w:tcPr>
          <w:p w14:paraId="38BA2A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772D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7941C8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150074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635DB9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1" w:type="pct"/>
            <w:vMerge w:val="continue"/>
            <w:noWrap w:val="0"/>
            <w:vAlign w:val="center"/>
          </w:tcPr>
          <w:p w14:paraId="6193C8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32" w:type="pct"/>
            <w:vMerge w:val="continue"/>
            <w:noWrap w:val="0"/>
            <w:vAlign w:val="center"/>
          </w:tcPr>
          <w:p w14:paraId="718200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5FA99F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2105F19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481BA3A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2F23EE8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75EEE3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59F29E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67.8 </w:t>
            </w:r>
          </w:p>
        </w:tc>
        <w:tc>
          <w:tcPr>
            <w:tcW w:w="362" w:type="pct"/>
            <w:noWrap w:val="0"/>
            <w:vAlign w:val="bottom"/>
          </w:tcPr>
          <w:p w14:paraId="588D6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38.4 </w:t>
            </w:r>
          </w:p>
        </w:tc>
        <w:tc>
          <w:tcPr>
            <w:tcW w:w="258" w:type="pct"/>
            <w:vMerge w:val="continue"/>
            <w:noWrap w:val="0"/>
            <w:vAlign w:val="center"/>
          </w:tcPr>
          <w:p w14:paraId="6462FB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143BD6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B91C6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22.4</w:t>
            </w:r>
          </w:p>
        </w:tc>
        <w:tc>
          <w:tcPr>
            <w:tcW w:w="391" w:type="pct"/>
            <w:noWrap w:val="0"/>
            <w:vAlign w:val="bottom"/>
          </w:tcPr>
          <w:p w14:paraId="59C3B2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02EB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5B8875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83634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7C2D07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538166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278A09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65E09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56C344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1E061B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572EB6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09312D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14261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18.8 </w:t>
            </w:r>
          </w:p>
        </w:tc>
        <w:tc>
          <w:tcPr>
            <w:tcW w:w="362" w:type="pct"/>
            <w:noWrap w:val="0"/>
            <w:vAlign w:val="bottom"/>
          </w:tcPr>
          <w:p w14:paraId="037A7F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49.5 </w:t>
            </w:r>
          </w:p>
        </w:tc>
        <w:tc>
          <w:tcPr>
            <w:tcW w:w="258" w:type="pct"/>
            <w:vMerge w:val="continue"/>
            <w:noWrap w:val="0"/>
            <w:vAlign w:val="center"/>
          </w:tcPr>
          <w:p w14:paraId="7F2CDC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40A1A9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478D1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33.5</w:t>
            </w:r>
          </w:p>
        </w:tc>
        <w:tc>
          <w:tcPr>
            <w:tcW w:w="391" w:type="pct"/>
            <w:noWrap w:val="0"/>
            <w:vAlign w:val="bottom"/>
          </w:tcPr>
          <w:p w14:paraId="2C395C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540A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276B3D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5F05C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63733F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2E7394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6998C5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25DEBE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1F8018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3E6A67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CC5BBB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2F9E0E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105E49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p>
        </w:tc>
        <w:tc>
          <w:tcPr>
            <w:tcW w:w="362" w:type="pct"/>
            <w:noWrap w:val="0"/>
            <w:vAlign w:val="bottom"/>
          </w:tcPr>
          <w:p w14:paraId="08CD7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69.0 </w:t>
            </w:r>
          </w:p>
        </w:tc>
        <w:tc>
          <w:tcPr>
            <w:tcW w:w="258" w:type="pct"/>
            <w:vMerge w:val="continue"/>
            <w:noWrap w:val="0"/>
            <w:vAlign w:val="center"/>
          </w:tcPr>
          <w:p w14:paraId="37E2F9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6749EE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00FBC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w:t>
            </w:r>
          </w:p>
        </w:tc>
        <w:tc>
          <w:tcPr>
            <w:tcW w:w="391" w:type="pct"/>
            <w:noWrap w:val="0"/>
            <w:vAlign w:val="bottom"/>
          </w:tcPr>
          <w:p w14:paraId="0A70B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08B0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4351F1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w:t>
            </w:r>
          </w:p>
        </w:tc>
        <w:tc>
          <w:tcPr>
            <w:tcW w:w="248" w:type="pct"/>
            <w:vMerge w:val="continue"/>
            <w:noWrap w:val="0"/>
            <w:vAlign w:val="center"/>
          </w:tcPr>
          <w:p w14:paraId="17176A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7" w:type="pct"/>
            <w:vMerge w:val="restart"/>
            <w:noWrap w:val="0"/>
            <w:vAlign w:val="center"/>
          </w:tcPr>
          <w:p w14:paraId="02D99B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切割</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010558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0F23FE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w:t>
            </w:r>
          </w:p>
        </w:tc>
        <w:tc>
          <w:tcPr>
            <w:tcW w:w="305" w:type="pct"/>
            <w:vMerge w:val="continue"/>
            <w:noWrap w:val="0"/>
            <w:vAlign w:val="center"/>
          </w:tcPr>
          <w:p w14:paraId="6C100F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248" w:type="pct"/>
            <w:vMerge w:val="restart"/>
            <w:noWrap w:val="0"/>
            <w:vAlign w:val="center"/>
          </w:tcPr>
          <w:p w14:paraId="38E3FA58">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18.9 </w:t>
            </w:r>
          </w:p>
        </w:tc>
        <w:tc>
          <w:tcPr>
            <w:tcW w:w="248" w:type="pct"/>
            <w:vMerge w:val="restart"/>
            <w:noWrap w:val="0"/>
            <w:vAlign w:val="center"/>
          </w:tcPr>
          <w:p w14:paraId="25202BA7">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60.6 </w:t>
            </w:r>
          </w:p>
        </w:tc>
        <w:tc>
          <w:tcPr>
            <w:tcW w:w="243" w:type="pct"/>
            <w:vMerge w:val="restart"/>
            <w:noWrap w:val="0"/>
            <w:vAlign w:val="center"/>
          </w:tcPr>
          <w:p w14:paraId="26B045F1">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238" w:type="pct"/>
            <w:noWrap w:val="0"/>
            <w:vAlign w:val="center"/>
          </w:tcPr>
          <w:p w14:paraId="30BB35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6D1993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29 </w:t>
            </w:r>
          </w:p>
        </w:tc>
        <w:tc>
          <w:tcPr>
            <w:tcW w:w="362" w:type="pct"/>
            <w:noWrap w:val="0"/>
            <w:vAlign w:val="bottom"/>
          </w:tcPr>
          <w:p w14:paraId="36FD80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45.8 </w:t>
            </w:r>
          </w:p>
        </w:tc>
        <w:tc>
          <w:tcPr>
            <w:tcW w:w="258" w:type="pct"/>
            <w:vMerge w:val="continue"/>
            <w:noWrap w:val="0"/>
            <w:vAlign w:val="center"/>
          </w:tcPr>
          <w:p w14:paraId="54D29E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397" w:type="pct"/>
            <w:vMerge w:val="restart"/>
            <w:noWrap w:val="0"/>
            <w:vAlign w:val="center"/>
          </w:tcPr>
          <w:p w14:paraId="15C4A3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427511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29.8</w:t>
            </w:r>
          </w:p>
        </w:tc>
        <w:tc>
          <w:tcPr>
            <w:tcW w:w="391" w:type="pct"/>
            <w:noWrap w:val="0"/>
            <w:vAlign w:val="bottom"/>
          </w:tcPr>
          <w:p w14:paraId="2F10C9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7EFB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6B84B0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5CB650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7" w:type="pct"/>
            <w:vMerge w:val="continue"/>
            <w:noWrap w:val="0"/>
            <w:vAlign w:val="center"/>
          </w:tcPr>
          <w:p w14:paraId="1931FE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1" w:type="pct"/>
            <w:vMerge w:val="continue"/>
            <w:noWrap w:val="0"/>
            <w:vAlign w:val="center"/>
          </w:tcPr>
          <w:p w14:paraId="7DF410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32" w:type="pct"/>
            <w:vMerge w:val="continue"/>
            <w:noWrap w:val="0"/>
            <w:vAlign w:val="center"/>
          </w:tcPr>
          <w:p w14:paraId="688876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305" w:type="pct"/>
            <w:vMerge w:val="continue"/>
            <w:noWrap w:val="0"/>
            <w:vAlign w:val="center"/>
          </w:tcPr>
          <w:p w14:paraId="0693C7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5FD89B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8" w:type="pct"/>
            <w:vMerge w:val="continue"/>
            <w:noWrap w:val="0"/>
            <w:vAlign w:val="center"/>
          </w:tcPr>
          <w:p w14:paraId="66C990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43" w:type="pct"/>
            <w:vMerge w:val="continue"/>
            <w:noWrap w:val="0"/>
            <w:vAlign w:val="center"/>
          </w:tcPr>
          <w:p w14:paraId="3DA3B2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38" w:type="pct"/>
            <w:noWrap w:val="0"/>
            <w:vAlign w:val="center"/>
          </w:tcPr>
          <w:p w14:paraId="495D9A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33C15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66.8 </w:t>
            </w:r>
          </w:p>
        </w:tc>
        <w:tc>
          <w:tcPr>
            <w:tcW w:w="362" w:type="pct"/>
            <w:noWrap w:val="0"/>
            <w:vAlign w:val="bottom"/>
          </w:tcPr>
          <w:p w14:paraId="2517B6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38.5 </w:t>
            </w:r>
          </w:p>
        </w:tc>
        <w:tc>
          <w:tcPr>
            <w:tcW w:w="258" w:type="pct"/>
            <w:vMerge w:val="continue"/>
            <w:noWrap w:val="0"/>
            <w:vAlign w:val="center"/>
          </w:tcPr>
          <w:p w14:paraId="2AE79D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57E85B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366C6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w:t>
            </w:r>
          </w:p>
        </w:tc>
        <w:tc>
          <w:tcPr>
            <w:tcW w:w="391" w:type="pct"/>
            <w:noWrap w:val="0"/>
            <w:vAlign w:val="bottom"/>
          </w:tcPr>
          <w:p w14:paraId="0447F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6BB1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FBC78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54252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23DF38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3B989E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2074BC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619CE8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093EF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5C032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3D7E42C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0205CF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1FE177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18.8 </w:t>
            </w:r>
          </w:p>
        </w:tc>
        <w:tc>
          <w:tcPr>
            <w:tcW w:w="362" w:type="pct"/>
            <w:noWrap w:val="0"/>
            <w:vAlign w:val="bottom"/>
          </w:tcPr>
          <w:p w14:paraId="0AE942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49.5 </w:t>
            </w:r>
          </w:p>
        </w:tc>
        <w:tc>
          <w:tcPr>
            <w:tcW w:w="258" w:type="pct"/>
            <w:vMerge w:val="continue"/>
            <w:noWrap w:val="0"/>
            <w:vAlign w:val="center"/>
          </w:tcPr>
          <w:p w14:paraId="61E750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D355B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19C06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33.5</w:t>
            </w:r>
          </w:p>
        </w:tc>
        <w:tc>
          <w:tcPr>
            <w:tcW w:w="391" w:type="pct"/>
            <w:noWrap w:val="0"/>
            <w:vAlign w:val="bottom"/>
          </w:tcPr>
          <w:p w14:paraId="785DB0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4983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25110E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66BEA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4A12D3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6793A2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21CD62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FF2E9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31F3C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4182D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E311D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5A8EB1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395C9F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2 </w:t>
            </w:r>
          </w:p>
        </w:tc>
        <w:tc>
          <w:tcPr>
            <w:tcW w:w="362" w:type="pct"/>
            <w:noWrap w:val="0"/>
            <w:vAlign w:val="bottom"/>
          </w:tcPr>
          <w:p w14:paraId="71047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69.0 </w:t>
            </w:r>
          </w:p>
        </w:tc>
        <w:tc>
          <w:tcPr>
            <w:tcW w:w="258" w:type="pct"/>
            <w:vMerge w:val="continue"/>
            <w:noWrap w:val="0"/>
            <w:vAlign w:val="center"/>
          </w:tcPr>
          <w:p w14:paraId="16F778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1C851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489C2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w:t>
            </w:r>
          </w:p>
        </w:tc>
        <w:tc>
          <w:tcPr>
            <w:tcW w:w="391" w:type="pct"/>
            <w:noWrap w:val="0"/>
            <w:vAlign w:val="bottom"/>
          </w:tcPr>
          <w:p w14:paraId="6A999B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002E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2FBDB3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2</w:t>
            </w:r>
          </w:p>
        </w:tc>
        <w:tc>
          <w:tcPr>
            <w:tcW w:w="248" w:type="pct"/>
            <w:vMerge w:val="continue"/>
            <w:noWrap w:val="0"/>
            <w:vAlign w:val="center"/>
          </w:tcPr>
          <w:p w14:paraId="534C84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p>
        </w:tc>
        <w:tc>
          <w:tcPr>
            <w:tcW w:w="247" w:type="pct"/>
            <w:vMerge w:val="restart"/>
            <w:noWrap w:val="0"/>
            <w:vAlign w:val="center"/>
          </w:tcPr>
          <w:p w14:paraId="799F139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风机</w:t>
            </w:r>
          </w:p>
        </w:tc>
        <w:tc>
          <w:tcPr>
            <w:tcW w:w="491" w:type="pct"/>
            <w:vMerge w:val="restart"/>
            <w:noWrap w:val="0"/>
            <w:vAlign w:val="center"/>
          </w:tcPr>
          <w:p w14:paraId="7FC423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2C7A6B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305" w:type="pct"/>
            <w:vMerge w:val="continue"/>
            <w:noWrap w:val="0"/>
            <w:vAlign w:val="center"/>
          </w:tcPr>
          <w:p w14:paraId="38966C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p>
        </w:tc>
        <w:tc>
          <w:tcPr>
            <w:tcW w:w="248" w:type="pct"/>
            <w:vMerge w:val="restart"/>
            <w:noWrap w:val="0"/>
            <w:vAlign w:val="center"/>
          </w:tcPr>
          <w:p w14:paraId="70C1E6E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37.9 </w:t>
            </w:r>
          </w:p>
        </w:tc>
        <w:tc>
          <w:tcPr>
            <w:tcW w:w="248" w:type="pct"/>
            <w:vMerge w:val="restart"/>
            <w:noWrap w:val="0"/>
            <w:vAlign w:val="center"/>
          </w:tcPr>
          <w:p w14:paraId="78B4E27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56.8 </w:t>
            </w:r>
          </w:p>
        </w:tc>
        <w:tc>
          <w:tcPr>
            <w:tcW w:w="243" w:type="pct"/>
            <w:vMerge w:val="restart"/>
            <w:noWrap w:val="0"/>
            <w:vAlign w:val="center"/>
          </w:tcPr>
          <w:p w14:paraId="425866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 </w:t>
            </w:r>
          </w:p>
        </w:tc>
        <w:tc>
          <w:tcPr>
            <w:tcW w:w="238" w:type="pct"/>
            <w:noWrap w:val="0"/>
            <w:vAlign w:val="center"/>
          </w:tcPr>
          <w:p w14:paraId="0D76F1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0D94D2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 </w:t>
            </w:r>
          </w:p>
        </w:tc>
        <w:tc>
          <w:tcPr>
            <w:tcW w:w="362" w:type="pct"/>
            <w:noWrap w:val="0"/>
            <w:vAlign w:val="bottom"/>
          </w:tcPr>
          <w:p w14:paraId="0B5C8C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60.8 </w:t>
            </w:r>
          </w:p>
        </w:tc>
        <w:tc>
          <w:tcPr>
            <w:tcW w:w="258" w:type="pct"/>
            <w:vMerge w:val="continue"/>
            <w:noWrap w:val="0"/>
            <w:vAlign w:val="center"/>
          </w:tcPr>
          <w:p w14:paraId="2F9412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p>
        </w:tc>
        <w:tc>
          <w:tcPr>
            <w:tcW w:w="397" w:type="pct"/>
            <w:vMerge w:val="restart"/>
            <w:noWrap w:val="0"/>
            <w:vAlign w:val="center"/>
          </w:tcPr>
          <w:p w14:paraId="194AED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2A115D3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39.8</w:t>
            </w:r>
          </w:p>
        </w:tc>
        <w:tc>
          <w:tcPr>
            <w:tcW w:w="391" w:type="pct"/>
            <w:noWrap w:val="0"/>
            <w:vAlign w:val="bottom"/>
          </w:tcPr>
          <w:p w14:paraId="5B2A86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61EA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3EFDEC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248" w:type="pct"/>
            <w:vMerge w:val="continue"/>
            <w:noWrap w:val="0"/>
            <w:vAlign w:val="center"/>
          </w:tcPr>
          <w:p w14:paraId="55A0D2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054EC0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092B9B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37AEAE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29D280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058E7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317C5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711FB5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3D7CA3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4FD560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85.8 </w:t>
            </w:r>
          </w:p>
        </w:tc>
        <w:tc>
          <w:tcPr>
            <w:tcW w:w="362" w:type="pct"/>
            <w:noWrap w:val="0"/>
            <w:vAlign w:val="bottom"/>
          </w:tcPr>
          <w:p w14:paraId="0C0C249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7767BB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59DF57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5E0000C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0AA20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1832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7EC605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248" w:type="pct"/>
            <w:vMerge w:val="continue"/>
            <w:noWrap w:val="0"/>
            <w:vAlign w:val="center"/>
          </w:tcPr>
          <w:p w14:paraId="5059A0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71C001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44E9C5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4021B3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14B52F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565C1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9630F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E2F6F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6BC239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100845F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15 </w:t>
            </w:r>
          </w:p>
        </w:tc>
        <w:tc>
          <w:tcPr>
            <w:tcW w:w="362" w:type="pct"/>
            <w:noWrap w:val="0"/>
            <w:vAlign w:val="bottom"/>
          </w:tcPr>
          <w:p w14:paraId="1F4D4D1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60.5 </w:t>
            </w:r>
          </w:p>
        </w:tc>
        <w:tc>
          <w:tcPr>
            <w:tcW w:w="258" w:type="pct"/>
            <w:vMerge w:val="continue"/>
            <w:noWrap w:val="0"/>
            <w:vAlign w:val="center"/>
          </w:tcPr>
          <w:p w14:paraId="1ED3AC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9EEDB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4B0D83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39.5</w:t>
            </w:r>
          </w:p>
        </w:tc>
        <w:tc>
          <w:tcPr>
            <w:tcW w:w="391" w:type="pct"/>
            <w:noWrap w:val="0"/>
            <w:vAlign w:val="bottom"/>
          </w:tcPr>
          <w:p w14:paraId="1144E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4648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470D9B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248" w:type="pct"/>
            <w:vMerge w:val="continue"/>
            <w:noWrap w:val="0"/>
            <w:vAlign w:val="center"/>
          </w:tcPr>
          <w:p w14:paraId="3E43A0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4C301C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523467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48A00A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28D978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7B59C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F3D5E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DD022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00EDD1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48E001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5.8 </w:t>
            </w:r>
          </w:p>
        </w:tc>
        <w:tc>
          <w:tcPr>
            <w:tcW w:w="362" w:type="pct"/>
            <w:noWrap w:val="0"/>
            <w:vAlign w:val="bottom"/>
          </w:tcPr>
          <w:p w14:paraId="6D13066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61.8 </w:t>
            </w:r>
          </w:p>
        </w:tc>
        <w:tc>
          <w:tcPr>
            <w:tcW w:w="258" w:type="pct"/>
            <w:vMerge w:val="continue"/>
            <w:noWrap w:val="0"/>
            <w:vAlign w:val="center"/>
          </w:tcPr>
          <w:p w14:paraId="215E89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7B09F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09B662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40.8</w:t>
            </w:r>
          </w:p>
        </w:tc>
        <w:tc>
          <w:tcPr>
            <w:tcW w:w="391" w:type="pct"/>
            <w:noWrap w:val="0"/>
            <w:vAlign w:val="bottom"/>
          </w:tcPr>
          <w:p w14:paraId="4D24B2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7D50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294EEF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3</w:t>
            </w:r>
          </w:p>
        </w:tc>
        <w:tc>
          <w:tcPr>
            <w:tcW w:w="248" w:type="pct"/>
            <w:vMerge w:val="continue"/>
            <w:noWrap w:val="0"/>
            <w:vAlign w:val="center"/>
          </w:tcPr>
          <w:p w14:paraId="30FF66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restart"/>
            <w:noWrap w:val="0"/>
            <w:vAlign w:val="center"/>
          </w:tcPr>
          <w:p w14:paraId="020415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25C3E4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45ECAD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305" w:type="pct"/>
            <w:vMerge w:val="continue"/>
            <w:noWrap w:val="0"/>
            <w:vAlign w:val="center"/>
          </w:tcPr>
          <w:p w14:paraId="487BA5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restart"/>
            <w:noWrap w:val="0"/>
            <w:vAlign w:val="center"/>
          </w:tcPr>
          <w:p w14:paraId="7840032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35.9 </w:t>
            </w:r>
          </w:p>
        </w:tc>
        <w:tc>
          <w:tcPr>
            <w:tcW w:w="248" w:type="pct"/>
            <w:vMerge w:val="restart"/>
            <w:noWrap w:val="0"/>
            <w:vAlign w:val="center"/>
          </w:tcPr>
          <w:p w14:paraId="2C69D5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49.8 </w:t>
            </w:r>
          </w:p>
        </w:tc>
        <w:tc>
          <w:tcPr>
            <w:tcW w:w="243" w:type="pct"/>
            <w:vMerge w:val="restart"/>
            <w:noWrap w:val="0"/>
            <w:vAlign w:val="center"/>
          </w:tcPr>
          <w:p w14:paraId="40FD4F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5.2 </w:t>
            </w:r>
          </w:p>
        </w:tc>
        <w:tc>
          <w:tcPr>
            <w:tcW w:w="238" w:type="pct"/>
            <w:noWrap w:val="0"/>
            <w:vAlign w:val="center"/>
          </w:tcPr>
          <w:p w14:paraId="1F2A51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63024AC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 </w:t>
            </w:r>
          </w:p>
        </w:tc>
        <w:tc>
          <w:tcPr>
            <w:tcW w:w="362" w:type="pct"/>
            <w:noWrap w:val="0"/>
            <w:vAlign w:val="bottom"/>
          </w:tcPr>
          <w:p w14:paraId="3EF5CC0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60.6 </w:t>
            </w:r>
          </w:p>
        </w:tc>
        <w:tc>
          <w:tcPr>
            <w:tcW w:w="258" w:type="pct"/>
            <w:vMerge w:val="continue"/>
            <w:noWrap w:val="0"/>
            <w:vAlign w:val="center"/>
          </w:tcPr>
          <w:p w14:paraId="55373D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restart"/>
            <w:noWrap w:val="0"/>
            <w:vAlign w:val="center"/>
          </w:tcPr>
          <w:p w14:paraId="2125D1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4047F5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39.6</w:t>
            </w:r>
          </w:p>
        </w:tc>
        <w:tc>
          <w:tcPr>
            <w:tcW w:w="391" w:type="pct"/>
            <w:noWrap w:val="0"/>
            <w:vAlign w:val="bottom"/>
          </w:tcPr>
          <w:p w14:paraId="0B4AEF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349A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517D76C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618A4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2ECABD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5FCCCB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2E3525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7B73B1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980F2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1EAED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3D4B0C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2FF860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276474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83.8 </w:t>
            </w:r>
          </w:p>
        </w:tc>
        <w:tc>
          <w:tcPr>
            <w:tcW w:w="362" w:type="pct"/>
            <w:noWrap w:val="0"/>
            <w:vAlign w:val="bottom"/>
          </w:tcPr>
          <w:p w14:paraId="542891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064703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B22F3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4F29803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75584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2D8A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D600E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C8DDE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3DF06A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6AEB47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7D827E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111CB6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0A8DA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FC535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01814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2EE90A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1A7FF3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 </w:t>
            </w:r>
          </w:p>
        </w:tc>
        <w:tc>
          <w:tcPr>
            <w:tcW w:w="362" w:type="pct"/>
            <w:noWrap w:val="0"/>
            <w:vAlign w:val="bottom"/>
          </w:tcPr>
          <w:p w14:paraId="211F9C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61.1 </w:t>
            </w:r>
          </w:p>
        </w:tc>
        <w:tc>
          <w:tcPr>
            <w:tcW w:w="258" w:type="pct"/>
            <w:vMerge w:val="continue"/>
            <w:noWrap w:val="0"/>
            <w:vAlign w:val="center"/>
          </w:tcPr>
          <w:p w14:paraId="16CBA3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0108D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3B5472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40.1</w:t>
            </w:r>
          </w:p>
        </w:tc>
        <w:tc>
          <w:tcPr>
            <w:tcW w:w="391" w:type="pct"/>
            <w:noWrap w:val="0"/>
            <w:vAlign w:val="bottom"/>
          </w:tcPr>
          <w:p w14:paraId="43CC1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0B65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547610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FE896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4AC060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677C62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4DB92B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2CC820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E467A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C8BC3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F397D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2F0435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46C82C6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12.8 </w:t>
            </w:r>
          </w:p>
        </w:tc>
        <w:tc>
          <w:tcPr>
            <w:tcW w:w="362" w:type="pct"/>
            <w:noWrap w:val="0"/>
            <w:vAlign w:val="bottom"/>
          </w:tcPr>
          <w:p w14:paraId="5827B34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60.6 </w:t>
            </w:r>
          </w:p>
        </w:tc>
        <w:tc>
          <w:tcPr>
            <w:tcW w:w="258" w:type="pct"/>
            <w:vMerge w:val="continue"/>
            <w:noWrap w:val="0"/>
            <w:vAlign w:val="center"/>
          </w:tcPr>
          <w:p w14:paraId="757929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425E8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7C32D1B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39.6</w:t>
            </w:r>
          </w:p>
        </w:tc>
        <w:tc>
          <w:tcPr>
            <w:tcW w:w="391" w:type="pct"/>
            <w:noWrap w:val="0"/>
            <w:vAlign w:val="bottom"/>
          </w:tcPr>
          <w:p w14:paraId="02A0D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10F4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76DEAE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4</w:t>
            </w:r>
          </w:p>
        </w:tc>
        <w:tc>
          <w:tcPr>
            <w:tcW w:w="248" w:type="pct"/>
            <w:vMerge w:val="continue"/>
            <w:noWrap w:val="0"/>
            <w:vAlign w:val="center"/>
          </w:tcPr>
          <w:p w14:paraId="3264DE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restart"/>
            <w:noWrap w:val="0"/>
            <w:vAlign w:val="center"/>
          </w:tcPr>
          <w:p w14:paraId="2D88F8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341F34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266862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305" w:type="pct"/>
            <w:vMerge w:val="continue"/>
            <w:noWrap w:val="0"/>
            <w:vAlign w:val="center"/>
          </w:tcPr>
          <w:p w14:paraId="712DEA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restart"/>
            <w:noWrap w:val="0"/>
            <w:vAlign w:val="center"/>
          </w:tcPr>
          <w:p w14:paraId="0E61F00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35.9 </w:t>
            </w:r>
          </w:p>
        </w:tc>
        <w:tc>
          <w:tcPr>
            <w:tcW w:w="248" w:type="pct"/>
            <w:vMerge w:val="restart"/>
            <w:noWrap w:val="0"/>
            <w:vAlign w:val="center"/>
          </w:tcPr>
          <w:p w14:paraId="07CEAB6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46.8 </w:t>
            </w:r>
          </w:p>
        </w:tc>
        <w:tc>
          <w:tcPr>
            <w:tcW w:w="243" w:type="pct"/>
            <w:vMerge w:val="restart"/>
            <w:noWrap w:val="0"/>
            <w:vAlign w:val="center"/>
          </w:tcPr>
          <w:p w14:paraId="6AAD3D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5.2 </w:t>
            </w:r>
          </w:p>
        </w:tc>
        <w:tc>
          <w:tcPr>
            <w:tcW w:w="238" w:type="pct"/>
            <w:noWrap w:val="0"/>
            <w:vAlign w:val="center"/>
          </w:tcPr>
          <w:p w14:paraId="709B40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7839584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 </w:t>
            </w:r>
          </w:p>
        </w:tc>
        <w:tc>
          <w:tcPr>
            <w:tcW w:w="362" w:type="pct"/>
            <w:noWrap w:val="0"/>
            <w:vAlign w:val="bottom"/>
          </w:tcPr>
          <w:p w14:paraId="473803A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60.6 </w:t>
            </w:r>
          </w:p>
        </w:tc>
        <w:tc>
          <w:tcPr>
            <w:tcW w:w="258" w:type="pct"/>
            <w:vMerge w:val="continue"/>
            <w:noWrap w:val="0"/>
            <w:vAlign w:val="center"/>
          </w:tcPr>
          <w:p w14:paraId="26B103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restart"/>
            <w:noWrap w:val="0"/>
            <w:vAlign w:val="center"/>
          </w:tcPr>
          <w:p w14:paraId="66EAE9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6D94A4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39.6</w:t>
            </w:r>
          </w:p>
        </w:tc>
        <w:tc>
          <w:tcPr>
            <w:tcW w:w="391" w:type="pct"/>
            <w:noWrap w:val="0"/>
            <w:vAlign w:val="bottom"/>
          </w:tcPr>
          <w:p w14:paraId="7A342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2441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2D954C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3BCF1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13BE43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15F80B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777D1F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23F022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BFC53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15DFA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541F56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6A243A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64AB6B1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83.8 </w:t>
            </w:r>
          </w:p>
        </w:tc>
        <w:tc>
          <w:tcPr>
            <w:tcW w:w="362" w:type="pct"/>
            <w:noWrap w:val="0"/>
            <w:vAlign w:val="bottom"/>
          </w:tcPr>
          <w:p w14:paraId="40C7975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1D6163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4E260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3B2667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4C6937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455E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C2A0D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B6CB7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09AA83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5B722B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0B73CB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72A579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592AC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86453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BE11C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7F4AD9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087EC80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 </w:t>
            </w:r>
          </w:p>
        </w:tc>
        <w:tc>
          <w:tcPr>
            <w:tcW w:w="362" w:type="pct"/>
            <w:noWrap w:val="0"/>
            <w:vAlign w:val="bottom"/>
          </w:tcPr>
          <w:p w14:paraId="0091240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62.3 </w:t>
            </w:r>
          </w:p>
        </w:tc>
        <w:tc>
          <w:tcPr>
            <w:tcW w:w="258" w:type="pct"/>
            <w:vMerge w:val="continue"/>
            <w:noWrap w:val="0"/>
            <w:vAlign w:val="center"/>
          </w:tcPr>
          <w:p w14:paraId="66754F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3DF77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06F6859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41.3</w:t>
            </w:r>
          </w:p>
        </w:tc>
        <w:tc>
          <w:tcPr>
            <w:tcW w:w="391" w:type="pct"/>
            <w:noWrap w:val="0"/>
            <w:vAlign w:val="bottom"/>
          </w:tcPr>
          <w:p w14:paraId="637F36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7A9E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3B9B5D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0A3B9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602A4A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4084C9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006524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BA292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E8B61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F7866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1966A5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20FDB5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18AE8D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13.8 </w:t>
            </w:r>
          </w:p>
        </w:tc>
        <w:tc>
          <w:tcPr>
            <w:tcW w:w="362" w:type="pct"/>
            <w:noWrap w:val="0"/>
            <w:vAlign w:val="bottom"/>
          </w:tcPr>
          <w:p w14:paraId="1EB3D3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60.5 </w:t>
            </w:r>
          </w:p>
        </w:tc>
        <w:tc>
          <w:tcPr>
            <w:tcW w:w="258" w:type="pct"/>
            <w:vMerge w:val="continue"/>
            <w:noWrap w:val="0"/>
            <w:vAlign w:val="center"/>
          </w:tcPr>
          <w:p w14:paraId="0D4FAB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63C028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6408F4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39.5</w:t>
            </w:r>
          </w:p>
        </w:tc>
        <w:tc>
          <w:tcPr>
            <w:tcW w:w="391" w:type="pct"/>
            <w:noWrap w:val="0"/>
            <w:vAlign w:val="bottom"/>
          </w:tcPr>
          <w:p w14:paraId="7815B9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4E19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2A87B3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15</w:t>
            </w:r>
          </w:p>
        </w:tc>
        <w:tc>
          <w:tcPr>
            <w:tcW w:w="248" w:type="pct"/>
            <w:vMerge w:val="continue"/>
            <w:noWrap w:val="0"/>
            <w:vAlign w:val="center"/>
          </w:tcPr>
          <w:p w14:paraId="587394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restart"/>
            <w:noWrap w:val="0"/>
            <w:vAlign w:val="center"/>
          </w:tcPr>
          <w:p w14:paraId="2A275A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1D0534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5936FC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305" w:type="pct"/>
            <w:vMerge w:val="continue"/>
            <w:noWrap w:val="0"/>
            <w:vAlign w:val="center"/>
          </w:tcPr>
          <w:p w14:paraId="20C284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restart"/>
            <w:noWrap w:val="0"/>
            <w:vAlign w:val="center"/>
          </w:tcPr>
          <w:p w14:paraId="20776F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35.9 </w:t>
            </w:r>
          </w:p>
        </w:tc>
        <w:tc>
          <w:tcPr>
            <w:tcW w:w="248" w:type="pct"/>
            <w:vMerge w:val="restart"/>
            <w:noWrap w:val="0"/>
            <w:vAlign w:val="center"/>
          </w:tcPr>
          <w:p w14:paraId="36901B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43.8 </w:t>
            </w:r>
          </w:p>
        </w:tc>
        <w:tc>
          <w:tcPr>
            <w:tcW w:w="243" w:type="pct"/>
            <w:vMerge w:val="restart"/>
            <w:noWrap w:val="0"/>
            <w:vAlign w:val="center"/>
          </w:tcPr>
          <w:p w14:paraId="7219803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5.2 </w:t>
            </w:r>
          </w:p>
        </w:tc>
        <w:tc>
          <w:tcPr>
            <w:tcW w:w="238" w:type="pct"/>
            <w:noWrap w:val="0"/>
            <w:vAlign w:val="center"/>
          </w:tcPr>
          <w:p w14:paraId="793695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77965A9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 </w:t>
            </w:r>
          </w:p>
        </w:tc>
        <w:tc>
          <w:tcPr>
            <w:tcW w:w="362" w:type="pct"/>
            <w:noWrap w:val="0"/>
            <w:vAlign w:val="bottom"/>
          </w:tcPr>
          <w:p w14:paraId="3D4FAC6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60.6 </w:t>
            </w:r>
          </w:p>
        </w:tc>
        <w:tc>
          <w:tcPr>
            <w:tcW w:w="258" w:type="pct"/>
            <w:vMerge w:val="continue"/>
            <w:noWrap w:val="0"/>
            <w:vAlign w:val="center"/>
          </w:tcPr>
          <w:p w14:paraId="057545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restart"/>
            <w:noWrap w:val="0"/>
            <w:vAlign w:val="center"/>
          </w:tcPr>
          <w:p w14:paraId="70EE17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512E82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39.6</w:t>
            </w:r>
          </w:p>
        </w:tc>
        <w:tc>
          <w:tcPr>
            <w:tcW w:w="391" w:type="pct"/>
            <w:noWrap w:val="0"/>
            <w:vAlign w:val="bottom"/>
          </w:tcPr>
          <w:p w14:paraId="60B5D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5AA8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683D1E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F7D9D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35D896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3400CC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42F4E2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01D616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FC768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D14C5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17747A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622007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18CF219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83.8 </w:t>
            </w:r>
          </w:p>
        </w:tc>
        <w:tc>
          <w:tcPr>
            <w:tcW w:w="362" w:type="pct"/>
            <w:noWrap w:val="0"/>
            <w:vAlign w:val="bottom"/>
          </w:tcPr>
          <w:p w14:paraId="56BCC3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00A6C5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673D06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7C14E0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0785D5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44F2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D925C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6A525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59AE27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3EBC0C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1A151E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7FEACF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C1DBB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D80D7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76C888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2489F2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21E48CD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 </w:t>
            </w:r>
          </w:p>
        </w:tc>
        <w:tc>
          <w:tcPr>
            <w:tcW w:w="362" w:type="pct"/>
            <w:noWrap w:val="0"/>
            <w:vAlign w:val="bottom"/>
          </w:tcPr>
          <w:p w14:paraId="192720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67.0 </w:t>
            </w:r>
          </w:p>
        </w:tc>
        <w:tc>
          <w:tcPr>
            <w:tcW w:w="258" w:type="pct"/>
            <w:vMerge w:val="continue"/>
            <w:noWrap w:val="0"/>
            <w:vAlign w:val="center"/>
          </w:tcPr>
          <w:p w14:paraId="17D667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8F536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6346064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46</w:t>
            </w:r>
          </w:p>
        </w:tc>
        <w:tc>
          <w:tcPr>
            <w:tcW w:w="391" w:type="pct"/>
            <w:noWrap w:val="0"/>
            <w:vAlign w:val="bottom"/>
          </w:tcPr>
          <w:p w14:paraId="3DD44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3D8D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232B9F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1A205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057360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2902CB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100C1B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194B94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9DC10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476C1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DBC4A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52217F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4C56C63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14.8 </w:t>
            </w:r>
          </w:p>
        </w:tc>
        <w:tc>
          <w:tcPr>
            <w:tcW w:w="362" w:type="pct"/>
            <w:noWrap w:val="0"/>
            <w:vAlign w:val="bottom"/>
          </w:tcPr>
          <w:p w14:paraId="39F40A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60.5 </w:t>
            </w:r>
          </w:p>
        </w:tc>
        <w:tc>
          <w:tcPr>
            <w:tcW w:w="258" w:type="pct"/>
            <w:vMerge w:val="continue"/>
            <w:noWrap w:val="0"/>
            <w:vAlign w:val="center"/>
          </w:tcPr>
          <w:p w14:paraId="693E17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119328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10387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39.5</w:t>
            </w:r>
          </w:p>
        </w:tc>
        <w:tc>
          <w:tcPr>
            <w:tcW w:w="391" w:type="pct"/>
            <w:noWrap w:val="0"/>
            <w:vAlign w:val="bottom"/>
          </w:tcPr>
          <w:p w14:paraId="4B31D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209B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0DF142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6</w:t>
            </w:r>
          </w:p>
        </w:tc>
        <w:tc>
          <w:tcPr>
            <w:tcW w:w="248" w:type="pct"/>
            <w:vMerge w:val="continue"/>
            <w:noWrap w:val="0"/>
            <w:vAlign w:val="center"/>
          </w:tcPr>
          <w:p w14:paraId="53B96D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restart"/>
            <w:noWrap w:val="0"/>
            <w:vAlign w:val="center"/>
          </w:tcPr>
          <w:p w14:paraId="0479B8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7D8177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0927CC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305" w:type="pct"/>
            <w:vMerge w:val="continue"/>
            <w:noWrap w:val="0"/>
            <w:vAlign w:val="center"/>
          </w:tcPr>
          <w:p w14:paraId="7BCB17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restart"/>
            <w:noWrap w:val="0"/>
            <w:vAlign w:val="center"/>
          </w:tcPr>
          <w:p w14:paraId="0BFA122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29.9 </w:t>
            </w:r>
          </w:p>
        </w:tc>
        <w:tc>
          <w:tcPr>
            <w:tcW w:w="248" w:type="pct"/>
            <w:vMerge w:val="restart"/>
            <w:noWrap w:val="0"/>
            <w:vAlign w:val="center"/>
          </w:tcPr>
          <w:p w14:paraId="66CDBFE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53.8 </w:t>
            </w:r>
          </w:p>
        </w:tc>
        <w:tc>
          <w:tcPr>
            <w:tcW w:w="243" w:type="pct"/>
            <w:vMerge w:val="restart"/>
            <w:noWrap w:val="0"/>
            <w:vAlign w:val="center"/>
          </w:tcPr>
          <w:p w14:paraId="1BF690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9.4 </w:t>
            </w:r>
          </w:p>
        </w:tc>
        <w:tc>
          <w:tcPr>
            <w:tcW w:w="238" w:type="pct"/>
            <w:noWrap w:val="0"/>
            <w:vAlign w:val="center"/>
          </w:tcPr>
          <w:p w14:paraId="57CEF0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1F9F07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18 </w:t>
            </w:r>
          </w:p>
        </w:tc>
        <w:tc>
          <w:tcPr>
            <w:tcW w:w="362" w:type="pct"/>
            <w:noWrap w:val="0"/>
            <w:vAlign w:val="bottom"/>
          </w:tcPr>
          <w:p w14:paraId="4F0823B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12CABD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restart"/>
            <w:noWrap w:val="0"/>
            <w:vAlign w:val="center"/>
          </w:tcPr>
          <w:p w14:paraId="10A8BE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19978F0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348EDA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6765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45B955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10127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63073D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054E7B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31374C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08F69F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9939E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D1D45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46DF03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3AAB8F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38B28A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77.8 </w:t>
            </w:r>
          </w:p>
        </w:tc>
        <w:tc>
          <w:tcPr>
            <w:tcW w:w="362" w:type="pct"/>
            <w:noWrap w:val="0"/>
            <w:vAlign w:val="bottom"/>
          </w:tcPr>
          <w:p w14:paraId="4853352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09F098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39EF0C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07A0A86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6037D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7C29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604485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8CD6D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3046E2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5858A0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577CD3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167EFC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79CDF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73E8A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53C24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35CAF9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67B7B2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 </w:t>
            </w:r>
          </w:p>
        </w:tc>
        <w:tc>
          <w:tcPr>
            <w:tcW w:w="362" w:type="pct"/>
            <w:noWrap w:val="0"/>
            <w:vAlign w:val="bottom"/>
          </w:tcPr>
          <w:p w14:paraId="3996385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60.6 </w:t>
            </w:r>
          </w:p>
        </w:tc>
        <w:tc>
          <w:tcPr>
            <w:tcW w:w="258" w:type="pct"/>
            <w:vMerge w:val="continue"/>
            <w:noWrap w:val="0"/>
            <w:vAlign w:val="center"/>
          </w:tcPr>
          <w:p w14:paraId="0DCF77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5B5A88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3F815F4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39.6</w:t>
            </w:r>
          </w:p>
        </w:tc>
        <w:tc>
          <w:tcPr>
            <w:tcW w:w="391" w:type="pct"/>
            <w:noWrap w:val="0"/>
            <w:vAlign w:val="bottom"/>
          </w:tcPr>
          <w:p w14:paraId="1F188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109B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4CEE4E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B0951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337C65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09A68C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086174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3A4C7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46BF0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725A2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743C7B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5361D2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6CC086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8.8 </w:t>
            </w:r>
          </w:p>
        </w:tc>
        <w:tc>
          <w:tcPr>
            <w:tcW w:w="362" w:type="pct"/>
            <w:noWrap w:val="0"/>
            <w:vAlign w:val="bottom"/>
          </w:tcPr>
          <w:p w14:paraId="1C3CE4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61.0 </w:t>
            </w:r>
          </w:p>
        </w:tc>
        <w:tc>
          <w:tcPr>
            <w:tcW w:w="258" w:type="pct"/>
            <w:vMerge w:val="continue"/>
            <w:noWrap w:val="0"/>
            <w:vAlign w:val="center"/>
          </w:tcPr>
          <w:p w14:paraId="1B2D7E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6AB1FB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0BB908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40</w:t>
            </w:r>
          </w:p>
        </w:tc>
        <w:tc>
          <w:tcPr>
            <w:tcW w:w="391" w:type="pct"/>
            <w:noWrap w:val="0"/>
            <w:vAlign w:val="bottom"/>
          </w:tcPr>
          <w:p w14:paraId="0B5D2B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34DF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6FC6A0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7</w:t>
            </w:r>
          </w:p>
        </w:tc>
        <w:tc>
          <w:tcPr>
            <w:tcW w:w="248" w:type="pct"/>
            <w:vMerge w:val="continue"/>
            <w:noWrap w:val="0"/>
            <w:vAlign w:val="center"/>
          </w:tcPr>
          <w:p w14:paraId="4D2E41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restart"/>
            <w:noWrap w:val="0"/>
            <w:vAlign w:val="center"/>
          </w:tcPr>
          <w:p w14:paraId="255879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79275D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11DD5F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305" w:type="pct"/>
            <w:vMerge w:val="continue"/>
            <w:noWrap w:val="0"/>
            <w:vAlign w:val="center"/>
          </w:tcPr>
          <w:p w14:paraId="1541D5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restart"/>
            <w:noWrap w:val="0"/>
            <w:vAlign w:val="center"/>
          </w:tcPr>
          <w:p w14:paraId="3DE4B8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29.9 </w:t>
            </w:r>
          </w:p>
        </w:tc>
        <w:tc>
          <w:tcPr>
            <w:tcW w:w="248" w:type="pct"/>
            <w:vMerge w:val="restart"/>
            <w:noWrap w:val="0"/>
            <w:vAlign w:val="center"/>
          </w:tcPr>
          <w:p w14:paraId="1ABFE8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50.8 </w:t>
            </w:r>
          </w:p>
        </w:tc>
        <w:tc>
          <w:tcPr>
            <w:tcW w:w="243" w:type="pct"/>
            <w:vMerge w:val="restart"/>
            <w:noWrap w:val="0"/>
            <w:vAlign w:val="center"/>
          </w:tcPr>
          <w:p w14:paraId="0A222A1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9.4 </w:t>
            </w:r>
          </w:p>
        </w:tc>
        <w:tc>
          <w:tcPr>
            <w:tcW w:w="238" w:type="pct"/>
            <w:noWrap w:val="0"/>
            <w:vAlign w:val="center"/>
          </w:tcPr>
          <w:p w14:paraId="2DBF63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426E870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18 </w:t>
            </w:r>
          </w:p>
        </w:tc>
        <w:tc>
          <w:tcPr>
            <w:tcW w:w="362" w:type="pct"/>
            <w:noWrap w:val="0"/>
            <w:vAlign w:val="bottom"/>
          </w:tcPr>
          <w:p w14:paraId="5A598B4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32C664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restart"/>
            <w:noWrap w:val="0"/>
            <w:vAlign w:val="center"/>
          </w:tcPr>
          <w:p w14:paraId="551E23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2AA11FC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0456BA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3203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2919357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32CE8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7FBFBF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6F83EC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4C2196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06D8F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A8661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D241A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441877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3AA84D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702D14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77.8 </w:t>
            </w:r>
          </w:p>
        </w:tc>
        <w:tc>
          <w:tcPr>
            <w:tcW w:w="362" w:type="pct"/>
            <w:noWrap w:val="0"/>
            <w:vAlign w:val="bottom"/>
          </w:tcPr>
          <w:p w14:paraId="2811312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3B3994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58F0FD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1E7861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4998F8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06ED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5CBF08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61EA9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074D38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4BE51A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41056A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0E6B4A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88C3F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41441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7DE300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4CC042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582078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9 </w:t>
            </w:r>
          </w:p>
        </w:tc>
        <w:tc>
          <w:tcPr>
            <w:tcW w:w="362" w:type="pct"/>
            <w:noWrap w:val="0"/>
            <w:vAlign w:val="bottom"/>
          </w:tcPr>
          <w:p w14:paraId="10D86F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60.9 </w:t>
            </w:r>
          </w:p>
        </w:tc>
        <w:tc>
          <w:tcPr>
            <w:tcW w:w="258" w:type="pct"/>
            <w:vMerge w:val="continue"/>
            <w:noWrap w:val="0"/>
            <w:vAlign w:val="center"/>
          </w:tcPr>
          <w:p w14:paraId="0BB53A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1A2F00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C86D12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39.9</w:t>
            </w:r>
          </w:p>
        </w:tc>
        <w:tc>
          <w:tcPr>
            <w:tcW w:w="391" w:type="pct"/>
            <w:noWrap w:val="0"/>
            <w:vAlign w:val="bottom"/>
          </w:tcPr>
          <w:p w14:paraId="0DB948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52B9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47B981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7A30B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5F26AE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015670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7AEA64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19AF06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99B4C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B36B5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0D728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67634F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22CF678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9.8 </w:t>
            </w:r>
          </w:p>
        </w:tc>
        <w:tc>
          <w:tcPr>
            <w:tcW w:w="362" w:type="pct"/>
            <w:noWrap w:val="0"/>
            <w:vAlign w:val="bottom"/>
          </w:tcPr>
          <w:p w14:paraId="730074C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60.8 </w:t>
            </w:r>
          </w:p>
        </w:tc>
        <w:tc>
          <w:tcPr>
            <w:tcW w:w="258" w:type="pct"/>
            <w:vMerge w:val="continue"/>
            <w:noWrap w:val="0"/>
            <w:vAlign w:val="center"/>
          </w:tcPr>
          <w:p w14:paraId="72AD78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069388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0EB70A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39.8</w:t>
            </w:r>
          </w:p>
        </w:tc>
        <w:tc>
          <w:tcPr>
            <w:tcW w:w="391" w:type="pct"/>
            <w:noWrap w:val="0"/>
            <w:vAlign w:val="bottom"/>
          </w:tcPr>
          <w:p w14:paraId="7C2AA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2C0B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48C321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8</w:t>
            </w:r>
          </w:p>
        </w:tc>
        <w:tc>
          <w:tcPr>
            <w:tcW w:w="248" w:type="pct"/>
            <w:vMerge w:val="continue"/>
            <w:noWrap w:val="0"/>
            <w:vAlign w:val="center"/>
          </w:tcPr>
          <w:p w14:paraId="2C8559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restart"/>
            <w:noWrap w:val="0"/>
            <w:vAlign w:val="center"/>
          </w:tcPr>
          <w:p w14:paraId="49EE23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12D6BE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447847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305" w:type="pct"/>
            <w:vMerge w:val="continue"/>
            <w:noWrap w:val="0"/>
            <w:vAlign w:val="center"/>
          </w:tcPr>
          <w:p w14:paraId="3005BA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restart"/>
            <w:noWrap w:val="0"/>
            <w:vAlign w:val="center"/>
          </w:tcPr>
          <w:p w14:paraId="64BD3C2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27.9 </w:t>
            </w:r>
          </w:p>
        </w:tc>
        <w:tc>
          <w:tcPr>
            <w:tcW w:w="248" w:type="pct"/>
            <w:vMerge w:val="restart"/>
            <w:noWrap w:val="0"/>
            <w:vAlign w:val="center"/>
          </w:tcPr>
          <w:p w14:paraId="2C6065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49.8 </w:t>
            </w:r>
          </w:p>
        </w:tc>
        <w:tc>
          <w:tcPr>
            <w:tcW w:w="243" w:type="pct"/>
            <w:vMerge w:val="restart"/>
            <w:noWrap w:val="0"/>
            <w:vAlign w:val="center"/>
          </w:tcPr>
          <w:p w14:paraId="4BA82C8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13.6 </w:t>
            </w:r>
          </w:p>
        </w:tc>
        <w:tc>
          <w:tcPr>
            <w:tcW w:w="238" w:type="pct"/>
            <w:noWrap w:val="0"/>
            <w:vAlign w:val="center"/>
          </w:tcPr>
          <w:p w14:paraId="392903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50F2B50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20 </w:t>
            </w:r>
          </w:p>
        </w:tc>
        <w:tc>
          <w:tcPr>
            <w:tcW w:w="362" w:type="pct"/>
            <w:noWrap w:val="0"/>
            <w:vAlign w:val="bottom"/>
          </w:tcPr>
          <w:p w14:paraId="00EDFCF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60.4 </w:t>
            </w:r>
          </w:p>
        </w:tc>
        <w:tc>
          <w:tcPr>
            <w:tcW w:w="258" w:type="pct"/>
            <w:vMerge w:val="continue"/>
            <w:noWrap w:val="0"/>
            <w:vAlign w:val="center"/>
          </w:tcPr>
          <w:p w14:paraId="16E296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restart"/>
            <w:noWrap w:val="0"/>
            <w:vAlign w:val="center"/>
          </w:tcPr>
          <w:p w14:paraId="32EDEA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4247A2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39.4</w:t>
            </w:r>
          </w:p>
        </w:tc>
        <w:tc>
          <w:tcPr>
            <w:tcW w:w="391" w:type="pct"/>
            <w:noWrap w:val="0"/>
            <w:vAlign w:val="bottom"/>
          </w:tcPr>
          <w:p w14:paraId="74CFC4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0402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07BD4B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86735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3BE757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6496B6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169193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7028266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30CA78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04F63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00012B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3599C9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2E81114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75.8 </w:t>
            </w:r>
          </w:p>
        </w:tc>
        <w:tc>
          <w:tcPr>
            <w:tcW w:w="362" w:type="pct"/>
            <w:noWrap w:val="0"/>
            <w:vAlign w:val="bottom"/>
          </w:tcPr>
          <w:p w14:paraId="1358E2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0A6182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22F71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63B2EF6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09154A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1781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26EFAD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EED1A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7B20B4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13F126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2BDF41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1BC132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51E53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E9584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139555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246CC6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3FA2902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 </w:t>
            </w:r>
          </w:p>
        </w:tc>
        <w:tc>
          <w:tcPr>
            <w:tcW w:w="362" w:type="pct"/>
            <w:noWrap w:val="0"/>
            <w:vAlign w:val="bottom"/>
          </w:tcPr>
          <w:p w14:paraId="3FC185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61.1 </w:t>
            </w:r>
          </w:p>
        </w:tc>
        <w:tc>
          <w:tcPr>
            <w:tcW w:w="258" w:type="pct"/>
            <w:vMerge w:val="continue"/>
            <w:noWrap w:val="0"/>
            <w:vAlign w:val="center"/>
          </w:tcPr>
          <w:p w14:paraId="49B50D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30E011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737274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40.1</w:t>
            </w:r>
          </w:p>
        </w:tc>
        <w:tc>
          <w:tcPr>
            <w:tcW w:w="391" w:type="pct"/>
            <w:noWrap w:val="0"/>
            <w:vAlign w:val="bottom"/>
          </w:tcPr>
          <w:p w14:paraId="357096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6593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EAA30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F23F4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0A0C56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4DF8A4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5A7AE7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267426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F4A77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5890DE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A2B82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1CA48B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761A7F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10.8 </w:t>
            </w:r>
          </w:p>
        </w:tc>
        <w:tc>
          <w:tcPr>
            <w:tcW w:w="362" w:type="pct"/>
            <w:noWrap w:val="0"/>
            <w:vAlign w:val="bottom"/>
          </w:tcPr>
          <w:p w14:paraId="08BD8E6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60.7 </w:t>
            </w:r>
          </w:p>
        </w:tc>
        <w:tc>
          <w:tcPr>
            <w:tcW w:w="258" w:type="pct"/>
            <w:vMerge w:val="continue"/>
            <w:noWrap w:val="0"/>
            <w:vAlign w:val="center"/>
          </w:tcPr>
          <w:p w14:paraId="030EA7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6A6A25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C44B6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39.7</w:t>
            </w:r>
          </w:p>
        </w:tc>
        <w:tc>
          <w:tcPr>
            <w:tcW w:w="391" w:type="pct"/>
            <w:noWrap w:val="0"/>
            <w:vAlign w:val="bottom"/>
          </w:tcPr>
          <w:p w14:paraId="0098F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7C01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restart"/>
            <w:noWrap w:val="0"/>
            <w:vAlign w:val="center"/>
          </w:tcPr>
          <w:p w14:paraId="4DEEEE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9</w:t>
            </w:r>
          </w:p>
        </w:tc>
        <w:tc>
          <w:tcPr>
            <w:tcW w:w="248" w:type="pct"/>
            <w:vMerge w:val="continue"/>
            <w:noWrap w:val="0"/>
            <w:vAlign w:val="center"/>
          </w:tcPr>
          <w:p w14:paraId="021711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restart"/>
            <w:noWrap w:val="0"/>
            <w:vAlign w:val="center"/>
          </w:tcPr>
          <w:p w14:paraId="6F83C1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机</w:t>
            </w:r>
          </w:p>
        </w:tc>
        <w:tc>
          <w:tcPr>
            <w:tcW w:w="491" w:type="pct"/>
            <w:vMerge w:val="restart"/>
            <w:noWrap w:val="0"/>
            <w:vAlign w:val="center"/>
          </w:tcPr>
          <w:p w14:paraId="738A1A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332" w:type="pct"/>
            <w:vMerge w:val="restart"/>
            <w:noWrap w:val="0"/>
            <w:vAlign w:val="center"/>
          </w:tcPr>
          <w:p w14:paraId="33BDD8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305" w:type="pct"/>
            <w:vMerge w:val="continue"/>
            <w:noWrap w:val="0"/>
            <w:vAlign w:val="center"/>
          </w:tcPr>
          <w:p w14:paraId="57EE31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restart"/>
            <w:noWrap w:val="0"/>
            <w:vAlign w:val="center"/>
          </w:tcPr>
          <w:p w14:paraId="7D86410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22.9 </w:t>
            </w:r>
          </w:p>
        </w:tc>
        <w:tc>
          <w:tcPr>
            <w:tcW w:w="248" w:type="pct"/>
            <w:vMerge w:val="restart"/>
            <w:noWrap w:val="0"/>
            <w:vAlign w:val="center"/>
          </w:tcPr>
          <w:p w14:paraId="6B06530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49.8 </w:t>
            </w:r>
          </w:p>
        </w:tc>
        <w:tc>
          <w:tcPr>
            <w:tcW w:w="243" w:type="pct"/>
            <w:vMerge w:val="restart"/>
            <w:noWrap w:val="0"/>
            <w:vAlign w:val="center"/>
          </w:tcPr>
          <w:p w14:paraId="53D2C6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13.6 </w:t>
            </w:r>
          </w:p>
        </w:tc>
        <w:tc>
          <w:tcPr>
            <w:tcW w:w="238" w:type="pct"/>
            <w:noWrap w:val="0"/>
            <w:vAlign w:val="center"/>
          </w:tcPr>
          <w:p w14:paraId="21B880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东</w:t>
            </w:r>
          </w:p>
        </w:tc>
        <w:tc>
          <w:tcPr>
            <w:tcW w:w="274" w:type="pct"/>
            <w:noWrap w:val="0"/>
            <w:vAlign w:val="bottom"/>
          </w:tcPr>
          <w:p w14:paraId="218A149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25 </w:t>
            </w:r>
          </w:p>
        </w:tc>
        <w:tc>
          <w:tcPr>
            <w:tcW w:w="362" w:type="pct"/>
            <w:noWrap w:val="0"/>
            <w:vAlign w:val="bottom"/>
          </w:tcPr>
          <w:p w14:paraId="3285542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60.3 </w:t>
            </w:r>
          </w:p>
        </w:tc>
        <w:tc>
          <w:tcPr>
            <w:tcW w:w="258" w:type="pct"/>
            <w:vMerge w:val="continue"/>
            <w:noWrap w:val="0"/>
            <w:vAlign w:val="center"/>
          </w:tcPr>
          <w:p w14:paraId="0619FC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restart"/>
            <w:noWrap w:val="0"/>
            <w:vAlign w:val="center"/>
          </w:tcPr>
          <w:p w14:paraId="444BD6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461" w:type="pct"/>
            <w:noWrap w:val="0"/>
            <w:vAlign w:val="center"/>
          </w:tcPr>
          <w:p w14:paraId="6AB394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39.3</w:t>
            </w:r>
          </w:p>
        </w:tc>
        <w:tc>
          <w:tcPr>
            <w:tcW w:w="391" w:type="pct"/>
            <w:noWrap w:val="0"/>
            <w:vAlign w:val="bottom"/>
          </w:tcPr>
          <w:p w14:paraId="7534D8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50 </w:t>
            </w:r>
          </w:p>
        </w:tc>
      </w:tr>
      <w:tr w14:paraId="0CB1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795728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6568F4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48ADC3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50EE73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4BBC68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5A8066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79E84F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B6CDF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6047BB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7C522D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西</w:t>
            </w:r>
          </w:p>
        </w:tc>
        <w:tc>
          <w:tcPr>
            <w:tcW w:w="274" w:type="pct"/>
            <w:noWrap w:val="0"/>
            <w:vAlign w:val="bottom"/>
          </w:tcPr>
          <w:p w14:paraId="029BB5A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70.8 </w:t>
            </w:r>
          </w:p>
        </w:tc>
        <w:tc>
          <w:tcPr>
            <w:tcW w:w="362" w:type="pct"/>
            <w:noWrap w:val="0"/>
            <w:vAlign w:val="bottom"/>
          </w:tcPr>
          <w:p w14:paraId="1F161D3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60.2 </w:t>
            </w:r>
          </w:p>
        </w:tc>
        <w:tc>
          <w:tcPr>
            <w:tcW w:w="258" w:type="pct"/>
            <w:vMerge w:val="continue"/>
            <w:noWrap w:val="0"/>
            <w:vAlign w:val="center"/>
          </w:tcPr>
          <w:p w14:paraId="2D99CD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42201E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43B31F7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39.2</w:t>
            </w:r>
          </w:p>
        </w:tc>
        <w:tc>
          <w:tcPr>
            <w:tcW w:w="391" w:type="pct"/>
            <w:noWrap w:val="0"/>
            <w:vAlign w:val="bottom"/>
          </w:tcPr>
          <w:p w14:paraId="2FE6C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r>
      <w:tr w14:paraId="763F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153420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F64A0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373821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2E51F3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1DA45A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0B2928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4C914E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05CFF1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2282D3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3581C0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南</w:t>
            </w:r>
          </w:p>
        </w:tc>
        <w:tc>
          <w:tcPr>
            <w:tcW w:w="274" w:type="pct"/>
            <w:noWrap w:val="0"/>
            <w:vAlign w:val="bottom"/>
          </w:tcPr>
          <w:p w14:paraId="24FCDE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 </w:t>
            </w:r>
          </w:p>
        </w:tc>
        <w:tc>
          <w:tcPr>
            <w:tcW w:w="362" w:type="pct"/>
            <w:noWrap w:val="0"/>
            <w:vAlign w:val="bottom"/>
          </w:tcPr>
          <w:p w14:paraId="25B313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61.1 </w:t>
            </w:r>
          </w:p>
        </w:tc>
        <w:tc>
          <w:tcPr>
            <w:tcW w:w="258" w:type="pct"/>
            <w:vMerge w:val="continue"/>
            <w:noWrap w:val="0"/>
            <w:vAlign w:val="center"/>
          </w:tcPr>
          <w:p w14:paraId="0D9FDC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22E937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32FAEE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40.1</w:t>
            </w:r>
          </w:p>
        </w:tc>
        <w:tc>
          <w:tcPr>
            <w:tcW w:w="391" w:type="pct"/>
            <w:noWrap w:val="0"/>
            <w:vAlign w:val="bottom"/>
          </w:tcPr>
          <w:p w14:paraId="04484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114.5 </w:t>
            </w:r>
          </w:p>
        </w:tc>
      </w:tr>
      <w:tr w14:paraId="0244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48" w:type="pct"/>
            <w:vMerge w:val="continue"/>
            <w:noWrap w:val="0"/>
            <w:vAlign w:val="center"/>
          </w:tcPr>
          <w:p w14:paraId="0BA501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8648F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7" w:type="pct"/>
            <w:vMerge w:val="continue"/>
            <w:noWrap w:val="0"/>
            <w:vAlign w:val="center"/>
          </w:tcPr>
          <w:p w14:paraId="464855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91" w:type="pct"/>
            <w:vMerge w:val="continue"/>
            <w:noWrap w:val="0"/>
            <w:vAlign w:val="center"/>
          </w:tcPr>
          <w:p w14:paraId="2B4D7A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32" w:type="pct"/>
            <w:vMerge w:val="continue"/>
            <w:noWrap w:val="0"/>
            <w:vAlign w:val="center"/>
          </w:tcPr>
          <w:p w14:paraId="62561D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05" w:type="pct"/>
            <w:vMerge w:val="continue"/>
            <w:noWrap w:val="0"/>
            <w:vAlign w:val="center"/>
          </w:tcPr>
          <w:p w14:paraId="6D3985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1D7249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8" w:type="pct"/>
            <w:vMerge w:val="continue"/>
            <w:noWrap w:val="0"/>
            <w:vAlign w:val="center"/>
          </w:tcPr>
          <w:p w14:paraId="29E9D9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43" w:type="pct"/>
            <w:vMerge w:val="continue"/>
            <w:noWrap w:val="0"/>
            <w:vAlign w:val="center"/>
          </w:tcPr>
          <w:p w14:paraId="721F74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238" w:type="pct"/>
            <w:noWrap w:val="0"/>
            <w:vAlign w:val="center"/>
          </w:tcPr>
          <w:p w14:paraId="1B4EDC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北</w:t>
            </w:r>
          </w:p>
        </w:tc>
        <w:tc>
          <w:tcPr>
            <w:tcW w:w="274" w:type="pct"/>
            <w:noWrap w:val="0"/>
            <w:vAlign w:val="bottom"/>
          </w:tcPr>
          <w:p w14:paraId="066743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 </w:t>
            </w:r>
          </w:p>
        </w:tc>
        <w:tc>
          <w:tcPr>
            <w:tcW w:w="362" w:type="pct"/>
            <w:noWrap w:val="0"/>
            <w:vAlign w:val="bottom"/>
          </w:tcPr>
          <w:p w14:paraId="3748B4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60.7 </w:t>
            </w:r>
          </w:p>
        </w:tc>
        <w:tc>
          <w:tcPr>
            <w:tcW w:w="258" w:type="pct"/>
            <w:vMerge w:val="continue"/>
            <w:noWrap w:val="0"/>
            <w:vAlign w:val="center"/>
          </w:tcPr>
          <w:p w14:paraId="7C8675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397" w:type="pct"/>
            <w:vMerge w:val="continue"/>
            <w:noWrap w:val="0"/>
            <w:vAlign w:val="center"/>
          </w:tcPr>
          <w:p w14:paraId="7109DD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461" w:type="pct"/>
            <w:noWrap w:val="0"/>
            <w:vAlign w:val="center"/>
          </w:tcPr>
          <w:p w14:paraId="293BD77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39.7</w:t>
            </w:r>
          </w:p>
        </w:tc>
        <w:tc>
          <w:tcPr>
            <w:tcW w:w="391" w:type="pct"/>
            <w:noWrap w:val="0"/>
            <w:vAlign w:val="bottom"/>
          </w:tcPr>
          <w:p w14:paraId="17098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10.7 </w:t>
            </w:r>
          </w:p>
        </w:tc>
      </w:tr>
      <w:tr w14:paraId="5F6E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000" w:type="pct"/>
            <w:gridSpan w:val="16"/>
            <w:noWrap w:val="0"/>
            <w:vAlign w:val="center"/>
          </w:tcPr>
          <w:p w14:paraId="26A2E9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注：</w:t>
            </w:r>
            <w:r>
              <w:rPr>
                <w:rFonts w:hint="default" w:ascii="Times New Roman" w:hAnsi="Times New Roman" w:cs="Times New Roman"/>
                <w:b w:val="0"/>
                <w:bCs w:val="0"/>
                <w:color w:val="000000" w:themeColor="text1"/>
                <w:sz w:val="21"/>
                <w:szCs w:val="21"/>
                <w:highlight w:val="none"/>
                <w14:textFill>
                  <w14:solidFill>
                    <w14:schemeClr w14:val="tx1"/>
                  </w14:solidFill>
                </w14:textFill>
              </w:rPr>
              <w:t>本项目以</w:t>
            </w: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厂区</w:t>
            </w:r>
            <w:r>
              <w:rPr>
                <w:rFonts w:hint="default" w:ascii="Times New Roman" w:hAnsi="Times New Roman" w:cs="Times New Roman"/>
                <w:b w:val="0"/>
                <w:bCs w:val="0"/>
                <w:color w:val="000000" w:themeColor="text1"/>
                <w:sz w:val="21"/>
                <w:szCs w:val="21"/>
                <w:highlight w:val="none"/>
                <w14:textFill>
                  <w14:solidFill>
                    <w14:schemeClr w14:val="tx1"/>
                  </w14:solidFill>
                </w14:textFill>
              </w:rPr>
              <w:t>中心为空间相对位置坐标原点，东西走向X轴，南北走向Y轴。</w:t>
            </w:r>
          </w:p>
        </w:tc>
      </w:tr>
    </w:tbl>
    <w:p w14:paraId="5394F4EF">
      <w:pPr>
        <w:rPr>
          <w:color w:val="000000" w:themeColor="text1"/>
          <w:highlight w:val="none"/>
          <w14:textFill>
            <w14:solidFill>
              <w14:schemeClr w14:val="tx1"/>
            </w14:solidFill>
          </w14:textFill>
        </w:rPr>
        <w:sectPr>
          <w:pgSz w:w="16840" w:h="11907" w:orient="landscape"/>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6"/>
        <w:gridCol w:w="9247"/>
      </w:tblGrid>
      <w:tr w14:paraId="74599E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021" w:hRule="atLeast"/>
        </w:trPr>
        <w:tc>
          <w:tcPr>
            <w:tcW w:w="699" w:type="dxa"/>
            <w:vAlign w:val="center"/>
          </w:tcPr>
          <w:p w14:paraId="6A637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8"/>
                <w:szCs w:val="28"/>
                <w:highlight w:val="none"/>
                <w14:textFill>
                  <w14:solidFill>
                    <w14:schemeClr w14:val="tx1"/>
                  </w14:solidFill>
                </w14:textFill>
              </w:rPr>
            </w:pPr>
            <w:r>
              <w:rPr>
                <w:bCs/>
                <w:color w:val="000000" w:themeColor="text1"/>
                <w:szCs w:val="21"/>
                <w:highlight w:val="none"/>
                <w14:textFill>
                  <w14:solidFill>
                    <w14:schemeClr w14:val="tx1"/>
                  </w14:solidFill>
                </w14:textFill>
              </w:rPr>
              <w:t>运营期环境影响和保护措施</w:t>
            </w:r>
          </w:p>
        </w:tc>
        <w:tc>
          <w:tcPr>
            <w:tcW w:w="9028" w:type="dxa"/>
          </w:tcPr>
          <w:p w14:paraId="2E8DB32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lang w:eastAsia="zh-CN"/>
                <w14:textFill>
                  <w14:solidFill>
                    <w14:schemeClr w14:val="tx1"/>
                  </w14:solidFill>
                </w14:textFill>
              </w:rPr>
              <w:t>（</w:t>
            </w:r>
            <w:r>
              <w:rPr>
                <w:rFonts w:hint="eastAsia" w:ascii="Times New Roman" w:hAnsi="Times New Roman"/>
                <w:b/>
                <w:bCs/>
                <w:color w:val="000000" w:themeColor="text1"/>
                <w:sz w:val="24"/>
                <w:highlight w:val="none"/>
                <w:lang w:val="en-US" w:eastAsia="zh-CN"/>
                <w14:textFill>
                  <w14:solidFill>
                    <w14:schemeClr w14:val="tx1"/>
                  </w14:solidFill>
                </w14:textFill>
              </w:rPr>
              <w:t>2</w:t>
            </w:r>
            <w:r>
              <w:rPr>
                <w:rFonts w:hint="eastAsia" w:ascii="Times New Roman" w:hAnsi="Times New Roman"/>
                <w:b/>
                <w:bCs/>
                <w:color w:val="000000" w:themeColor="text1"/>
                <w:sz w:val="24"/>
                <w:highlight w:val="none"/>
                <w:lang w:eastAsia="zh-CN"/>
                <w14:textFill>
                  <w14:solidFill>
                    <w14:schemeClr w14:val="tx1"/>
                  </w14:solidFill>
                </w14:textFill>
              </w:rPr>
              <w:t>）</w:t>
            </w:r>
            <w:r>
              <w:rPr>
                <w:rFonts w:ascii="Times New Roman" w:hAnsi="Times New Roman"/>
                <w:b/>
                <w:bCs/>
                <w:color w:val="000000" w:themeColor="text1"/>
                <w:sz w:val="24"/>
                <w:highlight w:val="none"/>
                <w14:textFill>
                  <w14:solidFill>
                    <w14:schemeClr w14:val="tx1"/>
                  </w14:solidFill>
                </w14:textFill>
              </w:rPr>
              <w:t>达标情况分析</w:t>
            </w:r>
          </w:p>
          <w:p w14:paraId="30641AA6">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①预测模式</w:t>
            </w:r>
          </w:p>
          <w:p w14:paraId="2D1CBC5F">
            <w:pPr>
              <w:adjustRightInd w:val="0"/>
              <w:snapToGrid w:val="0"/>
              <w:spacing w:line="360" w:lineRule="auto"/>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本项目大部分</w:t>
            </w:r>
            <w:r>
              <w:rPr>
                <w:rFonts w:hint="eastAsia"/>
                <w:bCs/>
                <w:color w:val="000000" w:themeColor="text1"/>
                <w:sz w:val="24"/>
                <w:highlight w:val="none"/>
                <w14:textFill>
                  <w14:solidFill>
                    <w14:schemeClr w14:val="tx1"/>
                  </w14:solidFill>
                </w14:textFill>
              </w:rPr>
              <w:t>噪声源位于厂房内，根据《环境影响评价技术导则 声环境》（HJ 2.4-2021），采用《环境影响评价技术导则</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声环境》（HJ 2.4-2021）中推荐的室内声源噪声预测计算模式：</w:t>
            </w:r>
            <w:r>
              <w:rPr>
                <w:bCs/>
                <w:color w:val="000000" w:themeColor="text1"/>
                <w:sz w:val="24"/>
                <w:highlight w:val="none"/>
                <w14:textFill>
                  <w14:solidFill>
                    <w14:schemeClr w14:val="tx1"/>
                  </w14:solidFill>
                </w14:textFill>
              </w:rPr>
              <w:t xml:space="preserve"> </w:t>
            </w:r>
          </w:p>
          <w:p w14:paraId="43D90D52">
            <w:pPr>
              <w:pStyle w:val="14"/>
              <w:tabs>
                <w:tab w:val="left" w:pos="540"/>
                <w:tab w:val="left" w:pos="1080"/>
                <w:tab w:val="left" w:pos="1800"/>
                <w:tab w:val="clear" w:pos="2087"/>
              </w:tabs>
              <w:adjustRightInd w:val="0"/>
              <w:snapToGrid w:val="0"/>
              <w:spacing w:line="360" w:lineRule="auto"/>
              <w:ind w:firstLine="48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drawing>
                <wp:anchor distT="0" distB="0" distL="114300" distR="114300" simplePos="0" relativeHeight="251660288" behindDoc="1" locked="0" layoutInCell="1" allowOverlap="1">
                  <wp:simplePos x="0" y="0"/>
                  <wp:positionH relativeFrom="column">
                    <wp:posOffset>1701165</wp:posOffset>
                  </wp:positionH>
                  <wp:positionV relativeFrom="paragraph">
                    <wp:posOffset>20320</wp:posOffset>
                  </wp:positionV>
                  <wp:extent cx="1973580" cy="581660"/>
                  <wp:effectExtent l="0" t="0" r="7620" b="8890"/>
                  <wp:wrapTight wrapText="bothSides">
                    <wp:wrapPolygon>
                      <wp:start x="0" y="0"/>
                      <wp:lineTo x="0" y="21223"/>
                      <wp:lineTo x="21475" y="21223"/>
                      <wp:lineTo x="21475" y="0"/>
                      <wp:lineTo x="0" y="0"/>
                    </wp:wrapPolygon>
                  </wp:wrapTight>
                  <wp:docPr id="14" name="图片 1660" descr="1654491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60" descr="1654491587(1)"/>
                          <pic:cNvPicPr>
                            <a:picLocks noChangeAspect="1"/>
                          </pic:cNvPicPr>
                        </pic:nvPicPr>
                        <pic:blipFill>
                          <a:blip r:embed="rId26"/>
                          <a:stretch>
                            <a:fillRect/>
                          </a:stretch>
                        </pic:blipFill>
                        <pic:spPr>
                          <a:xfrm>
                            <a:off x="0" y="0"/>
                            <a:ext cx="1973580" cy="581660"/>
                          </a:xfrm>
                          <a:prstGeom prst="rect">
                            <a:avLst/>
                          </a:prstGeom>
                          <a:noFill/>
                          <a:ln>
                            <a:noFill/>
                          </a:ln>
                        </pic:spPr>
                      </pic:pic>
                    </a:graphicData>
                  </a:graphic>
                </wp:anchor>
              </w:drawing>
            </w:r>
          </w:p>
          <w:p w14:paraId="6A5F57CA">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p>
          <w:p w14:paraId="304EC434">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p>
          <w:p w14:paraId="19CC4B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式中：</w:t>
            </w:r>
            <w:r>
              <w:rPr>
                <w:color w:val="000000" w:themeColor="text1"/>
                <w:sz w:val="24"/>
                <w:highlight w:val="none"/>
                <w14:textFill>
                  <w14:solidFill>
                    <w14:schemeClr w14:val="tx1"/>
                  </w14:solidFill>
                </w14:textFill>
              </w:rPr>
              <w:t>Loct,1</w:t>
            </w:r>
            <w:r>
              <w:rPr>
                <w:color w:val="000000" w:themeColor="text1"/>
                <w:sz w:val="24"/>
                <w:highlight w:val="none"/>
                <w14:textFill>
                  <w14:solidFill>
                    <w14:schemeClr w14:val="tx1"/>
                  </w14:solidFill>
                </w14:textFill>
              </w:rPr>
              <w:softHyphen/>
            </w:r>
            <w:r>
              <w:rPr>
                <w:rFonts w:hint="eastAsia"/>
                <w:color w:val="000000" w:themeColor="text1"/>
                <w:sz w:val="24"/>
                <w:highlight w:val="none"/>
                <w14:textFill>
                  <w14:solidFill>
                    <w14:schemeClr w14:val="tx1"/>
                  </w14:solidFill>
                </w14:textFill>
              </w:rPr>
              <w:t>为某个厂房内声源在靠近围护结构处产生的倍频带声压级；</w:t>
            </w:r>
          </w:p>
          <w:p w14:paraId="764A2B6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Lw oct</w:t>
            </w:r>
            <w:r>
              <w:rPr>
                <w:color w:val="000000" w:themeColor="text1"/>
                <w:sz w:val="24"/>
                <w:highlight w:val="none"/>
                <w14:textFill>
                  <w14:solidFill>
                    <w14:schemeClr w14:val="tx1"/>
                  </w14:solidFill>
                </w14:textFill>
              </w:rPr>
              <w:softHyphen/>
            </w:r>
            <w:r>
              <w:rPr>
                <w:rFonts w:hint="eastAsia"/>
                <w:color w:val="000000" w:themeColor="text1"/>
                <w:sz w:val="24"/>
                <w:highlight w:val="none"/>
                <w14:textFill>
                  <w14:solidFill>
                    <w14:schemeClr w14:val="tx1"/>
                  </w14:solidFill>
                </w14:textFill>
              </w:rPr>
              <w:t>为某个声源的倍频带声功率级；</w:t>
            </w:r>
          </w:p>
          <w:p w14:paraId="72B0B204">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r1</w:t>
            </w:r>
            <w:r>
              <w:rPr>
                <w:rFonts w:hint="eastAsia"/>
                <w:color w:val="000000" w:themeColor="text1"/>
                <w:sz w:val="24"/>
                <w:highlight w:val="none"/>
                <w14:textFill>
                  <w14:solidFill>
                    <w14:schemeClr w14:val="tx1"/>
                  </w14:solidFill>
                </w14:textFill>
              </w:rPr>
              <w:t>为室内某个声源与靠近围护结构处的距离；</w:t>
            </w:r>
          </w:p>
          <w:p w14:paraId="3F705389">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w:t>R</w:t>
            </w:r>
            <w:r>
              <w:rPr>
                <w:rFonts w:hint="eastAsia"/>
                <w:color w:val="000000" w:themeColor="text1"/>
                <w:sz w:val="24"/>
                <w:highlight w:val="none"/>
                <w14:textFill>
                  <w14:solidFill>
                    <w14:schemeClr w14:val="tx1"/>
                  </w14:solidFill>
                </w14:textFill>
              </w:rPr>
              <w:t>为房间常数；R=Sa/（1-a），S为房间内表面面积，m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；a为平均吸声系数。</w:t>
            </w:r>
            <w:r>
              <w:rPr>
                <w:rFonts w:hint="eastAsia"/>
                <w:color w:val="000000" w:themeColor="text1"/>
                <w:sz w:val="24"/>
                <w:highlight w:val="none"/>
                <w:lang w:val="en-US" w:eastAsia="zh-CN"/>
                <w14:textFill>
                  <w14:solidFill>
                    <w14:schemeClr w14:val="tx1"/>
                  </w14:solidFill>
                </w14:textFill>
              </w:rPr>
              <w:t>7#车间</w:t>
            </w:r>
            <w:r>
              <w:rPr>
                <w:rFonts w:hint="eastAsia"/>
                <w:color w:val="000000" w:themeColor="text1"/>
                <w:sz w:val="24"/>
                <w:highlight w:val="none"/>
                <w14:textFill>
                  <w14:solidFill>
                    <w14:schemeClr w14:val="tx1"/>
                  </w14:solidFill>
                </w14:textFill>
              </w:rPr>
              <w:t>S=</w:t>
            </w:r>
            <w:r>
              <w:rPr>
                <w:rFonts w:hint="eastAsia"/>
                <w:color w:val="000000" w:themeColor="text1"/>
                <w:sz w:val="24"/>
                <w:highlight w:val="none"/>
                <w:lang w:val="en-US" w:eastAsia="zh-CN"/>
                <w14:textFill>
                  <w14:solidFill>
                    <w14:schemeClr w14:val="tx1"/>
                  </w14:solidFill>
                </w14:textFill>
              </w:rPr>
              <w:t>4965.72</w:t>
            </w:r>
            <w:r>
              <w:rPr>
                <w:rFonts w:hint="eastAsia"/>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、a=0.05</w:t>
            </w:r>
            <w:r>
              <w:rPr>
                <w:rFonts w:hint="eastAsia"/>
                <w:color w:val="000000" w:themeColor="text1"/>
                <w:sz w:val="24"/>
                <w:highlight w:val="none"/>
                <w:lang w:eastAsia="zh-CN"/>
                <w14:textFill>
                  <w14:solidFill>
                    <w14:schemeClr w14:val="tx1"/>
                  </w14:solidFill>
                </w14:textFill>
              </w:rPr>
              <w:t>。</w:t>
            </w:r>
          </w:p>
          <w:p w14:paraId="28A45386">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Q</w:t>
            </w:r>
            <w:r>
              <w:rPr>
                <w:rFonts w:hint="eastAsia"/>
                <w:color w:val="000000" w:themeColor="text1"/>
                <w:sz w:val="24"/>
                <w:highlight w:val="none"/>
                <w14:textFill>
                  <w14:solidFill>
                    <w14:schemeClr w14:val="tx1"/>
                  </w14:solidFill>
                </w14:textFill>
              </w:rPr>
              <w:t>为方向因子；通常对无指向性声源，当声源放在房间中心时，Q=1；当放在一面墙的中心时，Q=2；当放在两面墙夹角处时，Q=4；当放在三面墙夹角处时，Q=8。</w:t>
            </w:r>
          </w:p>
          <w:p w14:paraId="1B074852">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 2 \* GB3 </w:instrText>
            </w:r>
            <w:r>
              <w:rPr>
                <w:color w:val="000000" w:themeColor="text1"/>
                <w:sz w:val="24"/>
                <w:highlight w:val="none"/>
                <w14:textFill>
                  <w14:solidFill>
                    <w14:schemeClr w14:val="tx1"/>
                  </w14:solidFill>
                </w14:textFill>
              </w:rPr>
              <w:fldChar w:fldCharType="separate"/>
            </w:r>
            <w:r>
              <w:rPr>
                <w:rFonts w:hint="eastAsia"/>
                <w:color w:val="000000" w:themeColor="text1"/>
                <w:sz w:val="24"/>
                <w:highlight w:val="none"/>
                <w14:textFill>
                  <w14:solidFill>
                    <w14:schemeClr w14:val="tx1"/>
                  </w14:solidFill>
                </w14:textFill>
              </w:rPr>
              <w:t>②</w:t>
            </w:r>
            <w:r>
              <w:rPr>
                <w:color w:val="000000" w:themeColor="text1"/>
                <w:sz w:val="24"/>
                <w:highlight w:val="none"/>
                <w14:textFill>
                  <w14:solidFill>
                    <w14:schemeClr w14:val="tx1"/>
                  </w14:solidFill>
                </w14:textFill>
              </w:rPr>
              <w:fldChar w:fldCharType="end"/>
            </w:r>
            <w:r>
              <w:rPr>
                <w:rFonts w:hint="eastAsia"/>
                <w:color w:val="000000" w:themeColor="text1"/>
                <w:sz w:val="24"/>
                <w:highlight w:val="none"/>
                <w14:textFill>
                  <w14:solidFill>
                    <w14:schemeClr w14:val="tx1"/>
                  </w14:solidFill>
                </w14:textFill>
              </w:rPr>
              <w:t>所有厂房内声源在靠近围护结构处产生的总倍频带声压级：</w:t>
            </w:r>
          </w:p>
          <w:p w14:paraId="10CDFF03">
            <w:pPr>
              <w:pStyle w:val="14"/>
              <w:tabs>
                <w:tab w:val="left" w:pos="540"/>
                <w:tab w:val="left" w:pos="1080"/>
                <w:tab w:val="left" w:pos="1800"/>
                <w:tab w:val="clear" w:pos="2087"/>
              </w:tabs>
              <w:adjustRightInd w:val="0"/>
              <w:snapToGrid w:val="0"/>
              <w:spacing w:line="360" w:lineRule="auto"/>
              <w:ind w:left="0" w:leftChars="0" w:firstLine="0" w:firstLineChars="0"/>
              <w:jc w:val="center"/>
              <w:rPr>
                <w:color w:val="000000" w:themeColor="text1"/>
                <w:sz w:val="24"/>
                <w:szCs w:val="24"/>
                <w:highlight w:val="none"/>
                <w14:textFill>
                  <w14:solidFill>
                    <w14:schemeClr w14:val="tx1"/>
                  </w14:solidFill>
                </w14:textFill>
              </w:rPr>
            </w:pPr>
            <w:r>
              <w:rPr>
                <w:rFonts w:cs="宋体"/>
                <w:color w:val="000000" w:themeColor="text1"/>
                <w:position w:val="-32"/>
                <w:sz w:val="24"/>
                <w:szCs w:val="24"/>
                <w:highlight w:val="none"/>
                <w14:textFill>
                  <w14:solidFill>
                    <w14:schemeClr w14:val="tx1"/>
                  </w14:solidFill>
                </w14:textFill>
              </w:rPr>
              <w:object>
                <v:shape id="_x0000_i1029" o:spt="75" type="#_x0000_t75" style="height:37pt;width:130.75pt;" o:ole="t" filled="f" o:preferrelative="t" stroked="f" coordsize="21600,21600">
                  <v:path/>
                  <v:fill on="f" focussize="0,0"/>
                  <v:stroke on="f"/>
                  <v:imagedata r:id="rId28" o:title=""/>
                  <o:lock v:ext="edit" aspectratio="t"/>
                  <w10:wrap type="none"/>
                  <w10:anchorlock/>
                </v:shape>
                <o:OLEObject Type="Embed" ProgID="Equation.3" ShapeID="_x0000_i1029" DrawAspect="Content" ObjectID="_1468075729" r:id="rId27">
                  <o:LockedField>false</o:LockedField>
                </o:OLEObject>
              </w:object>
            </w:r>
          </w:p>
          <w:p w14:paraId="7580DB4A">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 3 \* GB3 </w:instrText>
            </w:r>
            <w:r>
              <w:rPr>
                <w:color w:val="000000" w:themeColor="text1"/>
                <w:sz w:val="24"/>
                <w:highlight w:val="none"/>
                <w14:textFill>
                  <w14:solidFill>
                    <w14:schemeClr w14:val="tx1"/>
                  </w14:solidFill>
                </w14:textFill>
              </w:rPr>
              <w:fldChar w:fldCharType="separate"/>
            </w:r>
            <w:r>
              <w:rPr>
                <w:rFonts w:hint="eastAsia"/>
                <w:color w:val="000000" w:themeColor="text1"/>
                <w:sz w:val="24"/>
                <w:highlight w:val="none"/>
                <w14:textFill>
                  <w14:solidFill>
                    <w14:schemeClr w14:val="tx1"/>
                  </w14:solidFill>
                </w14:textFill>
              </w:rPr>
              <w:t>③</w:t>
            </w:r>
            <w:r>
              <w:rPr>
                <w:color w:val="000000" w:themeColor="text1"/>
                <w:sz w:val="24"/>
                <w:highlight w:val="none"/>
                <w14:textFill>
                  <w14:solidFill>
                    <w14:schemeClr w14:val="tx1"/>
                  </w14:solidFill>
                </w14:textFill>
              </w:rPr>
              <w:fldChar w:fldCharType="end"/>
            </w:r>
            <w:r>
              <w:rPr>
                <w:rFonts w:hint="eastAsia"/>
                <w:color w:val="000000" w:themeColor="text1"/>
                <w:sz w:val="24"/>
                <w:highlight w:val="none"/>
                <w14:textFill>
                  <w14:solidFill>
                    <w14:schemeClr w14:val="tx1"/>
                  </w14:solidFill>
                </w14:textFill>
              </w:rPr>
              <w:t>厂房外靠近围护结构处的声压级：</w:t>
            </w:r>
          </w:p>
          <w:p w14:paraId="1DBA13FA">
            <w:pPr>
              <w:pStyle w:val="14"/>
              <w:tabs>
                <w:tab w:val="left" w:pos="540"/>
                <w:tab w:val="left" w:pos="1080"/>
                <w:tab w:val="left" w:pos="1800"/>
                <w:tab w:val="clear" w:pos="2087"/>
              </w:tabs>
              <w:adjustRightInd w:val="0"/>
              <w:snapToGrid w:val="0"/>
              <w:spacing w:line="360" w:lineRule="auto"/>
              <w:ind w:firstLine="480"/>
              <w:jc w:val="center"/>
              <w:rPr>
                <w:rFonts w:cs="宋体"/>
                <w:color w:val="000000" w:themeColor="text1"/>
                <w:sz w:val="24"/>
                <w:szCs w:val="24"/>
                <w:highlight w:val="none"/>
                <w14:textFill>
                  <w14:solidFill>
                    <w14:schemeClr w14:val="tx1"/>
                  </w14:solidFill>
                </w14:textFill>
              </w:rPr>
            </w:pPr>
            <w:r>
              <w:rPr>
                <w:rFonts w:cs="宋体"/>
                <w:color w:val="000000" w:themeColor="text1"/>
                <w:position w:val="-14"/>
                <w:sz w:val="24"/>
                <w:szCs w:val="24"/>
                <w:highlight w:val="none"/>
                <w14:textFill>
                  <w14:solidFill>
                    <w14:schemeClr w14:val="tx1"/>
                  </w14:solidFill>
                </w14:textFill>
              </w:rPr>
              <w:object>
                <v:shape id="_x0000_i1030" o:spt="75" type="#_x0000_t75" style="height:18.75pt;width:153.7pt;" o:ole="t" fillcolor="#6D6D6D" filled="f" o:preferrelative="t" stroked="f" coordsize="21600,21600">
                  <v:path/>
                  <v:fill on="f" focussize="0,0"/>
                  <v:stroke on="f"/>
                  <v:imagedata r:id="rId30" o:title=""/>
                  <o:lock v:ext="edit" aspectratio="t"/>
                  <w10:wrap type="none"/>
                  <w10:anchorlock/>
                </v:shape>
                <o:OLEObject Type="Embed" ProgID="Equation.3" ShapeID="_x0000_i1030" DrawAspect="Content" ObjectID="_1468075730" r:id="rId29">
                  <o:LockedField>false</o:LockedField>
                </o:OLEObject>
              </w:object>
            </w:r>
          </w:p>
          <w:p w14:paraId="1355A014">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式中：</w:t>
            </w:r>
            <w:r>
              <w:rPr>
                <w:color w:val="000000" w:themeColor="text1"/>
                <w:sz w:val="24"/>
                <w:highlight w:val="none"/>
                <w14:textFill>
                  <w14:solidFill>
                    <w14:schemeClr w14:val="tx1"/>
                  </w14:solidFill>
                </w14:textFill>
              </w:rPr>
              <w:t>TL</w:t>
            </w:r>
            <w:r>
              <w:rPr>
                <w:color w:val="000000" w:themeColor="text1"/>
                <w:sz w:val="24"/>
                <w:highlight w:val="none"/>
                <w:vertAlign w:val="subscript"/>
                <w14:textFill>
                  <w14:solidFill>
                    <w14:schemeClr w14:val="tx1"/>
                  </w14:solidFill>
                </w14:textFill>
              </w:rPr>
              <w:t>oct</w:t>
            </w:r>
            <w:r>
              <w:rPr>
                <w:rFonts w:hint="eastAsia"/>
                <w:color w:val="000000" w:themeColor="text1"/>
                <w:sz w:val="24"/>
                <w:highlight w:val="none"/>
                <w14:textFill>
                  <w14:solidFill>
                    <w14:schemeClr w14:val="tx1"/>
                  </w14:solidFill>
                </w14:textFill>
              </w:rPr>
              <w:t>为隔声损失，项目取</w:t>
            </w:r>
            <w:r>
              <w:rPr>
                <w:color w:val="000000" w:themeColor="text1"/>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dB</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A</w:t>
            </w:r>
            <w:r>
              <w:rPr>
                <w:rFonts w:hint="eastAsia"/>
                <w:color w:val="000000" w:themeColor="text1"/>
                <w:sz w:val="24"/>
                <w:highlight w:val="none"/>
                <w14:textFill>
                  <w14:solidFill>
                    <w14:schemeClr w14:val="tx1"/>
                  </w14:solidFill>
                </w14:textFill>
              </w:rPr>
              <w:t>）；</w:t>
            </w:r>
          </w:p>
          <w:p w14:paraId="615D6501">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 4 \* GB3 </w:instrText>
            </w:r>
            <w:r>
              <w:rPr>
                <w:color w:val="000000" w:themeColor="text1"/>
                <w:sz w:val="24"/>
                <w:highlight w:val="none"/>
                <w14:textFill>
                  <w14:solidFill>
                    <w14:schemeClr w14:val="tx1"/>
                  </w14:solidFill>
                </w14:textFill>
              </w:rPr>
              <w:fldChar w:fldCharType="separate"/>
            </w:r>
            <w:r>
              <w:rPr>
                <w:rFonts w:hint="eastAsia"/>
                <w:color w:val="000000" w:themeColor="text1"/>
                <w:sz w:val="24"/>
                <w:highlight w:val="none"/>
                <w14:textFill>
                  <w14:solidFill>
                    <w14:schemeClr w14:val="tx1"/>
                  </w14:solidFill>
                </w14:textFill>
              </w:rPr>
              <w:t>④</w:t>
            </w:r>
            <w:r>
              <w:rPr>
                <w:color w:val="000000" w:themeColor="text1"/>
                <w:sz w:val="24"/>
                <w:highlight w:val="none"/>
                <w14:textFill>
                  <w14:solidFill>
                    <w14:schemeClr w14:val="tx1"/>
                  </w14:solidFill>
                </w14:textFill>
              </w:rPr>
              <w:fldChar w:fldCharType="end"/>
            </w:r>
            <w:r>
              <w:rPr>
                <w:rFonts w:hint="eastAsia"/>
                <w:color w:val="000000" w:themeColor="text1"/>
                <w:sz w:val="24"/>
                <w:highlight w:val="none"/>
                <w14:textFill>
                  <w14:solidFill>
                    <w14:schemeClr w14:val="tx1"/>
                  </w14:solidFill>
                </w14:textFill>
              </w:rPr>
              <w:t>将室外声级</w:t>
            </w:r>
            <w:r>
              <w:rPr>
                <w:color w:val="000000" w:themeColor="text1"/>
                <w:sz w:val="24"/>
                <w:highlight w:val="none"/>
                <w14:textFill>
                  <w14:solidFill>
                    <w14:schemeClr w14:val="tx1"/>
                  </w14:solidFill>
                </w14:textFill>
              </w:rPr>
              <w:t>Loct</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T</w:t>
            </w:r>
            <w:r>
              <w:rPr>
                <w:rFonts w:hint="eastAsia"/>
                <w:color w:val="000000" w:themeColor="text1"/>
                <w:sz w:val="24"/>
                <w:highlight w:val="none"/>
                <w14:textFill>
                  <w14:solidFill>
                    <w14:schemeClr w14:val="tx1"/>
                  </w14:solidFill>
                </w14:textFill>
              </w:rPr>
              <w:t>）和透声面积换算成等效的室外声源，计算出等效声源第</w:t>
            </w:r>
            <w:r>
              <w:rPr>
                <w:color w:val="000000" w:themeColor="text1"/>
                <w:sz w:val="24"/>
                <w:highlight w:val="none"/>
                <w14:textFill>
                  <w14:solidFill>
                    <w14:schemeClr w14:val="tx1"/>
                  </w14:solidFill>
                </w14:textFill>
              </w:rPr>
              <w:t>i</w:t>
            </w:r>
            <w:r>
              <w:rPr>
                <w:rFonts w:hint="eastAsia"/>
                <w:color w:val="000000" w:themeColor="text1"/>
                <w:sz w:val="24"/>
                <w:highlight w:val="none"/>
                <w14:textFill>
                  <w14:solidFill>
                    <w14:schemeClr w14:val="tx1"/>
                  </w14:solidFill>
                </w14:textFill>
              </w:rPr>
              <w:t>个倍频带的声功率级</w:t>
            </w:r>
            <w:r>
              <w:rPr>
                <w:color w:val="000000" w:themeColor="text1"/>
                <w:sz w:val="24"/>
                <w:highlight w:val="none"/>
                <w14:textFill>
                  <w14:solidFill>
                    <w14:schemeClr w14:val="tx1"/>
                  </w14:solidFill>
                </w14:textFill>
              </w:rPr>
              <w:t>Lw oct</w:t>
            </w:r>
            <w:r>
              <w:rPr>
                <w:color w:val="000000" w:themeColor="text1"/>
                <w:sz w:val="24"/>
                <w:highlight w:val="none"/>
                <w14:textFill>
                  <w14:solidFill>
                    <w14:schemeClr w14:val="tx1"/>
                  </w14:solidFill>
                </w14:textFill>
              </w:rPr>
              <w:softHyphen/>
            </w:r>
            <w:r>
              <w:rPr>
                <w:color w:val="000000" w:themeColor="text1"/>
                <w:sz w:val="24"/>
                <w:highlight w:val="none"/>
                <w14:textFill>
                  <w14:solidFill>
                    <w14:schemeClr w14:val="tx1"/>
                  </w14:solidFill>
                </w14:textFill>
              </w:rPr>
              <w:softHyphen/>
            </w:r>
            <w:r>
              <w:rPr>
                <w:rFonts w:hint="eastAsia"/>
                <w:color w:val="000000" w:themeColor="text1"/>
                <w:sz w:val="24"/>
                <w:highlight w:val="none"/>
                <w14:textFill>
                  <w14:solidFill>
                    <w14:schemeClr w14:val="tx1"/>
                  </w14:solidFill>
                </w14:textFill>
              </w:rPr>
              <w:t>：</w:t>
            </w:r>
          </w:p>
          <w:p w14:paraId="1A85C739">
            <w:pPr>
              <w:pStyle w:val="14"/>
              <w:tabs>
                <w:tab w:val="left" w:pos="540"/>
                <w:tab w:val="left" w:pos="1080"/>
                <w:tab w:val="left" w:pos="1800"/>
                <w:tab w:val="clear" w:pos="2087"/>
              </w:tabs>
              <w:adjustRightInd w:val="0"/>
              <w:snapToGrid w:val="0"/>
              <w:spacing w:line="360" w:lineRule="auto"/>
              <w:ind w:firstLine="480"/>
              <w:jc w:val="center"/>
              <w:rPr>
                <w:color w:val="000000" w:themeColor="text1"/>
                <w:sz w:val="24"/>
                <w:szCs w:val="24"/>
                <w:highlight w:val="none"/>
                <w14:textFill>
                  <w14:solidFill>
                    <w14:schemeClr w14:val="tx1"/>
                  </w14:solidFill>
                </w14:textFill>
              </w:rPr>
            </w:pPr>
            <w:r>
              <w:rPr>
                <w:rFonts w:cs="宋体"/>
                <w:color w:val="000000" w:themeColor="text1"/>
                <w:position w:val="-14"/>
                <w:sz w:val="24"/>
                <w:szCs w:val="24"/>
                <w:highlight w:val="none"/>
                <w14:textFill>
                  <w14:solidFill>
                    <w14:schemeClr w14:val="tx1"/>
                  </w14:solidFill>
                </w14:textFill>
              </w:rPr>
              <w:object>
                <v:shape id="_x0000_i1031" o:spt="75" type="#_x0000_t75" style="height:18.75pt;width:126.75pt;" o:ole="t" filled="f" o:preferrelative="t" stroked="f" coordsize="21600,21600">
                  <v:path/>
                  <v:fill on="f" focussize="0,0"/>
                  <v:stroke on="f"/>
                  <v:imagedata r:id="rId32" o:title=""/>
                  <o:lock v:ext="edit" aspectratio="t"/>
                  <w10:wrap type="none"/>
                  <w10:anchorlock/>
                </v:shape>
                <o:OLEObject Type="Embed" ProgID="Equation.3" ShapeID="_x0000_i1031" DrawAspect="Content" ObjectID="_1468075731" r:id="rId31">
                  <o:LockedField>false</o:LockedField>
                </o:OLEObject>
              </w:object>
            </w:r>
          </w:p>
          <w:p w14:paraId="595329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式中：</w:t>
            </w:r>
            <w:r>
              <w:rPr>
                <w:color w:val="000000" w:themeColor="text1"/>
                <w:sz w:val="24"/>
                <w:highlight w:val="none"/>
                <w14:textFill>
                  <w14:solidFill>
                    <w14:schemeClr w14:val="tx1"/>
                  </w14:solidFill>
                </w14:textFill>
              </w:rPr>
              <w:t>S</w:t>
            </w:r>
            <w:r>
              <w:rPr>
                <w:rFonts w:hint="eastAsia"/>
                <w:color w:val="000000" w:themeColor="text1"/>
                <w:sz w:val="24"/>
                <w:highlight w:val="none"/>
                <w14:textFill>
                  <w14:solidFill>
                    <w14:schemeClr w14:val="tx1"/>
                  </w14:solidFill>
                </w14:textFill>
              </w:rPr>
              <w:t>为透声面积，</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7#车间</w:t>
            </w:r>
            <w:r>
              <w:rPr>
                <w:rFonts w:hint="eastAsia"/>
                <w:color w:val="000000" w:themeColor="text1"/>
                <w:sz w:val="24"/>
                <w:highlight w:val="none"/>
                <w:lang w:eastAsia="zh-CN"/>
                <w14:textFill>
                  <w14:solidFill>
                    <w14:schemeClr w14:val="tx1"/>
                  </w14:solidFill>
                </w14:textFill>
              </w:rPr>
              <w:t>东</w:t>
            </w:r>
            <w:r>
              <w:rPr>
                <w:color w:val="000000" w:themeColor="text1"/>
                <w:sz w:val="24"/>
                <w:highlight w:val="none"/>
                <w14:textFill>
                  <w14:solidFill>
                    <w14:schemeClr w14:val="tx1"/>
                  </w14:solidFill>
                </w14:textFill>
              </w:rPr>
              <w:t>侧厂界（</w:t>
            </w:r>
            <w:r>
              <w:rPr>
                <w:rFonts w:hint="eastAsia"/>
                <w:color w:val="000000" w:themeColor="text1"/>
                <w:sz w:val="24"/>
                <w:highlight w:val="none"/>
                <w:lang w:eastAsia="zh-CN"/>
                <w14:textFill>
                  <w14:solidFill>
                    <w14:schemeClr w14:val="tx1"/>
                  </w14:solidFill>
                </w14:textFill>
              </w:rPr>
              <w:t>窗户开口及大门</w:t>
            </w:r>
            <w:r>
              <w:rPr>
                <w:color w:val="000000" w:themeColor="text1"/>
                <w:sz w:val="24"/>
                <w:highlight w:val="none"/>
                <w14:textFill>
                  <w14:solidFill>
                    <w14:schemeClr w14:val="tx1"/>
                  </w14:solidFill>
                </w14:textFill>
              </w:rPr>
              <w:t>）透声面积</w:t>
            </w:r>
            <w:r>
              <w:rPr>
                <w:rFonts w:hint="eastAsia"/>
                <w:color w:val="000000" w:themeColor="text1"/>
                <w:sz w:val="24"/>
                <w:highlight w:val="none"/>
                <w:lang w:eastAsia="zh-CN"/>
                <w14:textFill>
                  <w14:solidFill>
                    <w14:schemeClr w14:val="tx1"/>
                  </w14:solidFill>
                </w14:textFill>
              </w:rPr>
              <w:t>均</w:t>
            </w:r>
            <w:r>
              <w:rPr>
                <w:color w:val="000000" w:themeColor="text1"/>
                <w:sz w:val="24"/>
                <w:highlight w:val="none"/>
                <w14:textFill>
                  <w14:solidFill>
                    <w14:schemeClr w14:val="tx1"/>
                  </w14:solidFill>
                </w14:textFill>
              </w:rPr>
              <w:t>约为</w:t>
            </w:r>
            <w:r>
              <w:rPr>
                <w:rFonts w:hint="eastAsia"/>
                <w:color w:val="000000" w:themeColor="text1"/>
                <w:sz w:val="24"/>
                <w:highlight w:val="none"/>
                <w:lang w:val="en-US" w:eastAsia="zh-CN"/>
                <w14:textFill>
                  <w14:solidFill>
                    <w14:schemeClr w14:val="tx1"/>
                  </w14:solidFill>
                </w14:textFill>
              </w:rPr>
              <w:t>12</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南侧</w:t>
            </w:r>
            <w:r>
              <w:rPr>
                <w:color w:val="000000" w:themeColor="text1"/>
                <w:sz w:val="24"/>
                <w:highlight w:val="none"/>
                <w14:textFill>
                  <w14:solidFill>
                    <w14:schemeClr w14:val="tx1"/>
                  </w14:solidFill>
                </w14:textFill>
              </w:rPr>
              <w:t>厂界（</w:t>
            </w:r>
            <w:r>
              <w:rPr>
                <w:rFonts w:hint="eastAsia"/>
                <w:color w:val="000000" w:themeColor="text1"/>
                <w:sz w:val="24"/>
                <w:highlight w:val="none"/>
                <w:lang w:eastAsia="zh-CN"/>
                <w14:textFill>
                  <w14:solidFill>
                    <w14:schemeClr w14:val="tx1"/>
                  </w14:solidFill>
                </w14:textFill>
              </w:rPr>
              <w:t>窗户开口及大门</w:t>
            </w:r>
            <w:r>
              <w:rPr>
                <w:color w:val="000000" w:themeColor="text1"/>
                <w:sz w:val="24"/>
                <w:highlight w:val="none"/>
                <w14:textFill>
                  <w14:solidFill>
                    <w14:schemeClr w14:val="tx1"/>
                  </w14:solidFill>
                </w14:textFill>
              </w:rPr>
              <w:t>）透声面积</w:t>
            </w:r>
            <w:r>
              <w:rPr>
                <w:rFonts w:hint="eastAsia"/>
                <w:color w:val="000000" w:themeColor="text1"/>
                <w:sz w:val="24"/>
                <w:highlight w:val="none"/>
                <w:lang w:eastAsia="zh-CN"/>
                <w14:textFill>
                  <w14:solidFill>
                    <w14:schemeClr w14:val="tx1"/>
                  </w14:solidFill>
                </w14:textFill>
              </w:rPr>
              <w:t>均</w:t>
            </w:r>
            <w:r>
              <w:rPr>
                <w:color w:val="000000" w:themeColor="text1"/>
                <w:sz w:val="24"/>
                <w:highlight w:val="none"/>
                <w14:textFill>
                  <w14:solidFill>
                    <w14:schemeClr w14:val="tx1"/>
                  </w14:solidFill>
                </w14:textFill>
              </w:rPr>
              <w:t>约为</w:t>
            </w:r>
            <w:r>
              <w:rPr>
                <w:rFonts w:hint="eastAsia"/>
                <w:color w:val="000000" w:themeColor="text1"/>
                <w:sz w:val="24"/>
                <w:highlight w:val="none"/>
                <w:lang w:val="en-US" w:eastAsia="zh-CN"/>
                <w14:textFill>
                  <w14:solidFill>
                    <w14:schemeClr w14:val="tx1"/>
                  </w14:solidFill>
                </w14:textFill>
              </w:rPr>
              <w:t>132</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西侧</w:t>
            </w:r>
            <w:r>
              <w:rPr>
                <w:color w:val="000000" w:themeColor="text1"/>
                <w:sz w:val="24"/>
                <w:highlight w:val="none"/>
                <w14:textFill>
                  <w14:solidFill>
                    <w14:schemeClr w14:val="tx1"/>
                  </w14:solidFill>
                </w14:textFill>
              </w:rPr>
              <w:t>厂界（</w:t>
            </w:r>
            <w:r>
              <w:rPr>
                <w:rFonts w:hint="eastAsia"/>
                <w:color w:val="000000" w:themeColor="text1"/>
                <w:sz w:val="24"/>
                <w:highlight w:val="none"/>
                <w:lang w:eastAsia="zh-CN"/>
                <w14:textFill>
                  <w14:solidFill>
                    <w14:schemeClr w14:val="tx1"/>
                  </w14:solidFill>
                </w14:textFill>
              </w:rPr>
              <w:t>大门</w:t>
            </w:r>
            <w:r>
              <w:rPr>
                <w:color w:val="000000" w:themeColor="text1"/>
                <w:sz w:val="24"/>
                <w:highlight w:val="none"/>
                <w14:textFill>
                  <w14:solidFill>
                    <w14:schemeClr w14:val="tx1"/>
                  </w14:solidFill>
                </w14:textFill>
              </w:rPr>
              <w:t>）透声面积</w:t>
            </w:r>
            <w:r>
              <w:rPr>
                <w:rFonts w:hint="eastAsia"/>
                <w:color w:val="000000" w:themeColor="text1"/>
                <w:sz w:val="24"/>
                <w:highlight w:val="none"/>
                <w:lang w:eastAsia="zh-CN"/>
                <w14:textFill>
                  <w14:solidFill>
                    <w14:schemeClr w14:val="tx1"/>
                  </w14:solidFill>
                </w14:textFill>
              </w:rPr>
              <w:t>均</w:t>
            </w:r>
            <w:r>
              <w:rPr>
                <w:color w:val="000000" w:themeColor="text1"/>
                <w:sz w:val="24"/>
                <w:highlight w:val="none"/>
                <w14:textFill>
                  <w14:solidFill>
                    <w14:schemeClr w14:val="tx1"/>
                  </w14:solidFill>
                </w14:textFill>
              </w:rPr>
              <w:t>约为</w:t>
            </w:r>
            <w:r>
              <w:rPr>
                <w:rFonts w:hint="eastAsia"/>
                <w:color w:val="000000" w:themeColor="text1"/>
                <w:sz w:val="24"/>
                <w:highlight w:val="none"/>
                <w:lang w:val="en-US" w:eastAsia="zh-CN"/>
                <w14:textFill>
                  <w14:solidFill>
                    <w14:schemeClr w14:val="tx1"/>
                  </w14:solidFill>
                </w14:textFill>
              </w:rPr>
              <w:t>12</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北侧</w:t>
            </w:r>
            <w:r>
              <w:rPr>
                <w:color w:val="000000" w:themeColor="text1"/>
                <w:sz w:val="24"/>
                <w:highlight w:val="none"/>
                <w14:textFill>
                  <w14:solidFill>
                    <w14:schemeClr w14:val="tx1"/>
                  </w14:solidFill>
                </w14:textFill>
              </w:rPr>
              <w:t>厂界（</w:t>
            </w:r>
            <w:r>
              <w:rPr>
                <w:rFonts w:hint="eastAsia"/>
                <w:color w:val="000000" w:themeColor="text1"/>
                <w:sz w:val="24"/>
                <w:highlight w:val="none"/>
                <w:lang w:eastAsia="zh-CN"/>
                <w14:textFill>
                  <w14:solidFill>
                    <w14:schemeClr w14:val="tx1"/>
                  </w14:solidFill>
                </w14:textFill>
              </w:rPr>
              <w:t>窗户开口及大门</w:t>
            </w:r>
            <w:r>
              <w:rPr>
                <w:color w:val="000000" w:themeColor="text1"/>
                <w:sz w:val="24"/>
                <w:highlight w:val="none"/>
                <w14:textFill>
                  <w14:solidFill>
                    <w14:schemeClr w14:val="tx1"/>
                  </w14:solidFill>
                </w14:textFill>
              </w:rPr>
              <w:t>）透声面积</w:t>
            </w:r>
            <w:r>
              <w:rPr>
                <w:rFonts w:hint="eastAsia"/>
                <w:color w:val="000000" w:themeColor="text1"/>
                <w:sz w:val="24"/>
                <w:highlight w:val="none"/>
                <w:lang w:eastAsia="zh-CN"/>
                <w14:textFill>
                  <w14:solidFill>
                    <w14:schemeClr w14:val="tx1"/>
                  </w14:solidFill>
                </w14:textFill>
              </w:rPr>
              <w:t>均</w:t>
            </w:r>
            <w:r>
              <w:rPr>
                <w:color w:val="000000" w:themeColor="text1"/>
                <w:sz w:val="24"/>
                <w:highlight w:val="none"/>
                <w14:textFill>
                  <w14:solidFill>
                    <w14:schemeClr w14:val="tx1"/>
                  </w14:solidFill>
                </w14:textFill>
              </w:rPr>
              <w:t>约为</w:t>
            </w:r>
            <w:r>
              <w:rPr>
                <w:rFonts w:hint="eastAsia"/>
                <w:color w:val="000000" w:themeColor="text1"/>
                <w:sz w:val="24"/>
                <w:highlight w:val="none"/>
                <w:lang w:val="en-US" w:eastAsia="zh-CN"/>
                <w14:textFill>
                  <w14:solidFill>
                    <w14:schemeClr w14:val="tx1"/>
                  </w14:solidFill>
                </w14:textFill>
              </w:rPr>
              <w:t>132</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p>
          <w:p w14:paraId="0EB61116">
            <w:pPr>
              <w:numPr>
                <w:ilvl w:val="0"/>
                <w:numId w:val="0"/>
              </w:numPr>
              <w:bidi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宋体"/>
                <w:b w:val="0"/>
                <w:bCs/>
                <w:color w:val="000000" w:themeColor="text1"/>
                <w:kern w:val="2"/>
                <w:sz w:val="24"/>
                <w:szCs w:val="18"/>
                <w:highlight w:val="none"/>
                <w:lang w:val="en-US" w:eastAsia="zh-CN" w:bidi="ar"/>
                <w14:textFill>
                  <w14:solidFill>
                    <w14:schemeClr w14:val="tx1"/>
                  </w14:solidFill>
                </w14:textFill>
              </w:rPr>
              <w:t>室外声源计算：采用《环境影响评价技术导则</w:t>
            </w:r>
            <w:r>
              <w:rPr>
                <w:rFonts w:hint="default" w:ascii="Times New Roman" w:hAnsi="Times New Roman" w:eastAsia="宋体" w:cs="Times New Roman"/>
                <w:b w:val="0"/>
                <w:bCs/>
                <w:color w:val="000000" w:themeColor="text1"/>
                <w:kern w:val="2"/>
                <w:sz w:val="24"/>
                <w:szCs w:val="18"/>
                <w:highlight w:val="none"/>
                <w:lang w:val="en-US" w:eastAsia="zh-CN" w:bidi="ar"/>
                <w14:textFill>
                  <w14:solidFill>
                    <w14:schemeClr w14:val="tx1"/>
                  </w14:solidFill>
                </w14:textFill>
              </w:rPr>
              <w:t xml:space="preserve"> </w:t>
            </w:r>
            <w:r>
              <w:rPr>
                <w:rFonts w:hint="eastAsia" w:ascii="Times New Roman" w:hAnsi="Times New Roman" w:eastAsia="宋体" w:cs="宋体"/>
                <w:b w:val="0"/>
                <w:bCs/>
                <w:color w:val="000000" w:themeColor="text1"/>
                <w:kern w:val="2"/>
                <w:sz w:val="24"/>
                <w:szCs w:val="18"/>
                <w:highlight w:val="none"/>
                <w:lang w:val="en-US" w:eastAsia="zh-CN" w:bidi="ar"/>
                <w14:textFill>
                  <w14:solidFill>
                    <w14:schemeClr w14:val="tx1"/>
                  </w14:solidFill>
                </w14:textFill>
              </w:rPr>
              <w:t>声环境》（</w:t>
            </w:r>
            <w:r>
              <w:rPr>
                <w:rFonts w:hint="default" w:ascii="Times New Roman" w:hAnsi="Times New Roman" w:eastAsia="宋体" w:cs="Times New Roman"/>
                <w:b w:val="0"/>
                <w:bCs/>
                <w:color w:val="000000" w:themeColor="text1"/>
                <w:kern w:val="2"/>
                <w:sz w:val="24"/>
                <w:szCs w:val="18"/>
                <w:highlight w:val="none"/>
                <w:lang w:val="en-US" w:eastAsia="zh-CN" w:bidi="ar"/>
                <w14:textFill>
                  <w14:solidFill>
                    <w14:schemeClr w14:val="tx1"/>
                  </w14:solidFill>
                </w14:textFill>
              </w:rPr>
              <w:t>HJ2.4-2021</w:t>
            </w:r>
            <w:r>
              <w:rPr>
                <w:rFonts w:hint="eastAsia" w:ascii="Times New Roman" w:hAnsi="Times New Roman" w:eastAsia="宋体" w:cs="宋体"/>
                <w:b w:val="0"/>
                <w:bCs/>
                <w:color w:val="000000" w:themeColor="text1"/>
                <w:kern w:val="2"/>
                <w:sz w:val="24"/>
                <w:szCs w:val="18"/>
                <w:highlight w:val="none"/>
                <w:lang w:val="en-US" w:eastAsia="zh-CN" w:bidi="ar"/>
                <w14:textFill>
                  <w14:solidFill>
                    <w14:schemeClr w14:val="tx1"/>
                  </w14:solidFill>
                </w14:textFill>
              </w:rPr>
              <w:t>）中推荐的室外声源计算方法的点声源的几何发散衰减公式。</w:t>
            </w:r>
            <w:r>
              <w:rPr>
                <w:rFonts w:hint="eastAsia" w:ascii="Times New Roman" w:hAnsi="Times New Roman" w:eastAsia="宋体" w:cs="宋体"/>
                <w:b w:val="0"/>
                <w:bCs/>
                <w:color w:val="000000" w:themeColor="text1"/>
                <w:kern w:val="2"/>
                <w:sz w:val="24"/>
                <w:szCs w:val="24"/>
                <w:highlight w:val="none"/>
                <w:lang w:val="en-US" w:eastAsia="zh-CN" w:bidi="ar"/>
                <w14:textFill>
                  <w14:solidFill>
                    <w14:schemeClr w14:val="tx1"/>
                  </w14:solidFill>
                </w14:textFill>
              </w:rPr>
              <w:t>对于工业企业稳态机械设备，当声源处于自由空间且仅考虑声源的几何发散衰减，则距离点声源</w:t>
            </w:r>
            <w:r>
              <w:rPr>
                <w:rFonts w:hint="default" w:ascii="Times New Roman" w:hAnsi="Times New Roman" w:eastAsia="宋体" w:cs="Times New Roman"/>
                <w:b w:val="0"/>
                <w:bCs/>
                <w:color w:val="000000" w:themeColor="text1"/>
                <w:kern w:val="2"/>
                <w:sz w:val="24"/>
                <w:szCs w:val="24"/>
                <w:highlight w:val="none"/>
                <w:lang w:val="en-US" w:eastAsia="zh-CN" w:bidi="ar"/>
                <w14:textFill>
                  <w14:solidFill>
                    <w14:schemeClr w14:val="tx1"/>
                  </w14:solidFill>
                </w14:textFill>
              </w:rPr>
              <w:t>r</w:t>
            </w:r>
            <w:r>
              <w:rPr>
                <w:rFonts w:hint="eastAsia" w:ascii="Times New Roman" w:hAnsi="Times New Roman" w:eastAsia="宋体" w:cs="宋体"/>
                <w:b w:val="0"/>
                <w:bCs/>
                <w:color w:val="000000" w:themeColor="text1"/>
                <w:kern w:val="2"/>
                <w:sz w:val="24"/>
                <w:szCs w:val="24"/>
                <w:highlight w:val="none"/>
                <w:lang w:val="en-US" w:eastAsia="zh-CN" w:bidi="ar"/>
                <w14:textFill>
                  <w14:solidFill>
                    <w14:schemeClr w14:val="tx1"/>
                  </w14:solidFill>
                </w14:textFill>
              </w:rPr>
              <w:t>处的声压级为：</w:t>
            </w:r>
          </w:p>
          <w:p w14:paraId="74E17DBF">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200"/>
              <w:textAlignment w:val="auto"/>
              <w:rPr>
                <w:rFonts w:ascii="Times New Roman" w:hAnsi="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
                <w14:textFill>
                  <w14:solidFill>
                    <w14:schemeClr w14:val="tx1"/>
                  </w14:solidFill>
                </w14:textFill>
              </w:rPr>
              <w:drawing>
                <wp:anchor distT="0" distB="0" distL="114300" distR="114300" simplePos="0" relativeHeight="251659264" behindDoc="1" locked="0" layoutInCell="1" allowOverlap="1">
                  <wp:simplePos x="0" y="0"/>
                  <wp:positionH relativeFrom="column">
                    <wp:posOffset>106680</wp:posOffset>
                  </wp:positionH>
                  <wp:positionV relativeFrom="paragraph">
                    <wp:posOffset>45720</wp:posOffset>
                  </wp:positionV>
                  <wp:extent cx="5181600" cy="1000760"/>
                  <wp:effectExtent l="0" t="0" r="0" b="8890"/>
                  <wp:wrapTight wrapText="bothSides">
                    <wp:wrapPolygon>
                      <wp:start x="0" y="0"/>
                      <wp:lineTo x="0" y="21381"/>
                      <wp:lineTo x="21521" y="21381"/>
                      <wp:lineTo x="21521" y="0"/>
                      <wp:lineTo x="0" y="0"/>
                    </wp:wrapPolygon>
                  </wp:wrapTight>
                  <wp:docPr id="15"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6"/>
                          <pic:cNvPicPr>
                            <a:picLocks noChangeAspect="1"/>
                          </pic:cNvPicPr>
                        </pic:nvPicPr>
                        <pic:blipFill>
                          <a:blip r:embed="rId33"/>
                          <a:stretch>
                            <a:fillRect/>
                          </a:stretch>
                        </pic:blipFill>
                        <pic:spPr>
                          <a:xfrm>
                            <a:off x="0" y="0"/>
                            <a:ext cx="5181600" cy="1000760"/>
                          </a:xfrm>
                          <a:prstGeom prst="rect">
                            <a:avLst/>
                          </a:prstGeom>
                          <a:noFill/>
                          <a:ln>
                            <a:noFill/>
                          </a:ln>
                        </pic:spPr>
                      </pic:pic>
                    </a:graphicData>
                  </a:graphic>
                </wp:anchor>
              </w:drawing>
            </w:r>
            <w:r>
              <w:rPr>
                <w:rFonts w:ascii="Times New Roman" w:hAnsi="Times New Roman"/>
                <w:snapToGrid w:val="0"/>
                <w:color w:val="000000" w:themeColor="text1"/>
                <w:kern w:val="0"/>
                <w:sz w:val="24"/>
                <w:highlight w:val="none"/>
                <w:lang w:bidi="ar"/>
                <w14:textFill>
                  <w14:solidFill>
                    <w14:schemeClr w14:val="tx1"/>
                  </w14:solidFill>
                </w14:textFill>
              </w:rPr>
              <w:t>预测结果详见下表</w:t>
            </w:r>
            <w:r>
              <w:rPr>
                <w:rFonts w:hint="eastAsia" w:ascii="Times New Roman" w:hAnsi="Times New Roman"/>
                <w:snapToGrid w:val="0"/>
                <w:color w:val="000000" w:themeColor="text1"/>
                <w:kern w:val="0"/>
                <w:sz w:val="24"/>
                <w:highlight w:val="none"/>
                <w:lang w:val="en-US" w:eastAsia="zh-CN" w:bidi="ar"/>
                <w14:textFill>
                  <w14:solidFill>
                    <w14:schemeClr w14:val="tx1"/>
                  </w14:solidFill>
                </w14:textFill>
              </w:rPr>
              <w:t>4.2-</w:t>
            </w:r>
            <w:r>
              <w:rPr>
                <w:rFonts w:hint="eastAsia"/>
                <w:snapToGrid w:val="0"/>
                <w:color w:val="000000" w:themeColor="text1"/>
                <w:kern w:val="0"/>
                <w:sz w:val="24"/>
                <w:highlight w:val="none"/>
                <w:lang w:val="en-US" w:eastAsia="zh-CN" w:bidi="ar"/>
                <w14:textFill>
                  <w14:solidFill>
                    <w14:schemeClr w14:val="tx1"/>
                  </w14:solidFill>
                </w14:textFill>
              </w:rPr>
              <w:t>15</w:t>
            </w:r>
            <w:r>
              <w:rPr>
                <w:rFonts w:ascii="Times New Roman" w:hAnsi="Times New Roman"/>
                <w:color w:val="000000" w:themeColor="text1"/>
                <w:sz w:val="24"/>
                <w:highlight w:val="none"/>
                <w14:textFill>
                  <w14:solidFill>
                    <w14:schemeClr w14:val="tx1"/>
                  </w14:solidFill>
                </w14:textFill>
              </w:rPr>
              <w:t>。</w:t>
            </w:r>
          </w:p>
          <w:p w14:paraId="323D20F6">
            <w:pPr>
              <w:pStyle w:val="76"/>
              <w:tabs>
                <w:tab w:val="left" w:leader="middleDot" w:pos="7710"/>
              </w:tabs>
              <w:spacing w:line="240" w:lineRule="auto"/>
              <w:ind w:firstLine="422"/>
              <w:jc w:val="center"/>
              <w:rPr>
                <w:rFonts w:ascii="Times New Roman" w:hAnsi="Times New Roman"/>
                <w:b/>
                <w:bCs w:val="0"/>
                <w:snapToGrid w:val="0"/>
                <w:color w:val="000000" w:themeColor="text1"/>
                <w:sz w:val="24"/>
                <w:szCs w:val="24"/>
                <w:highlight w:val="none"/>
                <w:lang w:bidi="ar"/>
                <w14:textFill>
                  <w14:solidFill>
                    <w14:schemeClr w14:val="tx1"/>
                  </w14:solidFill>
                </w14:textFill>
              </w:rPr>
            </w:pPr>
            <w:r>
              <w:rPr>
                <w:rFonts w:ascii="Times New Roman" w:hAnsi="Times New Roman"/>
                <w:b/>
                <w:bCs w:val="0"/>
                <w:snapToGrid w:val="0"/>
                <w:color w:val="000000" w:themeColor="text1"/>
                <w:sz w:val="24"/>
                <w:szCs w:val="24"/>
                <w:highlight w:val="none"/>
                <w:lang w:bidi="ar"/>
                <w14:textFill>
                  <w14:solidFill>
                    <w14:schemeClr w14:val="tx1"/>
                  </w14:solidFill>
                </w14:textFill>
              </w:rPr>
              <w:t>表</w:t>
            </w:r>
            <w:r>
              <w:rPr>
                <w:rFonts w:hint="eastAsia" w:ascii="Times New Roman" w:hAnsi="Times New Roman"/>
                <w:b/>
                <w:bCs w:val="0"/>
                <w:snapToGrid w:val="0"/>
                <w:color w:val="000000" w:themeColor="text1"/>
                <w:sz w:val="24"/>
                <w:szCs w:val="24"/>
                <w:highlight w:val="none"/>
                <w:lang w:val="en-US" w:eastAsia="zh-CN" w:bidi="ar"/>
                <w14:textFill>
                  <w14:solidFill>
                    <w14:schemeClr w14:val="tx1"/>
                  </w14:solidFill>
                </w14:textFill>
              </w:rPr>
              <w:t xml:space="preserve">4.2-15 </w:t>
            </w:r>
            <w:r>
              <w:rPr>
                <w:rFonts w:ascii="Times New Roman" w:hAnsi="Times New Roman"/>
                <w:b/>
                <w:bCs w:val="0"/>
                <w:snapToGrid w:val="0"/>
                <w:color w:val="000000" w:themeColor="text1"/>
                <w:sz w:val="24"/>
                <w:szCs w:val="24"/>
                <w:highlight w:val="none"/>
                <w:lang w:bidi="ar"/>
                <w14:textFill>
                  <w14:solidFill>
                    <w14:schemeClr w14:val="tx1"/>
                  </w14:solidFill>
                </w14:textFill>
              </w:rPr>
              <w:t>各厂界噪声影响预测结果  单位</w:t>
            </w:r>
            <w:r>
              <w:rPr>
                <w:rFonts w:hint="eastAsia" w:ascii="Times New Roman" w:hAnsi="Times New Roman"/>
                <w:b/>
                <w:bCs w:val="0"/>
                <w:snapToGrid w:val="0"/>
                <w:color w:val="000000" w:themeColor="text1"/>
                <w:sz w:val="24"/>
                <w:szCs w:val="24"/>
                <w:highlight w:val="none"/>
                <w:lang w:eastAsia="zh-CN" w:bidi="ar"/>
                <w14:textFill>
                  <w14:solidFill>
                    <w14:schemeClr w14:val="tx1"/>
                  </w14:solidFill>
                </w14:textFill>
              </w:rPr>
              <w:t>：</w:t>
            </w:r>
            <w:r>
              <w:rPr>
                <w:rFonts w:ascii="Times New Roman" w:hAnsi="Times New Roman"/>
                <w:b/>
                <w:bCs w:val="0"/>
                <w:snapToGrid w:val="0"/>
                <w:color w:val="000000" w:themeColor="text1"/>
                <w:sz w:val="24"/>
                <w:szCs w:val="24"/>
                <w:highlight w:val="none"/>
                <w:lang w:bidi="ar"/>
                <w14:textFill>
                  <w14:solidFill>
                    <w14:schemeClr w14:val="tx1"/>
                  </w14:solidFill>
                </w14:textFill>
              </w:rPr>
              <w:t>dB</w:t>
            </w:r>
            <w:r>
              <w:rPr>
                <w:rFonts w:hint="eastAsia" w:ascii="Times New Roman" w:hAnsi="Times New Roman"/>
                <w:b/>
                <w:bCs w:val="0"/>
                <w:snapToGrid w:val="0"/>
                <w:color w:val="000000" w:themeColor="text1"/>
                <w:sz w:val="24"/>
                <w:szCs w:val="24"/>
                <w:highlight w:val="none"/>
                <w:lang w:eastAsia="zh-CN" w:bidi="ar"/>
                <w14:textFill>
                  <w14:solidFill>
                    <w14:schemeClr w14:val="tx1"/>
                  </w14:solidFill>
                </w14:textFill>
              </w:rPr>
              <w:t>（</w:t>
            </w:r>
            <w:r>
              <w:rPr>
                <w:rFonts w:ascii="Times New Roman" w:hAnsi="Times New Roman"/>
                <w:b/>
                <w:bCs w:val="0"/>
                <w:snapToGrid w:val="0"/>
                <w:color w:val="000000" w:themeColor="text1"/>
                <w:sz w:val="24"/>
                <w:szCs w:val="24"/>
                <w:highlight w:val="none"/>
                <w:lang w:bidi="ar"/>
                <w14:textFill>
                  <w14:solidFill>
                    <w14:schemeClr w14:val="tx1"/>
                  </w14:solidFill>
                </w14:textFill>
              </w:rPr>
              <w:t>A</w:t>
            </w:r>
            <w:r>
              <w:rPr>
                <w:rFonts w:hint="eastAsia" w:ascii="Times New Roman" w:hAnsi="Times New Roman"/>
                <w:b/>
                <w:bCs w:val="0"/>
                <w:snapToGrid w:val="0"/>
                <w:color w:val="000000" w:themeColor="text1"/>
                <w:sz w:val="24"/>
                <w:szCs w:val="24"/>
                <w:highlight w:val="none"/>
                <w:lang w:eastAsia="zh-CN" w:bidi="ar"/>
                <w14:textFill>
                  <w14:solidFill>
                    <w14:schemeClr w14:val="tx1"/>
                  </w14:solidFill>
                </w14:textFill>
              </w:rPr>
              <w:t>）</w:t>
            </w:r>
          </w:p>
          <w:tbl>
            <w:tblPr>
              <w:tblStyle w:val="28"/>
              <w:tblW w:w="892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9"/>
              <w:gridCol w:w="900"/>
              <w:gridCol w:w="900"/>
              <w:gridCol w:w="982"/>
              <w:gridCol w:w="887"/>
              <w:gridCol w:w="995"/>
              <w:gridCol w:w="890"/>
              <w:gridCol w:w="965"/>
              <w:gridCol w:w="833"/>
            </w:tblGrid>
            <w:tr w14:paraId="7784CF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1569" w:type="dxa"/>
                  <w:vMerge w:val="restart"/>
                  <w:tcBorders>
                    <w:top w:val="single" w:color="auto" w:sz="8" w:space="0"/>
                    <w:left w:val="single" w:color="auto" w:sz="8" w:space="0"/>
                    <w:bottom w:val="single" w:color="auto" w:sz="8" w:space="0"/>
                    <w:right w:val="single" w:color="auto" w:sz="8" w:space="0"/>
                  </w:tcBorders>
                  <w:noWrap w:val="0"/>
                  <w:vAlign w:val="center"/>
                  <mc:AlternateContent>
                    <mc:Choice Requires="wpsCustomData">
                      <wpsCustomData:diagonals>
                        <wpsCustomData:diagonal from="10000" to="30000">
                          <wpsCustomData:border w:val="single" w:color="auto" w:sz="8" w:space="0"/>
                        </wpsCustomData:diagonal>
                      </wpsCustomData:diagonals>
                    </mc:Choice>
                  </mc:AlternateContent>
                </w:tcPr>
                <w:p w14:paraId="74A59ED7">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 xml:space="preserve">   </w:t>
                  </w:r>
                </w:p>
                <w:p w14:paraId="76BA9E58">
                  <w:pPr>
                    <w:pStyle w:val="77"/>
                    <w:keepNext w:val="0"/>
                    <w:keepLines w:val="0"/>
                    <w:pageBreakBefore w:val="0"/>
                    <w:widowControl w:val="0"/>
                    <w:kinsoku/>
                    <w:wordWrap/>
                    <w:overflowPunct/>
                    <w:topLinePunct w:val="0"/>
                    <w:autoSpaceDE/>
                    <w:autoSpaceDN/>
                    <w:bidi w:val="0"/>
                    <w:adjustRightInd w:val="0"/>
                    <w:snapToGrid w:val="0"/>
                    <w:spacing w:line="240" w:lineRule="auto"/>
                    <w:jc w:val="left"/>
                    <w:textAlignment w:val="auto"/>
                    <mc:AlternateContent>
                      <mc:Choice Requires="wpsCustomData">
                        <wpsCustomData:diagonalParaType/>
                      </mc:Choice>
                    </mc:AlternateContent>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p w14:paraId="40E6BE32">
                  <w:pPr>
                    <w:pStyle w:val="77"/>
                    <w:keepNext w:val="0"/>
                    <w:keepLines w:val="0"/>
                    <w:pageBreakBefore w:val="0"/>
                    <w:widowControl w:val="0"/>
                    <w:kinsoku/>
                    <w:wordWrap/>
                    <w:overflowPunct/>
                    <w:topLinePunct w:val="0"/>
                    <w:autoSpaceDE/>
                    <w:autoSpaceDN/>
                    <w:bidi w:val="0"/>
                    <w:adjustRightInd w:val="0"/>
                    <w:snapToGrid w:val="0"/>
                    <w:spacing w:line="240" w:lineRule="auto"/>
                    <w:ind w:firstLine="227" w:firstLineChars="100"/>
                    <w:jc w:val="left"/>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方位</w:t>
                  </w:r>
                </w:p>
              </w:tc>
              <w:tc>
                <w:tcPr>
                  <w:tcW w:w="1800" w:type="dxa"/>
                  <w:gridSpan w:val="2"/>
                  <w:tcBorders>
                    <w:top w:val="single" w:color="auto" w:sz="8" w:space="0"/>
                    <w:left w:val="single" w:color="auto" w:sz="8" w:space="0"/>
                    <w:bottom w:val="single" w:color="auto" w:sz="8" w:space="0"/>
                    <w:right w:val="single" w:color="auto" w:sz="8" w:space="0"/>
                  </w:tcBorders>
                  <w:noWrap w:val="0"/>
                  <w:vAlign w:val="center"/>
                </w:tcPr>
                <w:p w14:paraId="0F2CDD76">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东</w:t>
                  </w:r>
                </w:p>
              </w:tc>
              <w:tc>
                <w:tcPr>
                  <w:tcW w:w="1869" w:type="dxa"/>
                  <w:gridSpan w:val="2"/>
                  <w:tcBorders>
                    <w:top w:val="single" w:color="auto" w:sz="8" w:space="0"/>
                    <w:left w:val="single" w:color="auto" w:sz="8" w:space="0"/>
                    <w:bottom w:val="single" w:color="auto" w:sz="8" w:space="0"/>
                    <w:right w:val="single" w:color="auto" w:sz="8" w:space="0"/>
                  </w:tcBorders>
                  <w:noWrap w:val="0"/>
                  <w:vAlign w:val="center"/>
                </w:tcPr>
                <w:p w14:paraId="7165E326">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西</w:t>
                  </w:r>
                </w:p>
              </w:tc>
              <w:tc>
                <w:tcPr>
                  <w:tcW w:w="1885" w:type="dxa"/>
                  <w:gridSpan w:val="2"/>
                  <w:tcBorders>
                    <w:top w:val="single" w:color="auto" w:sz="8" w:space="0"/>
                    <w:left w:val="single" w:color="auto" w:sz="8" w:space="0"/>
                    <w:bottom w:val="single" w:color="auto" w:sz="8" w:space="0"/>
                    <w:right w:val="single" w:color="auto" w:sz="8" w:space="0"/>
                  </w:tcBorders>
                  <w:noWrap w:val="0"/>
                  <w:vAlign w:val="center"/>
                </w:tcPr>
                <w:p w14:paraId="47CEC388">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北</w:t>
                  </w:r>
                </w:p>
              </w:tc>
              <w:tc>
                <w:tcPr>
                  <w:tcW w:w="1798" w:type="dxa"/>
                  <w:gridSpan w:val="2"/>
                  <w:tcBorders>
                    <w:top w:val="single" w:color="auto" w:sz="8" w:space="0"/>
                    <w:left w:val="single" w:color="auto" w:sz="8" w:space="0"/>
                    <w:bottom w:val="single" w:color="auto" w:sz="8" w:space="0"/>
                    <w:right w:val="single" w:color="auto" w:sz="8" w:space="0"/>
                  </w:tcBorders>
                  <w:noWrap w:val="0"/>
                  <w:vAlign w:val="center"/>
                </w:tcPr>
                <w:p w14:paraId="67EFAD59">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南</w:t>
                  </w:r>
                </w:p>
              </w:tc>
            </w:tr>
            <w:tr w14:paraId="5D6AF9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69" w:type="dxa"/>
                  <w:vMerge w:val="continue"/>
                  <w:tcBorders>
                    <w:top w:val="single" w:color="auto" w:sz="8" w:space="0"/>
                    <w:left w:val="single" w:color="auto" w:sz="8" w:space="0"/>
                    <w:bottom w:val="single" w:color="auto" w:sz="8" w:space="0"/>
                    <w:right w:val="single" w:color="auto" w:sz="8" w:space="0"/>
                  </w:tcBorders>
                  <w:noWrap w:val="0"/>
                  <w:vAlign w:val="center"/>
                </w:tcPr>
                <w:p w14:paraId="22888987">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900" w:type="dxa"/>
                  <w:tcBorders>
                    <w:top w:val="single" w:color="auto" w:sz="8" w:space="0"/>
                    <w:left w:val="single" w:color="auto" w:sz="8" w:space="0"/>
                    <w:bottom w:val="single" w:color="auto" w:sz="8" w:space="0"/>
                    <w:right w:val="single" w:color="auto" w:sz="8" w:space="0"/>
                  </w:tcBorders>
                  <w:noWrap w:val="0"/>
                  <w:vAlign w:val="center"/>
                </w:tcPr>
                <w:p w14:paraId="28415528">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昼间</w:t>
                  </w:r>
                </w:p>
              </w:tc>
              <w:tc>
                <w:tcPr>
                  <w:tcW w:w="900" w:type="dxa"/>
                  <w:tcBorders>
                    <w:top w:val="single" w:color="auto" w:sz="8" w:space="0"/>
                    <w:left w:val="single" w:color="auto" w:sz="8" w:space="0"/>
                    <w:bottom w:val="single" w:color="auto" w:sz="8" w:space="0"/>
                    <w:right w:val="single" w:color="auto" w:sz="8" w:space="0"/>
                  </w:tcBorders>
                  <w:noWrap w:val="0"/>
                  <w:vAlign w:val="center"/>
                </w:tcPr>
                <w:p w14:paraId="63967E46">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夜间</w:t>
                  </w:r>
                </w:p>
              </w:tc>
              <w:tc>
                <w:tcPr>
                  <w:tcW w:w="982" w:type="dxa"/>
                  <w:tcBorders>
                    <w:top w:val="single" w:color="auto" w:sz="8" w:space="0"/>
                    <w:left w:val="single" w:color="auto" w:sz="8" w:space="0"/>
                    <w:bottom w:val="single" w:color="auto" w:sz="8" w:space="0"/>
                    <w:right w:val="single" w:color="auto" w:sz="8" w:space="0"/>
                  </w:tcBorders>
                  <w:noWrap w:val="0"/>
                  <w:vAlign w:val="center"/>
                </w:tcPr>
                <w:p w14:paraId="4FC393D6">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昼间</w:t>
                  </w:r>
                </w:p>
              </w:tc>
              <w:tc>
                <w:tcPr>
                  <w:tcW w:w="887" w:type="dxa"/>
                  <w:tcBorders>
                    <w:top w:val="single" w:color="auto" w:sz="8" w:space="0"/>
                    <w:left w:val="single" w:color="auto" w:sz="8" w:space="0"/>
                    <w:bottom w:val="single" w:color="auto" w:sz="8" w:space="0"/>
                    <w:right w:val="single" w:color="auto" w:sz="8" w:space="0"/>
                  </w:tcBorders>
                  <w:noWrap w:val="0"/>
                  <w:vAlign w:val="center"/>
                </w:tcPr>
                <w:p w14:paraId="17E773B4">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夜间</w:t>
                  </w:r>
                </w:p>
              </w:tc>
              <w:tc>
                <w:tcPr>
                  <w:tcW w:w="995" w:type="dxa"/>
                  <w:tcBorders>
                    <w:top w:val="single" w:color="auto" w:sz="8" w:space="0"/>
                    <w:left w:val="single" w:color="auto" w:sz="8" w:space="0"/>
                    <w:bottom w:val="single" w:color="auto" w:sz="8" w:space="0"/>
                    <w:right w:val="single" w:color="auto" w:sz="8" w:space="0"/>
                  </w:tcBorders>
                  <w:noWrap w:val="0"/>
                  <w:vAlign w:val="center"/>
                </w:tcPr>
                <w:p w14:paraId="3D23C2A0">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昼间</w:t>
                  </w:r>
                </w:p>
              </w:tc>
              <w:tc>
                <w:tcPr>
                  <w:tcW w:w="890" w:type="dxa"/>
                  <w:tcBorders>
                    <w:top w:val="single" w:color="auto" w:sz="8" w:space="0"/>
                    <w:left w:val="single" w:color="auto" w:sz="8" w:space="0"/>
                    <w:bottom w:val="single" w:color="auto" w:sz="8" w:space="0"/>
                    <w:right w:val="single" w:color="auto" w:sz="8" w:space="0"/>
                  </w:tcBorders>
                  <w:noWrap w:val="0"/>
                  <w:vAlign w:val="center"/>
                </w:tcPr>
                <w:p w14:paraId="5BC6CDC9">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夜间</w:t>
                  </w:r>
                </w:p>
              </w:tc>
              <w:tc>
                <w:tcPr>
                  <w:tcW w:w="965" w:type="dxa"/>
                  <w:tcBorders>
                    <w:top w:val="single" w:color="auto" w:sz="8" w:space="0"/>
                    <w:left w:val="single" w:color="auto" w:sz="8" w:space="0"/>
                    <w:bottom w:val="single" w:color="auto" w:sz="8" w:space="0"/>
                    <w:right w:val="single" w:color="auto" w:sz="8" w:space="0"/>
                  </w:tcBorders>
                  <w:noWrap w:val="0"/>
                  <w:vAlign w:val="center"/>
                </w:tcPr>
                <w:p w14:paraId="450EC31E">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昼间</w:t>
                  </w:r>
                </w:p>
              </w:tc>
              <w:tc>
                <w:tcPr>
                  <w:tcW w:w="833" w:type="dxa"/>
                  <w:tcBorders>
                    <w:top w:val="single" w:color="auto" w:sz="8" w:space="0"/>
                    <w:left w:val="single" w:color="auto" w:sz="8" w:space="0"/>
                    <w:bottom w:val="single" w:color="auto" w:sz="8" w:space="0"/>
                    <w:right w:val="single" w:color="auto" w:sz="8" w:space="0"/>
                  </w:tcBorders>
                  <w:noWrap w:val="0"/>
                  <w:vAlign w:val="center"/>
                </w:tcPr>
                <w:p w14:paraId="681E245E">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夜间</w:t>
                  </w:r>
                </w:p>
              </w:tc>
            </w:tr>
            <w:tr w14:paraId="204CBF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569" w:type="dxa"/>
                  <w:tcBorders>
                    <w:top w:val="single" w:color="auto" w:sz="8" w:space="0"/>
                    <w:left w:val="single" w:color="auto" w:sz="8" w:space="0"/>
                    <w:bottom w:val="single" w:color="auto" w:sz="8" w:space="0"/>
                    <w:right w:val="single" w:color="auto" w:sz="8" w:space="0"/>
                  </w:tcBorders>
                  <w:noWrap w:val="0"/>
                  <w:vAlign w:val="center"/>
                </w:tcPr>
                <w:p w14:paraId="0022273C">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厂界</w:t>
                  </w: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贡献</w:t>
                  </w:r>
                  <w:r>
                    <w:rPr>
                      <w:rFonts w:hint="default" w:ascii="Times New Roman" w:hAnsi="Times New Roman" w:cs="Times New Roman"/>
                      <w:b w:val="0"/>
                      <w:bCs w:val="0"/>
                      <w:color w:val="000000" w:themeColor="text1"/>
                      <w:sz w:val="21"/>
                      <w:szCs w:val="21"/>
                      <w:highlight w:val="none"/>
                      <w14:textFill>
                        <w14:solidFill>
                          <w14:schemeClr w14:val="tx1"/>
                        </w14:solidFill>
                      </w14:textFill>
                    </w:rPr>
                    <w:t>值</w:t>
                  </w:r>
                </w:p>
              </w:tc>
              <w:tc>
                <w:tcPr>
                  <w:tcW w:w="900" w:type="dxa"/>
                  <w:tcBorders>
                    <w:top w:val="single" w:color="auto" w:sz="8" w:space="0"/>
                    <w:left w:val="single" w:color="auto" w:sz="8" w:space="0"/>
                    <w:bottom w:val="single" w:color="auto" w:sz="8" w:space="0"/>
                    <w:right w:val="single" w:color="auto" w:sz="8" w:space="0"/>
                  </w:tcBorders>
                  <w:noWrap w:val="0"/>
                  <w:vAlign w:val="center"/>
                </w:tcPr>
                <w:p w14:paraId="62F61E8D">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42</w:t>
                  </w:r>
                </w:p>
              </w:tc>
              <w:tc>
                <w:tcPr>
                  <w:tcW w:w="900" w:type="dxa"/>
                  <w:tcBorders>
                    <w:top w:val="single" w:color="auto" w:sz="8" w:space="0"/>
                    <w:left w:val="single" w:color="auto" w:sz="8" w:space="0"/>
                    <w:bottom w:val="single" w:color="auto" w:sz="8" w:space="0"/>
                    <w:right w:val="single" w:color="auto" w:sz="8" w:space="0"/>
                  </w:tcBorders>
                  <w:noWrap w:val="0"/>
                  <w:vAlign w:val="center"/>
                </w:tcPr>
                <w:p w14:paraId="4BEA17A7">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tc>
              <w:tc>
                <w:tcPr>
                  <w:tcW w:w="982" w:type="dxa"/>
                  <w:tcBorders>
                    <w:top w:val="single" w:color="auto" w:sz="8" w:space="0"/>
                    <w:left w:val="single" w:color="auto" w:sz="8" w:space="0"/>
                    <w:bottom w:val="single" w:color="auto" w:sz="8" w:space="0"/>
                    <w:right w:val="single" w:color="auto" w:sz="8" w:space="0"/>
                  </w:tcBorders>
                  <w:noWrap w:val="0"/>
                  <w:vAlign w:val="center"/>
                </w:tcPr>
                <w:p w14:paraId="13B34AB7">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43</w:t>
                  </w:r>
                </w:p>
              </w:tc>
              <w:tc>
                <w:tcPr>
                  <w:tcW w:w="887" w:type="dxa"/>
                  <w:tcBorders>
                    <w:top w:val="single" w:color="auto" w:sz="8" w:space="0"/>
                    <w:left w:val="single" w:color="auto" w:sz="8" w:space="0"/>
                    <w:bottom w:val="single" w:color="auto" w:sz="8" w:space="0"/>
                    <w:right w:val="single" w:color="auto" w:sz="8" w:space="0"/>
                  </w:tcBorders>
                  <w:noWrap w:val="0"/>
                  <w:vAlign w:val="center"/>
                </w:tcPr>
                <w:p w14:paraId="0A840BF8">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tc>
              <w:tc>
                <w:tcPr>
                  <w:tcW w:w="995" w:type="dxa"/>
                  <w:tcBorders>
                    <w:top w:val="single" w:color="auto" w:sz="8" w:space="0"/>
                    <w:left w:val="single" w:color="auto" w:sz="8" w:space="0"/>
                    <w:bottom w:val="single" w:color="auto" w:sz="8" w:space="0"/>
                    <w:right w:val="single" w:color="auto" w:sz="8" w:space="0"/>
                  </w:tcBorders>
                  <w:noWrap w:val="0"/>
                  <w:vAlign w:val="center"/>
                </w:tcPr>
                <w:p w14:paraId="32945041">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45</w:t>
                  </w:r>
                </w:p>
              </w:tc>
              <w:tc>
                <w:tcPr>
                  <w:tcW w:w="890" w:type="dxa"/>
                  <w:tcBorders>
                    <w:top w:val="single" w:color="auto" w:sz="8" w:space="0"/>
                    <w:left w:val="single" w:color="auto" w:sz="8" w:space="0"/>
                    <w:bottom w:val="single" w:color="auto" w:sz="8" w:space="0"/>
                    <w:right w:val="single" w:color="auto" w:sz="4" w:space="0"/>
                  </w:tcBorders>
                  <w:noWrap w:val="0"/>
                  <w:vAlign w:val="center"/>
                </w:tcPr>
                <w:p w14:paraId="50247F41">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tc>
              <w:tc>
                <w:tcPr>
                  <w:tcW w:w="965" w:type="dxa"/>
                  <w:tcBorders>
                    <w:top w:val="single" w:color="auto" w:sz="8" w:space="0"/>
                    <w:left w:val="single" w:color="auto" w:sz="4" w:space="0"/>
                    <w:bottom w:val="single" w:color="auto" w:sz="8" w:space="0"/>
                    <w:right w:val="single" w:color="auto" w:sz="8" w:space="0"/>
                  </w:tcBorders>
                  <w:noWrap w:val="0"/>
                  <w:vAlign w:val="center"/>
                </w:tcPr>
                <w:p w14:paraId="29B79B62">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42</w:t>
                  </w:r>
                </w:p>
              </w:tc>
              <w:tc>
                <w:tcPr>
                  <w:tcW w:w="833" w:type="dxa"/>
                  <w:tcBorders>
                    <w:top w:val="single" w:color="auto" w:sz="8" w:space="0"/>
                    <w:left w:val="single" w:color="auto" w:sz="8" w:space="0"/>
                    <w:bottom w:val="single" w:color="auto" w:sz="8" w:space="0"/>
                    <w:right w:val="single" w:color="auto" w:sz="8" w:space="0"/>
                  </w:tcBorders>
                  <w:noWrap w:val="0"/>
                  <w:vAlign w:val="center"/>
                </w:tcPr>
                <w:p w14:paraId="190D1B4C">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tc>
            </w:tr>
            <w:tr w14:paraId="110E13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1569" w:type="dxa"/>
                  <w:tcBorders>
                    <w:top w:val="single" w:color="auto" w:sz="8" w:space="0"/>
                    <w:left w:val="single" w:color="auto" w:sz="8" w:space="0"/>
                    <w:bottom w:val="single" w:color="auto" w:sz="8" w:space="0"/>
                    <w:right w:val="single" w:color="auto" w:sz="8" w:space="0"/>
                  </w:tcBorders>
                  <w:noWrap w:val="0"/>
                  <w:vAlign w:val="center"/>
                </w:tcPr>
                <w:p w14:paraId="62070AAE">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标准限值</w:t>
                  </w:r>
                </w:p>
              </w:tc>
              <w:tc>
                <w:tcPr>
                  <w:tcW w:w="5554" w:type="dxa"/>
                  <w:gridSpan w:val="6"/>
                  <w:tcBorders>
                    <w:top w:val="single" w:color="auto" w:sz="8" w:space="0"/>
                    <w:left w:val="single" w:color="auto" w:sz="8" w:space="0"/>
                    <w:bottom w:val="single" w:color="auto" w:sz="8" w:space="0"/>
                    <w:right w:val="single" w:color="auto" w:sz="4" w:space="0"/>
                  </w:tcBorders>
                  <w:noWrap w:val="0"/>
                  <w:vAlign w:val="center"/>
                </w:tcPr>
                <w:p w14:paraId="45CEE7D2">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昼间65dB（A）</w:t>
                  </w:r>
                </w:p>
              </w:tc>
              <w:tc>
                <w:tcPr>
                  <w:tcW w:w="1798" w:type="dxa"/>
                  <w:gridSpan w:val="2"/>
                  <w:tcBorders>
                    <w:top w:val="single" w:color="auto" w:sz="8" w:space="0"/>
                    <w:left w:val="single" w:color="auto" w:sz="4" w:space="0"/>
                    <w:bottom w:val="single" w:color="auto" w:sz="8" w:space="0"/>
                    <w:right w:val="single" w:color="auto" w:sz="8" w:space="0"/>
                  </w:tcBorders>
                  <w:noWrap w:val="0"/>
                  <w:vAlign w:val="center"/>
                </w:tcPr>
                <w:p w14:paraId="6C1F4F92">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昼间</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70</w:t>
                  </w:r>
                  <w:r>
                    <w:rPr>
                      <w:rFonts w:hint="default" w:ascii="Times New Roman" w:hAnsi="Times New Roman" w:cs="Times New Roman"/>
                      <w:b w:val="0"/>
                      <w:bCs w:val="0"/>
                      <w:color w:val="000000" w:themeColor="text1"/>
                      <w:sz w:val="21"/>
                      <w:szCs w:val="21"/>
                      <w:highlight w:val="none"/>
                      <w14:textFill>
                        <w14:solidFill>
                          <w14:schemeClr w14:val="tx1"/>
                        </w14:solidFill>
                      </w14:textFill>
                    </w:rPr>
                    <w:t>dB（A）</w:t>
                  </w:r>
                </w:p>
              </w:tc>
            </w:tr>
            <w:tr w14:paraId="29D75F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9" w:hRule="atLeast"/>
                <w:jc w:val="center"/>
              </w:trPr>
              <w:tc>
                <w:tcPr>
                  <w:tcW w:w="1569" w:type="dxa"/>
                  <w:tcBorders>
                    <w:top w:val="single" w:color="auto" w:sz="8" w:space="0"/>
                    <w:left w:val="single" w:color="auto" w:sz="8" w:space="0"/>
                    <w:bottom w:val="single" w:color="auto" w:sz="8" w:space="0"/>
                    <w:right w:val="single" w:color="auto" w:sz="8" w:space="0"/>
                  </w:tcBorders>
                  <w:noWrap w:val="0"/>
                  <w:vAlign w:val="center"/>
                </w:tcPr>
                <w:p w14:paraId="14CF9DA9">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达标情况</w:t>
                  </w:r>
                </w:p>
              </w:tc>
              <w:tc>
                <w:tcPr>
                  <w:tcW w:w="900" w:type="dxa"/>
                  <w:tcBorders>
                    <w:top w:val="single" w:color="auto" w:sz="8" w:space="0"/>
                    <w:left w:val="single" w:color="auto" w:sz="8" w:space="0"/>
                    <w:bottom w:val="single" w:color="auto" w:sz="8" w:space="0"/>
                    <w:right w:val="single" w:color="auto" w:sz="8" w:space="0"/>
                  </w:tcBorders>
                  <w:noWrap w:val="0"/>
                  <w:vAlign w:val="center"/>
                </w:tcPr>
                <w:p w14:paraId="4B9B1091">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达标</w:t>
                  </w:r>
                </w:p>
              </w:tc>
              <w:tc>
                <w:tcPr>
                  <w:tcW w:w="900" w:type="dxa"/>
                  <w:tcBorders>
                    <w:top w:val="single" w:color="auto" w:sz="8" w:space="0"/>
                    <w:left w:val="single" w:color="auto" w:sz="8" w:space="0"/>
                    <w:bottom w:val="single" w:color="auto" w:sz="8" w:space="0"/>
                    <w:right w:val="single" w:color="auto" w:sz="8" w:space="0"/>
                  </w:tcBorders>
                  <w:noWrap w:val="0"/>
                  <w:vAlign w:val="center"/>
                </w:tcPr>
                <w:p w14:paraId="701B2974">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tc>
              <w:tc>
                <w:tcPr>
                  <w:tcW w:w="982" w:type="dxa"/>
                  <w:tcBorders>
                    <w:top w:val="single" w:color="auto" w:sz="8" w:space="0"/>
                    <w:left w:val="single" w:color="auto" w:sz="8" w:space="0"/>
                    <w:bottom w:val="single" w:color="auto" w:sz="8" w:space="0"/>
                    <w:right w:val="single" w:color="auto" w:sz="8" w:space="0"/>
                  </w:tcBorders>
                  <w:noWrap w:val="0"/>
                  <w:vAlign w:val="center"/>
                </w:tcPr>
                <w:p w14:paraId="4D98F13F">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达标</w:t>
                  </w:r>
                </w:p>
              </w:tc>
              <w:tc>
                <w:tcPr>
                  <w:tcW w:w="887" w:type="dxa"/>
                  <w:tcBorders>
                    <w:top w:val="single" w:color="auto" w:sz="8" w:space="0"/>
                    <w:left w:val="single" w:color="auto" w:sz="8" w:space="0"/>
                    <w:bottom w:val="single" w:color="auto" w:sz="8" w:space="0"/>
                    <w:right w:val="single" w:color="auto" w:sz="8" w:space="0"/>
                  </w:tcBorders>
                  <w:noWrap w:val="0"/>
                  <w:vAlign w:val="center"/>
                </w:tcPr>
                <w:p w14:paraId="3A445766">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tc>
              <w:tc>
                <w:tcPr>
                  <w:tcW w:w="995" w:type="dxa"/>
                  <w:tcBorders>
                    <w:top w:val="single" w:color="auto" w:sz="8" w:space="0"/>
                    <w:left w:val="single" w:color="auto" w:sz="8" w:space="0"/>
                    <w:bottom w:val="single" w:color="auto" w:sz="8" w:space="0"/>
                    <w:right w:val="single" w:color="auto" w:sz="4" w:space="0"/>
                  </w:tcBorders>
                  <w:noWrap w:val="0"/>
                  <w:vAlign w:val="center"/>
                </w:tcPr>
                <w:p w14:paraId="3C729716">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达标</w:t>
                  </w:r>
                </w:p>
              </w:tc>
              <w:tc>
                <w:tcPr>
                  <w:tcW w:w="890" w:type="dxa"/>
                  <w:tcBorders>
                    <w:top w:val="single" w:color="auto" w:sz="8" w:space="0"/>
                    <w:left w:val="single" w:color="auto" w:sz="4" w:space="0"/>
                    <w:bottom w:val="single" w:color="auto" w:sz="8" w:space="0"/>
                    <w:right w:val="single" w:color="auto" w:sz="8" w:space="0"/>
                  </w:tcBorders>
                  <w:noWrap w:val="0"/>
                  <w:vAlign w:val="center"/>
                </w:tcPr>
                <w:p w14:paraId="2A239D1C">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tc>
              <w:tc>
                <w:tcPr>
                  <w:tcW w:w="965" w:type="dxa"/>
                  <w:tcBorders>
                    <w:top w:val="single" w:color="auto" w:sz="8" w:space="0"/>
                    <w:left w:val="single" w:color="auto" w:sz="8" w:space="0"/>
                    <w:bottom w:val="single" w:color="auto" w:sz="8" w:space="0"/>
                    <w:right w:val="single" w:color="auto" w:sz="8" w:space="0"/>
                  </w:tcBorders>
                  <w:noWrap w:val="0"/>
                  <w:vAlign w:val="center"/>
                </w:tcPr>
                <w:p w14:paraId="7ECB227C">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达标</w:t>
                  </w:r>
                </w:p>
              </w:tc>
              <w:tc>
                <w:tcPr>
                  <w:tcW w:w="833" w:type="dxa"/>
                  <w:tcBorders>
                    <w:top w:val="single" w:color="auto" w:sz="8" w:space="0"/>
                    <w:left w:val="single" w:color="auto" w:sz="8" w:space="0"/>
                    <w:bottom w:val="single" w:color="auto" w:sz="8" w:space="0"/>
                    <w:right w:val="single" w:color="auto" w:sz="8" w:space="0"/>
                  </w:tcBorders>
                  <w:noWrap w:val="0"/>
                  <w:vAlign w:val="center"/>
                </w:tcPr>
                <w:p w14:paraId="0CAD46F4">
                  <w:pPr>
                    <w:pStyle w:val="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p>
              </w:tc>
            </w:tr>
          </w:tbl>
          <w:p w14:paraId="3F5058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snapToGrid w:val="0"/>
                <w:color w:val="000000" w:themeColor="text1"/>
                <w:sz w:val="24"/>
                <w:szCs w:val="24"/>
                <w:highlight w:val="none"/>
                <w14:textFill>
                  <w14:solidFill>
                    <w14:schemeClr w14:val="tx1"/>
                  </w14:solidFill>
                </w14:textFill>
              </w:rPr>
              <w:t>根据表</w:t>
            </w:r>
            <w:r>
              <w:rPr>
                <w:rFonts w:hint="eastAsia" w:ascii="Times New Roman" w:hAnsi="Times New Roman"/>
                <w:snapToGrid w:val="0"/>
                <w:color w:val="000000" w:themeColor="text1"/>
                <w:sz w:val="24"/>
                <w:szCs w:val="24"/>
                <w:highlight w:val="none"/>
                <w:lang w:val="en-US" w:eastAsia="zh-CN"/>
                <w14:textFill>
                  <w14:solidFill>
                    <w14:schemeClr w14:val="tx1"/>
                  </w14:solidFill>
                </w14:textFill>
              </w:rPr>
              <w:t>4.2.3-3</w:t>
            </w:r>
            <w:r>
              <w:rPr>
                <w:rFonts w:ascii="Times New Roman" w:hAnsi="Times New Roman"/>
                <w:snapToGrid w:val="0"/>
                <w:color w:val="000000" w:themeColor="text1"/>
                <w:sz w:val="24"/>
                <w:szCs w:val="24"/>
                <w:highlight w:val="none"/>
                <w14:textFill>
                  <w14:solidFill>
                    <w14:schemeClr w14:val="tx1"/>
                  </w14:solidFill>
                </w14:textFill>
              </w:rPr>
              <w:t>预测结果分析，</w:t>
            </w:r>
            <w:r>
              <w:rPr>
                <w:rFonts w:hint="eastAsia" w:ascii="Times New Roman" w:hAnsi="Times New Roman"/>
                <w:snapToGrid w:val="0"/>
                <w:color w:val="000000" w:themeColor="text1"/>
                <w:sz w:val="24"/>
                <w:szCs w:val="24"/>
                <w:highlight w:val="none"/>
                <w:lang w:eastAsia="zh-CN"/>
                <w14:textFill>
                  <w14:solidFill>
                    <w14:schemeClr w14:val="tx1"/>
                  </w14:solidFill>
                </w14:textFill>
              </w:rPr>
              <w:t>本项目</w:t>
            </w:r>
            <w:r>
              <w:rPr>
                <w:rFonts w:ascii="Times New Roman" w:hAnsi="Times New Roman"/>
                <w:snapToGrid w:val="0"/>
                <w:color w:val="000000" w:themeColor="text1"/>
                <w:sz w:val="24"/>
                <w:szCs w:val="24"/>
                <w:highlight w:val="none"/>
                <w14:textFill>
                  <w14:solidFill>
                    <w14:schemeClr w14:val="tx1"/>
                  </w14:solidFill>
                </w14:textFill>
              </w:rPr>
              <w:t>运营期产生的噪声，在采取相应的防噪和降噪措施后，</w:t>
            </w:r>
            <w:r>
              <w:rPr>
                <w:rFonts w:hint="eastAsia"/>
                <w:snapToGrid w:val="0"/>
                <w:color w:val="000000" w:themeColor="text1"/>
                <w:sz w:val="24"/>
                <w:szCs w:val="24"/>
                <w:highlight w:val="none"/>
                <w:lang w:val="en-US" w:eastAsia="zh-CN"/>
                <w14:textFill>
                  <w14:solidFill>
                    <w14:schemeClr w14:val="tx1"/>
                  </w14:solidFill>
                </w14:textFill>
              </w:rPr>
              <w:t>东、西、北侧</w:t>
            </w:r>
            <w:r>
              <w:rPr>
                <w:rFonts w:ascii="Times New Roman" w:hAnsi="Times New Roman"/>
                <w:snapToGrid w:val="0"/>
                <w:color w:val="000000" w:themeColor="text1"/>
                <w:sz w:val="24"/>
                <w:szCs w:val="24"/>
                <w:highlight w:val="none"/>
                <w14:textFill>
                  <w14:solidFill>
                    <w14:schemeClr w14:val="tx1"/>
                  </w14:solidFill>
                </w14:textFill>
              </w:rPr>
              <w:t>厂界昼间噪声</w:t>
            </w:r>
            <w:r>
              <w:rPr>
                <w:rFonts w:hint="eastAsia" w:ascii="Times New Roman" w:hAnsi="Times New Roman"/>
                <w:snapToGrid w:val="0"/>
                <w:color w:val="000000" w:themeColor="text1"/>
                <w:sz w:val="24"/>
                <w:szCs w:val="24"/>
                <w:highlight w:val="none"/>
                <w:lang w:eastAsia="zh-CN"/>
                <w14:textFill>
                  <w14:solidFill>
                    <w14:schemeClr w14:val="tx1"/>
                  </w14:solidFill>
                </w14:textFill>
              </w:rPr>
              <w:t>预测值</w:t>
            </w:r>
            <w:r>
              <w:rPr>
                <w:rFonts w:ascii="Times New Roman" w:hAnsi="Times New Roman"/>
                <w:snapToGrid w:val="0"/>
                <w:color w:val="000000" w:themeColor="text1"/>
                <w:sz w:val="24"/>
                <w:szCs w:val="24"/>
                <w:highlight w:val="none"/>
                <w14:textFill>
                  <w14:solidFill>
                    <w14:schemeClr w14:val="tx1"/>
                  </w14:solidFill>
                </w14:textFill>
              </w:rPr>
              <w:t>能满足《工业企业厂界环境噪声排放标准》（GB12348-2008）3类标准限值</w:t>
            </w:r>
            <w:r>
              <w:rPr>
                <w:rFonts w:hint="eastAsia"/>
                <w:snapToGrid w:val="0"/>
                <w:color w:val="000000" w:themeColor="text1"/>
                <w:sz w:val="24"/>
                <w:szCs w:val="24"/>
                <w:highlight w:val="none"/>
                <w:lang w:eastAsia="zh-CN"/>
                <w14:textFill>
                  <w14:solidFill>
                    <w14:schemeClr w14:val="tx1"/>
                  </w14:solidFill>
                </w14:textFill>
              </w:rPr>
              <w:t>，</w:t>
            </w:r>
            <w:r>
              <w:rPr>
                <w:rFonts w:hint="eastAsia"/>
                <w:snapToGrid w:val="0"/>
                <w:color w:val="000000" w:themeColor="text1"/>
                <w:sz w:val="24"/>
                <w:szCs w:val="24"/>
                <w:highlight w:val="none"/>
                <w:lang w:val="en-US" w:eastAsia="zh-CN"/>
                <w14:textFill>
                  <w14:solidFill>
                    <w14:schemeClr w14:val="tx1"/>
                  </w14:solidFill>
                </w14:textFill>
              </w:rPr>
              <w:t>南侧</w:t>
            </w:r>
            <w:r>
              <w:rPr>
                <w:rFonts w:ascii="Times New Roman" w:hAnsi="Times New Roman"/>
                <w:snapToGrid w:val="0"/>
                <w:color w:val="000000" w:themeColor="text1"/>
                <w:sz w:val="24"/>
                <w:szCs w:val="24"/>
                <w:highlight w:val="none"/>
                <w14:textFill>
                  <w14:solidFill>
                    <w14:schemeClr w14:val="tx1"/>
                  </w14:solidFill>
                </w14:textFill>
              </w:rPr>
              <w:t>厂界昼间噪声</w:t>
            </w:r>
            <w:r>
              <w:rPr>
                <w:rFonts w:hint="eastAsia" w:ascii="Times New Roman" w:hAnsi="Times New Roman"/>
                <w:snapToGrid w:val="0"/>
                <w:color w:val="000000" w:themeColor="text1"/>
                <w:sz w:val="24"/>
                <w:szCs w:val="24"/>
                <w:highlight w:val="none"/>
                <w:lang w:eastAsia="zh-CN"/>
                <w14:textFill>
                  <w14:solidFill>
                    <w14:schemeClr w14:val="tx1"/>
                  </w14:solidFill>
                </w14:textFill>
              </w:rPr>
              <w:t>预测值</w:t>
            </w:r>
            <w:r>
              <w:rPr>
                <w:rFonts w:ascii="Times New Roman" w:hAnsi="Times New Roman"/>
                <w:snapToGrid w:val="0"/>
                <w:color w:val="000000" w:themeColor="text1"/>
                <w:sz w:val="24"/>
                <w:szCs w:val="24"/>
                <w:highlight w:val="none"/>
                <w14:textFill>
                  <w14:solidFill>
                    <w14:schemeClr w14:val="tx1"/>
                  </w14:solidFill>
                </w14:textFill>
              </w:rPr>
              <w:t>能满足《工业企业厂界环境噪声排放标准》（GB12348-2008）</w:t>
            </w:r>
            <w:r>
              <w:rPr>
                <w:rFonts w:hint="eastAsia"/>
                <w:snapToGrid w:val="0"/>
                <w:color w:val="000000" w:themeColor="text1"/>
                <w:sz w:val="24"/>
                <w:szCs w:val="24"/>
                <w:highlight w:val="none"/>
                <w:lang w:val="en-US" w:eastAsia="zh-CN"/>
                <w14:textFill>
                  <w14:solidFill>
                    <w14:schemeClr w14:val="tx1"/>
                  </w14:solidFill>
                </w14:textFill>
              </w:rPr>
              <w:t>4</w:t>
            </w:r>
            <w:r>
              <w:rPr>
                <w:rFonts w:ascii="Times New Roman" w:hAnsi="Times New Roman"/>
                <w:snapToGrid w:val="0"/>
                <w:color w:val="000000" w:themeColor="text1"/>
                <w:sz w:val="24"/>
                <w:szCs w:val="24"/>
                <w:highlight w:val="none"/>
                <w14:textFill>
                  <w14:solidFill>
                    <w14:schemeClr w14:val="tx1"/>
                  </w14:solidFill>
                </w14:textFill>
              </w:rPr>
              <w:t>类标准限值</w:t>
            </w:r>
            <w:r>
              <w:rPr>
                <w:rFonts w:hint="eastAsia" w:ascii="Times New Roman" w:hAnsi="Times New Roman"/>
                <w:snapToGrid w:val="0"/>
                <w:color w:val="000000" w:themeColor="text1"/>
                <w:sz w:val="24"/>
                <w:szCs w:val="24"/>
                <w:highlight w:val="none"/>
                <w14:textFill>
                  <w14:solidFill>
                    <w14:schemeClr w14:val="tx1"/>
                  </w14:solidFill>
                </w14:textFill>
              </w:rPr>
              <w:t>；项目夜间不生产</w:t>
            </w:r>
            <w:r>
              <w:rPr>
                <w:rFonts w:ascii="Times New Roman" w:hAnsi="Times New Roman"/>
                <w:snapToGrid w:val="0"/>
                <w:color w:val="000000" w:themeColor="text1"/>
                <w:sz w:val="24"/>
                <w:szCs w:val="24"/>
                <w:highlight w:val="none"/>
                <w14:textFill>
                  <w14:solidFill>
                    <w14:schemeClr w14:val="tx1"/>
                  </w14:solidFill>
                </w14:textFill>
              </w:rPr>
              <w:t>。根据项目现状调查，厂区外50m范围内无声环境敏感目标，为工业园区已建企业，运营期不会造成噪声污染。</w:t>
            </w:r>
          </w:p>
          <w:p w14:paraId="1DE2BE5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lang w:eastAsia="zh-CN"/>
                <w14:textFill>
                  <w14:solidFill>
                    <w14:schemeClr w14:val="tx1"/>
                  </w14:solidFill>
                </w14:textFill>
              </w:rPr>
              <w:t>（</w:t>
            </w:r>
            <w:r>
              <w:rPr>
                <w:rFonts w:hint="eastAsia" w:ascii="Times New Roman" w:hAnsi="Times New Roman"/>
                <w:b/>
                <w:bCs/>
                <w:color w:val="000000" w:themeColor="text1"/>
                <w:sz w:val="24"/>
                <w:highlight w:val="none"/>
                <w:lang w:val="en-US" w:eastAsia="zh-CN"/>
                <w14:textFill>
                  <w14:solidFill>
                    <w14:schemeClr w14:val="tx1"/>
                  </w14:solidFill>
                </w14:textFill>
              </w:rPr>
              <w:t>3</w:t>
            </w:r>
            <w:r>
              <w:rPr>
                <w:rFonts w:hint="eastAsia" w:ascii="Times New Roman" w:hAnsi="Times New Roman"/>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14:textFill>
                  <w14:solidFill>
                    <w14:schemeClr w14:val="tx1"/>
                  </w14:solidFill>
                </w14:textFill>
              </w:rPr>
              <w:t>噪声污染防治措施</w:t>
            </w:r>
          </w:p>
          <w:p w14:paraId="4A05C8C4">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本项目拟采取以下治理措施：</w:t>
            </w:r>
          </w:p>
          <w:p w14:paraId="34BBC046">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1）在保证工艺生产的同时注意选用低噪声的设备；</w:t>
            </w:r>
          </w:p>
          <w:p w14:paraId="3A3EBDC7">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2）将主要噪声设备置于室内，减轻对外环境的噪声影响；</w:t>
            </w:r>
          </w:p>
          <w:p w14:paraId="18E4637B">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加强管理，对原材料和产品的装卸和转移不得随意扔、丢、抛、倒，以减少碰撞和运输噪声。</w:t>
            </w:r>
          </w:p>
          <w:p w14:paraId="31C5AD0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szCs w:val="24"/>
                <w:highlight w:val="none"/>
                <w:lang w:val="en-US" w:eastAsia="zh-CN"/>
                <w14:textFill>
                  <w14:solidFill>
                    <w14:schemeClr w14:val="tx1"/>
                  </w14:solidFill>
                </w14:textFill>
              </w:rPr>
              <w:t>（4）</w:t>
            </w:r>
            <w:r>
              <w:rPr>
                <w:rFonts w:ascii="Times New Roman" w:hAnsi="Times New Roman"/>
                <w:b/>
                <w:bCs/>
                <w:color w:val="000000" w:themeColor="text1"/>
                <w:sz w:val="24"/>
                <w:szCs w:val="24"/>
                <w:highlight w:val="none"/>
                <w14:textFill>
                  <w14:solidFill>
                    <w14:schemeClr w14:val="tx1"/>
                  </w14:solidFill>
                </w14:textFill>
              </w:rPr>
              <w:t>污染源监测计划</w:t>
            </w:r>
          </w:p>
          <w:p w14:paraId="5C22A749">
            <w:pPr>
              <w:spacing w:line="360" w:lineRule="auto"/>
              <w:ind w:firstLine="480" w:firstLineChars="200"/>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本次评价按照《排污单位自行监测技术指南</w:t>
            </w:r>
            <w:r>
              <w:rPr>
                <w:rFonts w:hint="eastAsia" w:ascii="Times New Roman" w:hAnsi="Times New Roman"/>
                <w:bCs/>
                <w:color w:val="000000" w:themeColor="text1"/>
                <w:sz w:val="24"/>
                <w:highlight w:val="none"/>
                <w:lang w:val="en-US" w:eastAsia="zh-CN"/>
                <w14:textFill>
                  <w14:solidFill>
                    <w14:schemeClr w14:val="tx1"/>
                  </w14:solidFill>
                </w14:textFill>
              </w:rPr>
              <w:t xml:space="preserve"> </w:t>
            </w:r>
            <w:r>
              <w:rPr>
                <w:rFonts w:ascii="Times New Roman" w:hAnsi="Times New Roman"/>
                <w:bCs/>
                <w:color w:val="000000" w:themeColor="text1"/>
                <w:sz w:val="24"/>
                <w:highlight w:val="none"/>
                <w14:textFill>
                  <w14:solidFill>
                    <w14:schemeClr w14:val="tx1"/>
                  </w14:solidFill>
                </w14:textFill>
              </w:rPr>
              <w:t>总则》（HJ819-2017）</w:t>
            </w:r>
            <w:r>
              <w:rPr>
                <w:rFonts w:hint="eastAsia" w:ascii="Times New Roman" w:hAnsi="Times New Roman"/>
                <w:bCs/>
                <w:color w:val="000000" w:themeColor="text1"/>
                <w:sz w:val="24"/>
                <w:highlight w:val="none"/>
                <w:lang w:eastAsia="zh-CN"/>
                <w14:textFill>
                  <w14:solidFill>
                    <w14:schemeClr w14:val="tx1"/>
                  </w14:solidFill>
                </w14:textFill>
              </w:rPr>
              <w:t>、</w:t>
            </w:r>
            <w:r>
              <w:rPr>
                <w:rFonts w:hint="eastAsia"/>
                <w:color w:val="000000" w:themeColor="text1"/>
                <w:kern w:val="2"/>
                <w:sz w:val="24"/>
                <w:szCs w:val="24"/>
                <w:highlight w:val="none"/>
                <w:lang w:eastAsia="zh-CN"/>
                <w14:textFill>
                  <w14:solidFill>
                    <w14:schemeClr w14:val="tx1"/>
                  </w14:solidFill>
                </w14:textFill>
              </w:rPr>
              <w:t>《排污许可证申请与核发技术规范</w:t>
            </w:r>
            <w:r>
              <w:rPr>
                <w:rFonts w:hint="eastAsia"/>
                <w:color w:val="000000" w:themeColor="text1"/>
                <w:kern w:val="2"/>
                <w:sz w:val="24"/>
                <w:szCs w:val="24"/>
                <w:highlight w:val="none"/>
                <w:lang w:val="en-US" w:eastAsia="zh-CN"/>
                <w14:textFill>
                  <w14:solidFill>
                    <w14:schemeClr w14:val="tx1"/>
                  </w14:solidFill>
                </w14:textFill>
              </w:rPr>
              <w:t xml:space="preserve"> </w:t>
            </w:r>
            <w:r>
              <w:rPr>
                <w:rFonts w:hint="eastAsia"/>
                <w:color w:val="000000" w:themeColor="text1"/>
                <w:kern w:val="2"/>
                <w:sz w:val="24"/>
                <w:szCs w:val="24"/>
                <w:highlight w:val="none"/>
                <w:lang w:eastAsia="zh-CN"/>
                <w14:textFill>
                  <w14:solidFill>
                    <w14:schemeClr w14:val="tx1"/>
                  </w14:solidFill>
                </w14:textFill>
              </w:rPr>
              <w:t>工业噪声》（HJ 1301</w:t>
            </w:r>
            <w:r>
              <w:rPr>
                <w:rFonts w:hint="eastAsia"/>
                <w:color w:val="000000" w:themeColor="text1"/>
                <w:kern w:val="2"/>
                <w:sz w:val="24"/>
                <w:szCs w:val="24"/>
                <w:highlight w:val="none"/>
                <w:lang w:val="en-US" w:eastAsia="zh-CN"/>
                <w14:textFill>
                  <w14:solidFill>
                    <w14:schemeClr w14:val="tx1"/>
                  </w14:solidFill>
                </w14:textFill>
              </w:rPr>
              <w:t>-</w:t>
            </w:r>
            <w:r>
              <w:rPr>
                <w:rFonts w:hint="eastAsia"/>
                <w:color w:val="000000" w:themeColor="text1"/>
                <w:kern w:val="2"/>
                <w:sz w:val="24"/>
                <w:szCs w:val="24"/>
                <w:highlight w:val="none"/>
                <w:lang w:eastAsia="zh-CN"/>
                <w14:textFill>
                  <w14:solidFill>
                    <w14:schemeClr w14:val="tx1"/>
                  </w14:solidFill>
                </w14:textFill>
              </w:rPr>
              <w:t>2023）</w:t>
            </w:r>
            <w:r>
              <w:rPr>
                <w:rFonts w:ascii="Times New Roman" w:hAnsi="Times New Roman"/>
                <w:bCs/>
                <w:color w:val="000000" w:themeColor="text1"/>
                <w:sz w:val="24"/>
                <w:highlight w:val="none"/>
                <w14:textFill>
                  <w14:solidFill>
                    <w14:schemeClr w14:val="tx1"/>
                  </w14:solidFill>
                </w14:textFill>
              </w:rPr>
              <w:t>，制定如下监测计划：</w:t>
            </w:r>
          </w:p>
          <w:p w14:paraId="3B702D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color w:val="000000" w:themeColor="text1"/>
                <w:sz w:val="24"/>
                <w:szCs w:val="24"/>
                <w:highlight w:val="none"/>
                <w14:textFill>
                  <w14:solidFill>
                    <w14:schemeClr w14:val="tx1"/>
                  </w14:solidFill>
                </w14:textFill>
              </w:rPr>
            </w:pPr>
            <w:r>
              <w:rPr>
                <w:rFonts w:ascii="Times New Roman" w:hAnsi="Times New Roman"/>
                <w:b/>
                <w:color w:val="000000" w:themeColor="text1"/>
                <w:sz w:val="24"/>
                <w:szCs w:val="24"/>
                <w:highlight w:val="none"/>
                <w14:textFill>
                  <w14:solidFill>
                    <w14:schemeClr w14:val="tx1"/>
                  </w14:solidFill>
                </w14:textFill>
              </w:rPr>
              <w:t>表</w:t>
            </w:r>
            <w:r>
              <w:rPr>
                <w:rFonts w:hint="eastAsia" w:ascii="Times New Roman" w:hAnsi="Times New Roman"/>
                <w:b/>
                <w:color w:val="000000" w:themeColor="text1"/>
                <w:sz w:val="24"/>
                <w:szCs w:val="24"/>
                <w:highlight w:val="none"/>
                <w:lang w:val="en-US" w:eastAsia="zh-CN"/>
                <w14:textFill>
                  <w14:solidFill>
                    <w14:schemeClr w14:val="tx1"/>
                  </w14:solidFill>
                </w14:textFill>
              </w:rPr>
              <w:t>4.2-</w:t>
            </w:r>
            <w:r>
              <w:rPr>
                <w:rFonts w:hint="eastAsia"/>
                <w:b/>
                <w:color w:val="000000" w:themeColor="text1"/>
                <w:sz w:val="24"/>
                <w:szCs w:val="24"/>
                <w:highlight w:val="none"/>
                <w:lang w:val="en-US" w:eastAsia="zh-CN"/>
                <w14:textFill>
                  <w14:solidFill>
                    <w14:schemeClr w14:val="tx1"/>
                  </w14:solidFill>
                </w14:textFill>
              </w:rPr>
              <w:t>16</w:t>
            </w:r>
            <w:r>
              <w:rPr>
                <w:rFonts w:hint="eastAsia" w:ascii="Times New Roman" w:hAnsi="Times New Roman"/>
                <w:b/>
                <w:color w:val="000000" w:themeColor="text1"/>
                <w:sz w:val="24"/>
                <w:szCs w:val="24"/>
                <w:highlight w:val="none"/>
                <w:lang w:val="en-US" w:eastAsia="zh-CN"/>
                <w14:textFill>
                  <w14:solidFill>
                    <w14:schemeClr w14:val="tx1"/>
                  </w14:solidFill>
                </w14:textFill>
              </w:rPr>
              <w:t xml:space="preserve"> </w:t>
            </w:r>
            <w:r>
              <w:rPr>
                <w:rFonts w:ascii="Times New Roman" w:hAnsi="Times New Roman"/>
                <w:b/>
                <w:color w:val="000000" w:themeColor="text1"/>
                <w:sz w:val="24"/>
                <w:szCs w:val="24"/>
                <w:highlight w:val="none"/>
                <w14:textFill>
                  <w14:solidFill>
                    <w14:schemeClr w14:val="tx1"/>
                  </w14:solidFill>
                </w14:textFill>
              </w:rPr>
              <w:t>噪声监测计划一览表</w:t>
            </w:r>
          </w:p>
          <w:tbl>
            <w:tblPr>
              <w:tblStyle w:val="28"/>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368"/>
              <w:gridCol w:w="2287"/>
              <w:gridCol w:w="1626"/>
              <w:gridCol w:w="3757"/>
            </w:tblGrid>
            <w:tr w14:paraId="68CC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214" w:hRule="atLeast"/>
                <w:tblHeader/>
                <w:jc w:val="center"/>
              </w:trPr>
              <w:tc>
                <w:tcPr>
                  <w:tcW w:w="756" w:type="pct"/>
                  <w:noWrap w:val="0"/>
                  <w:vAlign w:val="center"/>
                </w:tcPr>
                <w:p w14:paraId="53A37A6C">
                  <w:pPr>
                    <w:pStyle w:val="78"/>
                    <w:keepNext w:val="0"/>
                    <w:keepLines w:val="0"/>
                    <w:pageBreakBefore w:val="0"/>
                    <w:widowControl/>
                    <w:kinsoku/>
                    <w:wordWrap/>
                    <w:overflowPunct/>
                    <w:topLinePunct w:val="0"/>
                    <w:autoSpaceDE w:val="0"/>
                    <w:autoSpaceDN w:val="0"/>
                    <w:bidi w:val="0"/>
                    <w:adjustRightInd w:val="0"/>
                    <w:snapToGrid w:val="0"/>
                    <w:spacing w:before="0" w:line="240" w:lineRule="auto"/>
                    <w:ind w:right="0" w:firstLine="0" w:firstLineChars="0"/>
                    <w:textAlignment w:val="baseline"/>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t>监测对象</w:t>
                  </w:r>
                </w:p>
              </w:tc>
              <w:tc>
                <w:tcPr>
                  <w:tcW w:w="1265" w:type="pct"/>
                  <w:noWrap w:val="0"/>
                  <w:vAlign w:val="center"/>
                </w:tcPr>
                <w:p w14:paraId="618871B3">
                  <w:pPr>
                    <w:pStyle w:val="78"/>
                    <w:keepNext w:val="0"/>
                    <w:keepLines w:val="0"/>
                    <w:pageBreakBefore w:val="0"/>
                    <w:widowControl/>
                    <w:kinsoku/>
                    <w:wordWrap/>
                    <w:overflowPunct/>
                    <w:topLinePunct w:val="0"/>
                    <w:autoSpaceDE w:val="0"/>
                    <w:autoSpaceDN w:val="0"/>
                    <w:bidi w:val="0"/>
                    <w:adjustRightInd w:val="0"/>
                    <w:snapToGrid w:val="0"/>
                    <w:spacing w:before="0" w:line="240" w:lineRule="auto"/>
                    <w:ind w:right="0" w:firstLine="0" w:firstLineChars="0"/>
                    <w:textAlignment w:val="baseline"/>
                    <w:rPr>
                      <w:rFonts w:hint="default" w:ascii="Times New Roman" w:hAnsi="Times New Roman" w:eastAsia="宋体" w:cs="Times New Roman"/>
                      <w:b/>
                      <w:snapToGrid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t>监测点</w:t>
                  </w:r>
                  <w:r>
                    <w:rPr>
                      <w:rFonts w:hint="default" w:ascii="Times New Roman" w:hAnsi="Times New Roman" w:eastAsia="宋体" w:cs="Times New Roman"/>
                      <w:b/>
                      <w:snapToGrid w:val="0"/>
                      <w:color w:val="000000" w:themeColor="text1"/>
                      <w:sz w:val="21"/>
                      <w:szCs w:val="21"/>
                      <w:highlight w:val="none"/>
                      <w:lang w:eastAsia="zh-CN"/>
                      <w14:textFill>
                        <w14:solidFill>
                          <w14:schemeClr w14:val="tx1"/>
                        </w14:solidFill>
                      </w14:textFill>
                    </w:rPr>
                    <w:t>位</w:t>
                  </w:r>
                </w:p>
              </w:tc>
              <w:tc>
                <w:tcPr>
                  <w:tcW w:w="899" w:type="pct"/>
                  <w:noWrap w:val="0"/>
                  <w:vAlign w:val="center"/>
                </w:tcPr>
                <w:p w14:paraId="72191EEF">
                  <w:pPr>
                    <w:pStyle w:val="78"/>
                    <w:keepNext w:val="0"/>
                    <w:keepLines w:val="0"/>
                    <w:pageBreakBefore w:val="0"/>
                    <w:widowControl/>
                    <w:kinsoku/>
                    <w:wordWrap/>
                    <w:overflowPunct/>
                    <w:topLinePunct w:val="0"/>
                    <w:autoSpaceDE w:val="0"/>
                    <w:autoSpaceDN w:val="0"/>
                    <w:bidi w:val="0"/>
                    <w:adjustRightInd w:val="0"/>
                    <w:snapToGrid w:val="0"/>
                    <w:spacing w:before="0" w:line="240" w:lineRule="auto"/>
                    <w:ind w:right="0" w:firstLine="0" w:firstLineChars="0"/>
                    <w:textAlignment w:val="baseline"/>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t>监测因子</w:t>
                  </w:r>
                </w:p>
              </w:tc>
              <w:tc>
                <w:tcPr>
                  <w:tcW w:w="2078" w:type="pct"/>
                  <w:noWrap w:val="0"/>
                  <w:vAlign w:val="center"/>
                </w:tcPr>
                <w:p w14:paraId="2DBE272A">
                  <w:pPr>
                    <w:pStyle w:val="78"/>
                    <w:keepNext w:val="0"/>
                    <w:keepLines w:val="0"/>
                    <w:pageBreakBefore w:val="0"/>
                    <w:widowControl/>
                    <w:kinsoku/>
                    <w:wordWrap/>
                    <w:overflowPunct/>
                    <w:topLinePunct w:val="0"/>
                    <w:autoSpaceDE w:val="0"/>
                    <w:autoSpaceDN w:val="0"/>
                    <w:bidi w:val="0"/>
                    <w:adjustRightInd w:val="0"/>
                    <w:snapToGrid w:val="0"/>
                    <w:spacing w:before="0" w:line="240" w:lineRule="auto"/>
                    <w:ind w:right="0" w:firstLine="0" w:firstLineChars="0"/>
                    <w:textAlignment w:val="baseline"/>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t>监测时段与方法</w:t>
                  </w:r>
                </w:p>
              </w:tc>
            </w:tr>
            <w:tr w14:paraId="06A9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236" w:hRule="atLeast"/>
                <w:tblHeader/>
                <w:jc w:val="center"/>
              </w:trPr>
              <w:tc>
                <w:tcPr>
                  <w:tcW w:w="756" w:type="pct"/>
                  <w:noWrap w:val="0"/>
                  <w:vAlign w:val="center"/>
                </w:tcPr>
                <w:p w14:paraId="351A29AC">
                  <w:pPr>
                    <w:pStyle w:val="78"/>
                    <w:keepNext w:val="0"/>
                    <w:keepLines w:val="0"/>
                    <w:pageBreakBefore w:val="0"/>
                    <w:widowControl/>
                    <w:kinsoku/>
                    <w:wordWrap/>
                    <w:overflowPunct/>
                    <w:topLinePunct w:val="0"/>
                    <w:autoSpaceDE w:val="0"/>
                    <w:autoSpaceDN w:val="0"/>
                    <w:bidi w:val="0"/>
                    <w:adjustRightInd w:val="0"/>
                    <w:snapToGrid w:val="0"/>
                    <w:spacing w:before="0" w:line="240" w:lineRule="auto"/>
                    <w:ind w:right="0" w:firstLine="0" w:firstLineChars="0"/>
                    <w:textAlignment w:val="baseline"/>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厂界噪声</w:t>
                  </w:r>
                </w:p>
              </w:tc>
              <w:tc>
                <w:tcPr>
                  <w:tcW w:w="1265" w:type="pct"/>
                  <w:noWrap w:val="0"/>
                  <w:vAlign w:val="center"/>
                </w:tcPr>
                <w:p w14:paraId="724663B3">
                  <w:pPr>
                    <w:pStyle w:val="78"/>
                    <w:keepNext w:val="0"/>
                    <w:keepLines w:val="0"/>
                    <w:pageBreakBefore w:val="0"/>
                    <w:widowControl/>
                    <w:kinsoku/>
                    <w:wordWrap/>
                    <w:overflowPunct/>
                    <w:topLinePunct w:val="0"/>
                    <w:autoSpaceDE w:val="0"/>
                    <w:autoSpaceDN w:val="0"/>
                    <w:bidi w:val="0"/>
                    <w:adjustRightInd w:val="0"/>
                    <w:snapToGrid w:val="0"/>
                    <w:spacing w:before="0" w:line="240" w:lineRule="auto"/>
                    <w:ind w:right="0" w:firstLine="0" w:firstLineChars="0"/>
                    <w:textAlignment w:val="baseline"/>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东、西、南、北厂界</w:t>
                  </w:r>
                </w:p>
              </w:tc>
              <w:tc>
                <w:tcPr>
                  <w:tcW w:w="899" w:type="pct"/>
                  <w:noWrap w:val="0"/>
                  <w:vAlign w:val="center"/>
                </w:tcPr>
                <w:p w14:paraId="7A9AF4FF">
                  <w:pPr>
                    <w:pStyle w:val="78"/>
                    <w:keepNext w:val="0"/>
                    <w:keepLines w:val="0"/>
                    <w:pageBreakBefore w:val="0"/>
                    <w:widowControl/>
                    <w:kinsoku/>
                    <w:wordWrap/>
                    <w:overflowPunct/>
                    <w:topLinePunct w:val="0"/>
                    <w:autoSpaceDE w:val="0"/>
                    <w:autoSpaceDN w:val="0"/>
                    <w:bidi w:val="0"/>
                    <w:adjustRightInd w:val="0"/>
                    <w:snapToGrid w:val="0"/>
                    <w:spacing w:before="0" w:line="240" w:lineRule="auto"/>
                    <w:ind w:right="0" w:firstLine="0" w:firstLineChars="0"/>
                    <w:textAlignment w:val="baseline"/>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厂界噪声</w:t>
                  </w:r>
                </w:p>
              </w:tc>
              <w:tc>
                <w:tcPr>
                  <w:tcW w:w="2078" w:type="pct"/>
                  <w:noWrap w:val="0"/>
                  <w:vAlign w:val="center"/>
                </w:tcPr>
                <w:p w14:paraId="2F0CDEB2">
                  <w:pPr>
                    <w:pStyle w:val="78"/>
                    <w:keepNext w:val="0"/>
                    <w:keepLines w:val="0"/>
                    <w:pageBreakBefore w:val="0"/>
                    <w:widowControl/>
                    <w:kinsoku/>
                    <w:wordWrap/>
                    <w:overflowPunct/>
                    <w:topLinePunct w:val="0"/>
                    <w:autoSpaceDE w:val="0"/>
                    <w:autoSpaceDN w:val="0"/>
                    <w:bidi w:val="0"/>
                    <w:adjustRightInd w:val="0"/>
                    <w:snapToGrid w:val="0"/>
                    <w:spacing w:before="0" w:line="240" w:lineRule="auto"/>
                    <w:ind w:right="0" w:firstLine="0" w:firstLineChars="0"/>
                    <w:textAlignment w:val="baseline"/>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验收时监测一次，运营期每季度1次</w:t>
                  </w:r>
                </w:p>
              </w:tc>
            </w:tr>
          </w:tbl>
          <w:p w14:paraId="639EAC3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lang w:val="en-US" w:eastAsia="zh-CN"/>
                <w14:textFill>
                  <w14:solidFill>
                    <w14:schemeClr w14:val="tx1"/>
                  </w14:solidFill>
                </w14:textFill>
              </w:rPr>
              <w:t>4.2.4</w:t>
            </w: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固体废物环境影响及保护措施</w:t>
            </w:r>
          </w:p>
          <w:p w14:paraId="43DFD56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（1）固体废物产生情况</w:t>
            </w:r>
          </w:p>
          <w:p w14:paraId="351D34A0">
            <w:pPr>
              <w:ind w:firstLine="480"/>
              <w:rPr>
                <w:rFonts w:hint="eastAsia"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根据项目工程分析，建设项目固废主要为：生活垃圾、</w:t>
            </w:r>
            <w:r>
              <w:rPr>
                <w:rFonts w:hint="eastAsia"/>
                <w:bCs/>
                <w:color w:val="000000" w:themeColor="text1"/>
                <w:szCs w:val="21"/>
                <w:highlight w:val="none"/>
                <w14:textFill>
                  <w14:solidFill>
                    <w14:schemeClr w14:val="tx1"/>
                  </w14:solidFill>
                </w14:textFill>
              </w:rPr>
              <w:t>餐厨垃圾</w:t>
            </w:r>
            <w:r>
              <w:rPr>
                <w:rFonts w:hint="eastAsia"/>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废包装材料、一次性废弃用品、食材边角料、污水处理污泥。</w:t>
            </w:r>
          </w:p>
          <w:p w14:paraId="784118E8">
            <w:pPr>
              <w:ind w:firstLine="480"/>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原料边角料：本项目预处理工序后会产生原料边角料，主要为毛肚原料等，根据建设单位提供资料，以上食品边角料产生量约为0.5</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t/a</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，根据</w:t>
            </w:r>
            <w:r>
              <w:rPr>
                <w:rFonts w:ascii="Times New Roman" w:hAnsi="Times New Roman" w:eastAsia="宋体" w:cs="Times New Roman"/>
                <w:color w:val="000000" w:themeColor="text1"/>
                <w:kern w:val="0"/>
                <w:sz w:val="24"/>
                <w:szCs w:val="24"/>
                <w:highlight w:val="none"/>
                <w14:textFill>
                  <w14:solidFill>
                    <w14:schemeClr w14:val="tx1"/>
                  </w14:solidFill>
                </w14:textFill>
              </w:rPr>
              <w:t>《固体废物分类与代码</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目录</w:t>
            </w:r>
            <w:r>
              <w:rPr>
                <w:rFonts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（生态环境部</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公告</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2024年第4号</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，食物残渣的分类代码为</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149-001-39</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，按厨余垃圾一同交由环卫部门处置。</w:t>
            </w:r>
          </w:p>
          <w:p w14:paraId="1FCEEEA1">
            <w:pPr>
              <w:ind w:firstLine="480"/>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食材边角料：本项目分割工序后会产生食材边角料，主要为各原料等，根据建设单位提供资料，以上食品边角料产生量约为</w:t>
            </w:r>
            <w:r>
              <w:rPr>
                <w:rFonts w:hint="eastAsia" w:cs="Times New Roman"/>
                <w:bCs/>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t/a</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，根据</w:t>
            </w:r>
            <w:r>
              <w:rPr>
                <w:rFonts w:ascii="Times New Roman" w:hAnsi="Times New Roman" w:eastAsia="宋体" w:cs="Times New Roman"/>
                <w:color w:val="000000" w:themeColor="text1"/>
                <w:kern w:val="0"/>
                <w:sz w:val="24"/>
                <w:szCs w:val="24"/>
                <w:highlight w:val="none"/>
                <w14:textFill>
                  <w14:solidFill>
                    <w14:schemeClr w14:val="tx1"/>
                  </w14:solidFill>
                </w14:textFill>
              </w:rPr>
              <w:t>《固体废物分类与代码</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目录</w:t>
            </w:r>
            <w:r>
              <w:rPr>
                <w:rFonts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（生态环境部</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公告</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2024年第4号</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，食物残渣的分类代码为</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149-001-39</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，按厨余垃圾一同交由环卫部门处置。</w:t>
            </w:r>
          </w:p>
          <w:p w14:paraId="387B2A66">
            <w:pPr>
              <w:ind w:firstLine="480"/>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废包装材料：本项目原辅料拆包过程及产品包装过程会产生废包装材料，主要为塑料袋、塑料瓶、纸箱等，原辅材料中含有肉类原材料，故废包装材料含有动植物油，经查询含动植物油废包装材料不属于《国家危险废物名录（</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2021</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年版）》中危险废物，故废包装材料属于一般工业固废，产生量约为1</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t/a</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。根据</w:t>
            </w:r>
            <w:r>
              <w:rPr>
                <w:rFonts w:ascii="Times New Roman" w:hAnsi="Times New Roman" w:eastAsia="宋体" w:cs="Times New Roman"/>
                <w:color w:val="000000" w:themeColor="text1"/>
                <w:kern w:val="0"/>
                <w:sz w:val="24"/>
                <w:szCs w:val="24"/>
                <w:highlight w:val="none"/>
                <w14:textFill>
                  <w14:solidFill>
                    <w14:schemeClr w14:val="tx1"/>
                  </w14:solidFill>
                </w14:textFill>
              </w:rPr>
              <w:t>《固体废物分类与代码</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目录</w:t>
            </w:r>
            <w:r>
              <w:rPr>
                <w:rFonts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（生态环境部</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公告</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2024年第4号</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，该固废代码为：</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149-001-06</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，分类收集后交由资源回收单位回收利用。</w:t>
            </w:r>
          </w:p>
          <w:p w14:paraId="2018A52F">
            <w:pPr>
              <w:ind w:firstLine="480"/>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不合格产品：检验产生不合格产品，产生量约为0.2</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t/a</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，根据《一般固体废物分类与代码》（</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GB/T39198-2020</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），食物残渣的分类代码为</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149-001-39</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，按厨余垃圾一同交由环卫部门处置。</w:t>
            </w:r>
          </w:p>
          <w:p w14:paraId="126F698D">
            <w:pPr>
              <w:ind w:firstLine="480"/>
              <w:rPr>
                <w:rFonts w:hint="eastAsia" w:ascii="Times New Roman" w:hAnsi="Times New Roman" w:eastAsia="宋体" w:cs="Times New Roman"/>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生活垃圾</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本项目劳动</w:t>
            </w:r>
            <w:r>
              <w:rPr>
                <w:bCs/>
                <w:color w:val="000000" w:themeColor="text1"/>
                <w:szCs w:val="21"/>
                <w:highlight w:val="none"/>
                <w14:textFill>
                  <w14:solidFill>
                    <w14:schemeClr w14:val="tx1"/>
                  </w14:solidFill>
                </w14:textFill>
              </w:rPr>
              <w:t>员工</w:t>
            </w:r>
            <w:r>
              <w:rPr>
                <w:rFonts w:hint="eastAsia"/>
                <w:bCs/>
                <w:color w:val="000000" w:themeColor="text1"/>
                <w:szCs w:val="21"/>
                <w:highlight w:val="none"/>
                <w:lang w:val="en-US" w:eastAsia="zh-CN"/>
                <w14:textFill>
                  <w14:solidFill>
                    <w14:schemeClr w14:val="tx1"/>
                  </w14:solidFill>
                </w14:textFill>
              </w:rPr>
              <w:t>1</w:t>
            </w:r>
            <w:r>
              <w:rPr>
                <w:bCs/>
                <w:color w:val="000000" w:themeColor="text1"/>
                <w:szCs w:val="21"/>
                <w:highlight w:val="none"/>
                <w14:textFill>
                  <w14:solidFill>
                    <w14:schemeClr w14:val="tx1"/>
                  </w14:solidFill>
                </w14:textFill>
              </w:rPr>
              <w:t>20人，生活垃圾产生系数以0.5kg/人•d计，企业年生产300d，则生活</w:t>
            </w:r>
            <w:r>
              <w:rPr>
                <w:rFonts w:hint="eastAsia" w:ascii="Times New Roman" w:hAnsi="Times New Roman" w:eastAsia="宋体" w:cs="Times New Roman"/>
                <w:bCs/>
                <w:color w:val="000000" w:themeColor="text1"/>
                <w:szCs w:val="21"/>
                <w:highlight w:val="none"/>
                <w14:textFill>
                  <w14:solidFill>
                    <w14:schemeClr w14:val="tx1"/>
                  </w14:solidFill>
                </w14:textFill>
              </w:rPr>
              <w:t>垃圾产生量约</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18</w:t>
            </w:r>
            <w:r>
              <w:rPr>
                <w:rFonts w:hint="eastAsia" w:ascii="Times New Roman" w:hAnsi="Times New Roman" w:eastAsia="宋体" w:cs="Times New Roman"/>
                <w:bCs/>
                <w:color w:val="000000" w:themeColor="text1"/>
                <w:szCs w:val="21"/>
                <w:highlight w:val="none"/>
                <w14:textFill>
                  <w14:solidFill>
                    <w14:schemeClr w14:val="tx1"/>
                  </w14:solidFill>
                </w14:textFill>
              </w:rPr>
              <w:t>t/a，由环卫部门统一清运。</w:t>
            </w:r>
          </w:p>
          <w:p w14:paraId="042508DD">
            <w:pPr>
              <w:keepNext w:val="0"/>
              <w:keepLines w:val="0"/>
              <w:pageBreakBefore w:val="0"/>
              <w:kinsoku/>
              <w:wordWrap/>
              <w:overflowPunct/>
              <w:topLinePunct w:val="0"/>
              <w:autoSpaceDE/>
              <w:autoSpaceDN/>
              <w:bidi w:val="0"/>
              <w:adjustRightInd/>
              <w:spacing w:line="360" w:lineRule="auto"/>
              <w:ind w:right="0" w:firstLine="480" w:firstLineChars="200"/>
              <w:textAlignment w:val="auto"/>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餐厨垃圾</w:t>
            </w:r>
            <w:r>
              <w:rPr>
                <w:bCs/>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食堂餐厨</w:t>
            </w:r>
            <w:r>
              <w:rPr>
                <w:bCs/>
                <w:color w:val="000000" w:themeColor="text1"/>
                <w:szCs w:val="21"/>
                <w:highlight w:val="none"/>
                <w14:textFill>
                  <w14:solidFill>
                    <w14:schemeClr w14:val="tx1"/>
                  </w14:solidFill>
                </w14:textFill>
              </w:rPr>
              <w:t>垃圾产生系数以0.5kg/人•</w:t>
            </w:r>
            <w:r>
              <w:rPr>
                <w:rFonts w:hint="eastAsia"/>
                <w:bCs/>
                <w:color w:val="000000" w:themeColor="text1"/>
                <w:szCs w:val="21"/>
                <w:highlight w:val="none"/>
                <w14:textFill>
                  <w14:solidFill>
                    <w14:schemeClr w14:val="tx1"/>
                  </w14:solidFill>
                </w14:textFill>
              </w:rPr>
              <w:t>餐</w:t>
            </w:r>
            <w:r>
              <w:rPr>
                <w:bCs/>
                <w:color w:val="000000" w:themeColor="text1"/>
                <w:szCs w:val="21"/>
                <w:highlight w:val="none"/>
                <w14:textFill>
                  <w14:solidFill>
                    <w14:schemeClr w14:val="tx1"/>
                  </w14:solidFill>
                </w14:textFill>
              </w:rPr>
              <w:t>计</w:t>
            </w:r>
            <w:r>
              <w:rPr>
                <w:rFonts w:hint="eastAsia"/>
                <w:bCs/>
                <w:color w:val="000000" w:themeColor="text1"/>
                <w:szCs w:val="21"/>
                <w:highlight w:val="none"/>
                <w14:textFill>
                  <w14:solidFill>
                    <w14:schemeClr w14:val="tx1"/>
                  </w14:solidFill>
                </w14:textFill>
              </w:rPr>
              <w:t>，每日提供</w:t>
            </w:r>
            <w:r>
              <w:rPr>
                <w:rFonts w:hint="eastAsia"/>
                <w:bCs/>
                <w:color w:val="000000" w:themeColor="text1"/>
                <w:szCs w:val="21"/>
                <w:highlight w:val="none"/>
                <w:lang w:eastAsia="zh-CN"/>
                <w14:textFill>
                  <w14:solidFill>
                    <w14:schemeClr w14:val="tx1"/>
                  </w14:solidFill>
                </w14:textFill>
              </w:rPr>
              <w:t>一</w:t>
            </w:r>
            <w:r>
              <w:rPr>
                <w:rFonts w:hint="eastAsia"/>
                <w:bCs/>
                <w:color w:val="000000" w:themeColor="text1"/>
                <w:szCs w:val="21"/>
                <w:highlight w:val="none"/>
                <w14:textFill>
                  <w14:solidFill>
                    <w14:schemeClr w14:val="tx1"/>
                  </w14:solidFill>
                </w14:textFill>
              </w:rPr>
              <w:t>餐，劳动</w:t>
            </w:r>
            <w:r>
              <w:rPr>
                <w:bCs/>
                <w:color w:val="000000" w:themeColor="text1"/>
                <w:szCs w:val="21"/>
                <w:highlight w:val="none"/>
                <w14:textFill>
                  <w14:solidFill>
                    <w14:schemeClr w14:val="tx1"/>
                  </w14:solidFill>
                </w14:textFill>
              </w:rPr>
              <w:t>员工</w:t>
            </w:r>
            <w:r>
              <w:rPr>
                <w:rFonts w:hint="eastAsia"/>
                <w:bCs/>
                <w:color w:val="000000" w:themeColor="text1"/>
                <w:szCs w:val="21"/>
                <w:highlight w:val="none"/>
                <w:lang w:val="en-US" w:eastAsia="zh-CN"/>
                <w14:textFill>
                  <w14:solidFill>
                    <w14:schemeClr w14:val="tx1"/>
                  </w14:solidFill>
                </w14:textFill>
              </w:rPr>
              <w:t>1</w:t>
            </w:r>
            <w:r>
              <w:rPr>
                <w:bCs/>
                <w:color w:val="000000" w:themeColor="text1"/>
                <w:szCs w:val="21"/>
                <w:highlight w:val="none"/>
                <w14:textFill>
                  <w14:solidFill>
                    <w14:schemeClr w14:val="tx1"/>
                  </w14:solidFill>
                </w14:textFill>
              </w:rPr>
              <w:t>20人，</w:t>
            </w:r>
            <w:r>
              <w:rPr>
                <w:rFonts w:hint="eastAsia"/>
                <w:bCs/>
                <w:color w:val="000000" w:themeColor="text1"/>
                <w:szCs w:val="21"/>
                <w:highlight w:val="none"/>
                <w14:textFill>
                  <w14:solidFill>
                    <w14:schemeClr w14:val="tx1"/>
                  </w14:solidFill>
                </w14:textFill>
              </w:rPr>
              <w:t>一年提供</w:t>
            </w:r>
            <w:r>
              <w:rPr>
                <w:rFonts w:hint="eastAsia"/>
                <w:bCs/>
                <w:color w:val="000000" w:themeColor="text1"/>
                <w:szCs w:val="21"/>
                <w:highlight w:val="none"/>
                <w:lang w:eastAsia="zh-CN"/>
                <w14:textFill>
                  <w14:solidFill>
                    <w14:schemeClr w14:val="tx1"/>
                  </w14:solidFill>
                </w14:textFill>
              </w:rPr>
              <w:t>约</w:t>
            </w:r>
            <w:r>
              <w:rPr>
                <w:rFonts w:hint="eastAsia"/>
                <w:bCs/>
                <w:color w:val="000000" w:themeColor="text1"/>
                <w:szCs w:val="21"/>
                <w:highlight w:val="none"/>
                <w14:textFill>
                  <w14:solidFill>
                    <w14:schemeClr w14:val="tx1"/>
                  </w14:solidFill>
                </w14:textFill>
              </w:rPr>
              <w:t>300天，</w:t>
            </w:r>
            <w:r>
              <w:rPr>
                <w:bCs/>
                <w:color w:val="000000" w:themeColor="text1"/>
                <w:szCs w:val="21"/>
                <w:highlight w:val="none"/>
                <w14:textFill>
                  <w14:solidFill>
                    <w14:schemeClr w14:val="tx1"/>
                  </w14:solidFill>
                </w14:textFill>
              </w:rPr>
              <w:t>产生量约</w:t>
            </w:r>
            <w:r>
              <w:rPr>
                <w:rFonts w:hint="eastAsia"/>
                <w:bCs/>
                <w:color w:val="000000" w:themeColor="text1"/>
                <w:szCs w:val="21"/>
                <w:highlight w:val="none"/>
                <w:lang w:val="en-US" w:eastAsia="zh-CN"/>
                <w14:textFill>
                  <w14:solidFill>
                    <w14:schemeClr w14:val="tx1"/>
                  </w14:solidFill>
                </w14:textFill>
              </w:rPr>
              <w:t>18</w:t>
            </w:r>
            <w:r>
              <w:rPr>
                <w:bCs/>
                <w:color w:val="000000" w:themeColor="text1"/>
                <w:szCs w:val="21"/>
                <w:highlight w:val="none"/>
                <w14:textFill>
                  <w14:solidFill>
                    <w14:schemeClr w14:val="tx1"/>
                  </w14:solidFill>
                </w14:textFill>
              </w:rPr>
              <w:t>t/a，</w:t>
            </w:r>
            <w:r>
              <w:rPr>
                <w:rFonts w:hint="eastAsia"/>
                <w:bCs/>
                <w:color w:val="000000" w:themeColor="text1"/>
                <w:szCs w:val="21"/>
                <w:highlight w:val="none"/>
                <w14:textFill>
                  <w14:solidFill>
                    <w14:schemeClr w14:val="tx1"/>
                  </w14:solidFill>
                </w14:textFill>
              </w:rPr>
              <w:t>外售餐厨垃圾公司处理</w:t>
            </w:r>
            <w:r>
              <w:rPr>
                <w:bCs/>
                <w:color w:val="000000" w:themeColor="text1"/>
                <w:szCs w:val="21"/>
                <w:highlight w:val="none"/>
                <w14:textFill>
                  <w14:solidFill>
                    <w14:schemeClr w14:val="tx1"/>
                  </w14:solidFill>
                </w14:textFill>
              </w:rPr>
              <w:t>。</w:t>
            </w:r>
          </w:p>
          <w:p w14:paraId="6CE291CF">
            <w:pPr>
              <w:ind w:firstLine="480"/>
              <w:rPr>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废水</w:t>
            </w:r>
            <w:r>
              <w:rPr>
                <w:rFonts w:hint="eastAsia"/>
                <w:bCs/>
                <w:color w:val="000000" w:themeColor="text1"/>
                <w:szCs w:val="21"/>
                <w:highlight w:val="none"/>
                <w14:textFill>
                  <w14:solidFill>
                    <w14:schemeClr w14:val="tx1"/>
                  </w14:solidFill>
                </w14:textFill>
              </w:rPr>
              <w:t>处理</w:t>
            </w:r>
            <w:r>
              <w:rPr>
                <w:bCs/>
                <w:color w:val="000000" w:themeColor="text1"/>
                <w:szCs w:val="21"/>
                <w:highlight w:val="none"/>
                <w14:textFill>
                  <w14:solidFill>
                    <w14:schemeClr w14:val="tx1"/>
                  </w14:solidFill>
                </w14:textFill>
              </w:rPr>
              <w:t>设施污泥</w:t>
            </w:r>
            <w:r>
              <w:rPr>
                <w:rFonts w:hint="eastAsia"/>
                <w:bCs/>
                <w:color w:val="000000" w:themeColor="text1"/>
                <w:szCs w:val="21"/>
                <w:highlight w:val="none"/>
                <w14:textFill>
                  <w14:solidFill>
                    <w14:schemeClr w14:val="tx1"/>
                  </w14:solidFill>
                </w14:textFill>
              </w:rPr>
              <w:t>：污水处理站栅渣和污泥定期清理，根据业主提供资料及相关文献资料计算，栅渣和污泥</w:t>
            </w:r>
            <w:r>
              <w:rPr>
                <w:bCs/>
                <w:color w:val="000000" w:themeColor="text1"/>
                <w:szCs w:val="21"/>
                <w:highlight w:val="none"/>
                <w14:textFill>
                  <w14:solidFill>
                    <w14:schemeClr w14:val="tx1"/>
                  </w14:solidFill>
                </w14:textFill>
              </w:rPr>
              <w:t>产生量约为</w:t>
            </w:r>
            <w:r>
              <w:rPr>
                <w:rFonts w:hint="eastAsia"/>
                <w:bCs/>
                <w:color w:val="000000" w:themeColor="text1"/>
                <w:szCs w:val="21"/>
                <w:highlight w:val="none"/>
                <w:lang w:val="en-US" w:eastAsia="zh-CN"/>
                <w14:textFill>
                  <w14:solidFill>
                    <w14:schemeClr w14:val="tx1"/>
                  </w14:solidFill>
                </w14:textFill>
              </w:rPr>
              <w:t>3</w:t>
            </w:r>
            <w:r>
              <w:rPr>
                <w:rFonts w:hint="eastAsia"/>
                <w:bCs/>
                <w:color w:val="000000" w:themeColor="text1"/>
                <w:szCs w:val="21"/>
                <w:highlight w:val="none"/>
                <w14:textFill>
                  <w14:solidFill>
                    <w14:schemeClr w14:val="tx1"/>
                  </w14:solidFill>
                </w14:textFill>
              </w:rPr>
              <w:t>0</w:t>
            </w:r>
            <w:r>
              <w:rPr>
                <w:bCs/>
                <w:color w:val="000000" w:themeColor="text1"/>
                <w:szCs w:val="21"/>
                <w:highlight w:val="none"/>
                <w14:textFill>
                  <w14:solidFill>
                    <w14:schemeClr w14:val="tx1"/>
                  </w14:solidFill>
                </w14:textFill>
              </w:rPr>
              <w:t>t/a</w:t>
            </w:r>
            <w:r>
              <w:rPr>
                <w:rFonts w:hint="eastAsia"/>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清理后污泥直接交环卫部门处置</w:t>
            </w:r>
            <w:r>
              <w:rPr>
                <w:rFonts w:hint="eastAsia"/>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厂区不暂存。</w:t>
            </w:r>
          </w:p>
          <w:p w14:paraId="2A18B0F5">
            <w:pPr>
              <w:ind w:firstLine="480"/>
              <w:rPr>
                <w:rFonts w:hint="eastAsia" w:ascii="Times New Roman" w:hAnsi="Times New Roman" w:eastAsia="宋体" w:cs="Times New Roman"/>
                <w:bCs/>
                <w:color w:val="000000" w:themeColor="text1"/>
                <w:szCs w:val="21"/>
                <w:highlight w:val="none"/>
                <w14:textFill>
                  <w14:solidFill>
                    <w14:schemeClr w14:val="tx1"/>
                  </w14:solidFill>
                </w14:textFill>
              </w:rPr>
            </w:pPr>
            <w:r>
              <w:rPr>
                <w:rFonts w:hint="eastAsia" w:cs="Times New Roman"/>
                <w:bCs/>
                <w:color w:val="000000" w:themeColor="text1"/>
                <w:szCs w:val="21"/>
                <w:highlight w:val="none"/>
                <w:lang w:val="en-US" w:eastAsia="zh-CN"/>
                <w14:textFill>
                  <w14:solidFill>
                    <w14:schemeClr w14:val="tx1"/>
                  </w14:solidFill>
                </w14:textFill>
              </w:rPr>
              <w:t>抽检</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样品：</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项目对产品抽检过程中会产生</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质检</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废料，抽检废料产生量约为0.</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t/a。集中收集后交由</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餐厨垃圾处理单位</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进行处置。</w:t>
            </w:r>
          </w:p>
          <w:p w14:paraId="41B93620">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ascii="Times New Roman" w:hAnsi="Times New Roman" w:eastAsia="宋体" w:cs="Times New Roman"/>
                <w:bCs/>
                <w:color w:val="000000" w:themeColor="text1"/>
                <w:sz w:val="24"/>
                <w:szCs w:val="24"/>
                <w:highlight w:val="none"/>
                <w14:textFill>
                  <w14:solidFill>
                    <w14:schemeClr w14:val="tx1"/>
                  </w14:solidFill>
                </w14:textFill>
              </w:rPr>
            </w:pPr>
            <w:r>
              <w:rPr>
                <w:rFonts w:hint="eastAsia" w:ascii="Times New Roman" w:hAnsi="Times New Roman" w:eastAsia="宋体" w:cs="Times New Roman"/>
                <w:bCs/>
                <w:color w:val="000000" w:themeColor="text1"/>
                <w:sz w:val="24"/>
                <w:szCs w:val="24"/>
                <w:highlight w:val="none"/>
                <w14:textFill>
                  <w14:solidFill>
                    <w14:schemeClr w14:val="tx1"/>
                  </w14:solidFill>
                </w14:textFill>
              </w:rPr>
              <w:t>废</w:t>
            </w:r>
            <w:r>
              <w:rPr>
                <w:rFonts w:ascii="Times New Roman" w:hAnsi="Times New Roman" w:eastAsia="宋体" w:cs="Times New Roman"/>
                <w:bCs/>
                <w:color w:val="000000" w:themeColor="text1"/>
                <w:sz w:val="24"/>
                <w:szCs w:val="24"/>
                <w:highlight w:val="none"/>
                <w14:textFill>
                  <w14:solidFill>
                    <w14:schemeClr w14:val="tx1"/>
                  </w14:solidFill>
                </w14:textFill>
              </w:rPr>
              <w:t>离子交换树脂：</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净化水制备、</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软水</w:t>
            </w:r>
            <w:r>
              <w:rPr>
                <w:rFonts w:ascii="Times New Roman" w:hAnsi="Times New Roman" w:eastAsia="宋体" w:cs="Times New Roman"/>
                <w:bCs/>
                <w:color w:val="000000" w:themeColor="text1"/>
                <w:sz w:val="24"/>
                <w:szCs w:val="24"/>
                <w:highlight w:val="none"/>
                <w14:textFill>
                  <w14:solidFill>
                    <w14:schemeClr w14:val="tx1"/>
                  </w14:solidFill>
                </w14:textFill>
              </w:rPr>
              <w:t>制备会产生</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废</w:t>
            </w:r>
            <w:r>
              <w:rPr>
                <w:rFonts w:ascii="Times New Roman" w:hAnsi="Times New Roman" w:eastAsia="宋体" w:cs="Times New Roman"/>
                <w:bCs/>
                <w:color w:val="000000" w:themeColor="text1"/>
                <w:sz w:val="24"/>
                <w:szCs w:val="24"/>
                <w:highlight w:val="none"/>
                <w14:textFill>
                  <w14:solidFill>
                    <w14:schemeClr w14:val="tx1"/>
                  </w14:solidFill>
                </w14:textFill>
              </w:rPr>
              <w:t>离子交换树脂，</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每年</w:t>
            </w:r>
            <w:r>
              <w:rPr>
                <w:rFonts w:ascii="Times New Roman" w:hAnsi="Times New Roman" w:eastAsia="宋体" w:cs="Times New Roman"/>
                <w:bCs/>
                <w:color w:val="000000" w:themeColor="text1"/>
                <w:sz w:val="24"/>
                <w:szCs w:val="24"/>
                <w:highlight w:val="none"/>
                <w14:textFill>
                  <w14:solidFill>
                    <w14:schemeClr w14:val="tx1"/>
                  </w14:solidFill>
                </w14:textFill>
              </w:rPr>
              <w:t>更换一次</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r>
              <w:rPr>
                <w:rFonts w:ascii="Times New Roman" w:hAnsi="Times New Roman" w:eastAsia="宋体" w:cs="Times New Roman"/>
                <w:bCs/>
                <w:color w:val="000000" w:themeColor="text1"/>
                <w:sz w:val="24"/>
                <w:szCs w:val="24"/>
                <w:highlight w:val="none"/>
                <w14:textFill>
                  <w14:solidFill>
                    <w14:schemeClr w14:val="tx1"/>
                  </w14:solidFill>
                </w14:textFill>
              </w:rPr>
              <w:t>产生量为</w:t>
            </w:r>
            <w:r>
              <w:rPr>
                <w:rFonts w:hint="eastAsia" w:ascii="Times New Roman" w:hAnsi="Times New Roman" w:eastAsia="宋体" w:cs="Times New Roman"/>
                <w:bCs/>
                <w:color w:val="000000" w:themeColor="text1"/>
                <w:sz w:val="24"/>
                <w:szCs w:val="24"/>
                <w:highlight w:val="none"/>
                <w14:textFill>
                  <w14:solidFill>
                    <w14:schemeClr w14:val="tx1"/>
                  </w14:solidFill>
                </w14:textFill>
              </w:rPr>
              <w:t>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w:t>
            </w:r>
            <w:r>
              <w:rPr>
                <w:rFonts w:ascii="Times New Roman" w:hAnsi="Times New Roman" w:eastAsia="宋体" w:cs="Times New Roman"/>
                <w:bCs/>
                <w:color w:val="000000" w:themeColor="text1"/>
                <w:sz w:val="24"/>
                <w:szCs w:val="24"/>
                <w:highlight w:val="none"/>
                <w14:textFill>
                  <w14:solidFill>
                    <w14:schemeClr w14:val="tx1"/>
                  </w14:solidFill>
                </w14:textFill>
              </w:rPr>
              <w:t>t/a，</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更换后交厂家回收。</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根据</w:t>
            </w:r>
            <w:r>
              <w:rPr>
                <w:rFonts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国家</w:t>
            </w:r>
            <w:r>
              <w:rPr>
                <w:rFonts w:ascii="Times New Roman" w:hAnsi="Times New Roman" w:eastAsia="宋体" w:cs="Times New Roman"/>
                <w:bCs/>
                <w:color w:val="000000" w:themeColor="text1"/>
                <w:sz w:val="24"/>
                <w:szCs w:val="24"/>
                <w:highlight w:val="none"/>
                <w14:textFill>
                  <w14:solidFill>
                    <w14:schemeClr w14:val="tx1"/>
                  </w14:solidFill>
                </w14:textFill>
              </w:rPr>
              <w:t>危险废物》</w:t>
            </w:r>
            <w:r>
              <w:rPr>
                <w:rFonts w:hint="eastAsia" w:ascii="Times New Roman" w:hAnsi="Times New Roman" w:eastAsia="宋体" w:cs="Times New Roman"/>
                <w:bCs/>
                <w:color w:val="000000" w:themeColor="text1"/>
                <w:sz w:val="24"/>
                <w:szCs w:val="24"/>
                <w:highlight w:val="none"/>
                <w14:textFill>
                  <w14:solidFill>
                    <w14:schemeClr w14:val="tx1"/>
                  </w14:solidFill>
                </w14:textFill>
              </w:rPr>
              <w:t>（2021版）中</w:t>
            </w:r>
            <w:r>
              <w:rPr>
                <w:rFonts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14:textFill>
                  <w14:solidFill>
                    <w14:schemeClr w14:val="tx1"/>
                  </w14:solidFill>
                </w14:textFill>
              </w:rPr>
              <w:t>HW13</w:t>
            </w:r>
            <w:r>
              <w:rPr>
                <w:rFonts w:ascii="Times New Roman" w:hAnsi="Times New Roman" w:eastAsia="宋体" w:cs="Times New Roman"/>
                <w:bCs/>
                <w:color w:val="000000" w:themeColor="text1"/>
                <w:sz w:val="24"/>
                <w:szCs w:val="24"/>
                <w:highlight w:val="none"/>
                <w14:textFill>
                  <w14:solidFill>
                    <w14:schemeClr w14:val="tx1"/>
                  </w14:solidFill>
                </w14:textFill>
              </w:rPr>
              <w:t>有机树脂类废物</w:t>
            </w:r>
            <w:r>
              <w:rPr>
                <w:rFonts w:hint="eastAsia" w:ascii="Times New Roman" w:hAnsi="Times New Roman" w:eastAsia="宋体" w:cs="Times New Roman"/>
                <w:bCs/>
                <w:color w:val="000000" w:themeColor="text1"/>
                <w:sz w:val="24"/>
                <w:szCs w:val="24"/>
                <w:highlight w:val="none"/>
                <w14:textFill>
                  <w14:solidFill>
                    <w14:schemeClr w14:val="tx1"/>
                  </w14:solidFill>
                </w14:textFill>
              </w:rPr>
              <w:t>、900-015-13</w:t>
            </w:r>
            <w:r>
              <w:rPr>
                <w:rFonts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定义</w:t>
            </w:r>
            <w:r>
              <w:rPr>
                <w:rFonts w:ascii="Times New Roman" w:hAnsi="Times New Roman" w:eastAsia="宋体" w:cs="Times New Roman"/>
                <w:bCs/>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属于</w:t>
            </w:r>
            <w:r>
              <w:rPr>
                <w:rFonts w:ascii="Times New Roman" w:hAnsi="Times New Roman" w:eastAsia="宋体" w:cs="Times New Roman"/>
                <w:bCs/>
                <w:color w:val="000000" w:themeColor="text1"/>
                <w:sz w:val="24"/>
                <w:szCs w:val="24"/>
                <w:highlight w:val="none"/>
                <w14:textFill>
                  <w14:solidFill>
                    <w14:schemeClr w14:val="tx1"/>
                  </w14:solidFill>
                </w14:textFill>
              </w:rPr>
              <w:t>自来水制备</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软水过程产</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生的</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废</w:t>
            </w:r>
            <w:r>
              <w:rPr>
                <w:rFonts w:ascii="Times New Roman" w:hAnsi="Times New Roman" w:eastAsia="宋体" w:cs="Times New Roman"/>
                <w:bCs/>
                <w:color w:val="000000" w:themeColor="text1"/>
                <w:sz w:val="24"/>
                <w:szCs w:val="24"/>
                <w:highlight w:val="none"/>
                <w14:textFill>
                  <w14:solidFill>
                    <w14:schemeClr w14:val="tx1"/>
                  </w14:solidFill>
                </w14:textFill>
              </w:rPr>
              <w:t>离子交换树脂，不属于定义中的工业废水处理</w:t>
            </w:r>
            <w:r>
              <w:rPr>
                <w:rFonts w:hint="eastAsia" w:ascii="Times New Roman" w:hAnsi="Times New Roman" w:eastAsia="宋体" w:cs="Times New Roman"/>
                <w:bCs/>
                <w:color w:val="000000" w:themeColor="text1"/>
                <w:sz w:val="24"/>
                <w:szCs w:val="24"/>
                <w:highlight w:val="none"/>
                <w14:textFill>
                  <w14:solidFill>
                    <w14:schemeClr w14:val="tx1"/>
                  </w14:solidFill>
                </w14:textFill>
              </w:rPr>
              <w:t>等</w:t>
            </w:r>
            <w:r>
              <w:rPr>
                <w:rFonts w:ascii="Times New Roman" w:hAnsi="Times New Roman" w:eastAsia="宋体" w:cs="Times New Roman"/>
                <w:bCs/>
                <w:color w:val="000000" w:themeColor="text1"/>
                <w:sz w:val="24"/>
                <w:szCs w:val="24"/>
                <w:highlight w:val="none"/>
                <w14:textFill>
                  <w14:solidFill>
                    <w14:schemeClr w14:val="tx1"/>
                  </w14:solidFill>
                </w14:textFill>
              </w:rPr>
              <w:t>过程产生的废树脂，故本项目产生</w:t>
            </w:r>
            <w:r>
              <w:rPr>
                <w:rFonts w:hint="eastAsia" w:ascii="Times New Roman" w:hAnsi="Times New Roman" w:eastAsia="宋体" w:cs="Times New Roman"/>
                <w:bCs/>
                <w:color w:val="000000" w:themeColor="text1"/>
                <w:sz w:val="24"/>
                <w:szCs w:val="24"/>
                <w:highlight w:val="none"/>
                <w14:textFill>
                  <w14:solidFill>
                    <w14:schemeClr w14:val="tx1"/>
                  </w14:solidFill>
                </w14:textFill>
              </w:rPr>
              <w:t>的</w:t>
            </w:r>
            <w:r>
              <w:rPr>
                <w:rFonts w:ascii="Times New Roman" w:hAnsi="Times New Roman" w:eastAsia="宋体" w:cs="Times New Roman"/>
                <w:bCs/>
                <w:color w:val="000000" w:themeColor="text1"/>
                <w:sz w:val="24"/>
                <w:szCs w:val="24"/>
                <w:highlight w:val="none"/>
                <w14:textFill>
                  <w14:solidFill>
                    <w14:schemeClr w14:val="tx1"/>
                  </w14:solidFill>
                </w14:textFill>
              </w:rPr>
              <w:t>废离子交换树脂按照一般工业固废进行</w:t>
            </w:r>
            <w:r>
              <w:rPr>
                <w:rFonts w:hint="eastAsia" w:ascii="Times New Roman" w:hAnsi="Times New Roman" w:eastAsia="宋体" w:cs="Times New Roman"/>
                <w:bCs/>
                <w:color w:val="000000" w:themeColor="text1"/>
                <w:sz w:val="24"/>
                <w:szCs w:val="24"/>
                <w:highlight w:val="none"/>
                <w14:textFill>
                  <w14:solidFill>
                    <w14:schemeClr w14:val="tx1"/>
                  </w14:solidFill>
                </w14:textFill>
              </w:rPr>
              <w:t>管理</w:t>
            </w:r>
            <w:r>
              <w:rPr>
                <w:rFonts w:ascii="Times New Roman" w:hAnsi="Times New Roman" w:eastAsia="宋体" w:cs="Times New Roman"/>
                <w:bCs/>
                <w:color w:val="000000" w:themeColor="text1"/>
                <w:sz w:val="24"/>
                <w:szCs w:val="24"/>
                <w:highlight w:val="none"/>
                <w14:textFill>
                  <w14:solidFill>
                    <w14:schemeClr w14:val="tx1"/>
                  </w14:solidFill>
                </w14:textFill>
              </w:rPr>
              <w:t>和处置。</w:t>
            </w:r>
          </w:p>
          <w:p w14:paraId="24C7BB34">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废过滤材料：</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每年</w:t>
            </w:r>
            <w:r>
              <w:rPr>
                <w:rFonts w:ascii="Times New Roman" w:hAnsi="Times New Roman" w:eastAsia="宋体" w:cs="Times New Roman"/>
                <w:bCs/>
                <w:color w:val="000000" w:themeColor="text1"/>
                <w:sz w:val="24"/>
                <w:szCs w:val="24"/>
                <w:highlight w:val="none"/>
                <w14:textFill>
                  <w14:solidFill>
                    <w14:schemeClr w14:val="tx1"/>
                  </w14:solidFill>
                </w14:textFill>
              </w:rPr>
              <w:t>更换一次</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r>
              <w:rPr>
                <w:rFonts w:ascii="Times New Roman" w:hAnsi="Times New Roman" w:eastAsia="宋体" w:cs="Times New Roman"/>
                <w:bCs/>
                <w:color w:val="000000" w:themeColor="text1"/>
                <w:sz w:val="24"/>
                <w:szCs w:val="24"/>
                <w:highlight w:val="none"/>
                <w14:textFill>
                  <w14:solidFill>
                    <w14:schemeClr w14:val="tx1"/>
                  </w14:solidFill>
                </w14:textFill>
              </w:rPr>
              <w:t>产生量为</w:t>
            </w:r>
            <w:r>
              <w:rPr>
                <w:rFonts w:hint="eastAsia" w:ascii="Times New Roman" w:hAnsi="Times New Roman" w:eastAsia="宋体" w:cs="Times New Roman"/>
                <w:bCs/>
                <w:color w:val="000000" w:themeColor="text1"/>
                <w:sz w:val="24"/>
                <w:szCs w:val="24"/>
                <w:highlight w:val="none"/>
                <w14:textFill>
                  <w14:solidFill>
                    <w14:schemeClr w14:val="tx1"/>
                  </w14:solidFill>
                </w14:textFill>
              </w:rPr>
              <w:t>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w:t>
            </w:r>
            <w:r>
              <w:rPr>
                <w:rFonts w:ascii="Times New Roman" w:hAnsi="Times New Roman" w:eastAsia="宋体" w:cs="Times New Roman"/>
                <w:bCs/>
                <w:color w:val="000000" w:themeColor="text1"/>
                <w:sz w:val="24"/>
                <w:szCs w:val="24"/>
                <w:highlight w:val="none"/>
                <w14:textFill>
                  <w14:solidFill>
                    <w14:schemeClr w14:val="tx1"/>
                  </w14:solidFill>
                </w14:textFill>
              </w:rPr>
              <w:t>t/a</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，更换后交厂家回收。</w:t>
            </w:r>
          </w:p>
          <w:p w14:paraId="3699A5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themeColor="text1"/>
                <w:sz w:val="24"/>
                <w:szCs w:val="32"/>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32"/>
                <w:highlight w:val="none"/>
                <w14:textFill>
                  <w14:solidFill>
                    <w14:schemeClr w14:val="tx1"/>
                  </w14:solidFill>
                </w14:textFill>
              </w:rPr>
              <w:t>废</w:t>
            </w:r>
            <w:r>
              <w:rPr>
                <w:rFonts w:hint="default" w:ascii="Times New Roman" w:hAnsi="Times New Roman" w:eastAsia="宋体" w:cs="Times New Roman"/>
                <w:b w:val="0"/>
                <w:bCs w:val="0"/>
                <w:color w:val="000000" w:themeColor="text1"/>
                <w:sz w:val="24"/>
                <w:szCs w:val="32"/>
                <w:highlight w:val="none"/>
                <w:lang w:eastAsia="zh-CN"/>
                <w14:textFill>
                  <w14:solidFill>
                    <w14:schemeClr w14:val="tx1"/>
                  </w14:solidFill>
                </w14:textFill>
              </w:rPr>
              <w:t>紫外灯管</w:t>
            </w:r>
            <w:r>
              <w:rPr>
                <w:rFonts w:hint="default" w:ascii="Times New Roman" w:hAnsi="Times New Roman" w:eastAsia="宋体" w:cs="Times New Roman"/>
                <w:b w:val="0"/>
                <w:bCs w:val="0"/>
                <w:color w:val="000000" w:themeColor="text1"/>
                <w:sz w:val="24"/>
                <w:szCs w:val="32"/>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32"/>
                <w:highlight w:val="none"/>
                <w:lang w:eastAsia="zh-CN"/>
                <w14:textFill>
                  <w14:solidFill>
                    <w14:schemeClr w14:val="tx1"/>
                  </w14:solidFill>
                </w14:textFill>
              </w:rPr>
              <w:t>项目灭菌过程使用紫外灯管，报废后更换，废紫外灯管</w:t>
            </w:r>
            <w:r>
              <w:rPr>
                <w:rFonts w:hint="default" w:ascii="Times New Roman" w:hAnsi="Times New Roman" w:eastAsia="宋体" w:cs="Times New Roman"/>
                <w:b w:val="0"/>
                <w:bCs w:val="0"/>
                <w:color w:val="000000" w:themeColor="text1"/>
                <w:sz w:val="24"/>
                <w:szCs w:val="32"/>
                <w:highlight w:val="none"/>
                <w14:textFill>
                  <w14:solidFill>
                    <w14:schemeClr w14:val="tx1"/>
                  </w14:solidFill>
                </w14:textFill>
              </w:rPr>
              <w:t>产生量约0.1t/a，</w:t>
            </w:r>
            <w:r>
              <w:rPr>
                <w:rFonts w:hint="eastAsia"/>
                <w:color w:val="000000" w:themeColor="text1"/>
                <w:sz w:val="24"/>
                <w:highlight w:val="none"/>
                <w14:textFill>
                  <w14:solidFill>
                    <w14:schemeClr w14:val="tx1"/>
                  </w14:solidFill>
                </w14:textFill>
              </w:rPr>
              <w:t>对照《国家危险废物名录》（2021年版），</w:t>
            </w:r>
            <w:r>
              <w:rPr>
                <w:rFonts w:hint="default" w:ascii="Times New Roman" w:hAnsi="Times New Roman" w:eastAsia="宋体" w:cs="Times New Roman"/>
                <w:color w:val="000000" w:themeColor="text1"/>
                <w:sz w:val="24"/>
                <w:szCs w:val="32"/>
                <w:highlight w:val="none"/>
                <w14:textFill>
                  <w14:solidFill>
                    <w14:schemeClr w14:val="tx1"/>
                  </w14:solidFill>
                </w14:textFill>
              </w:rPr>
              <w:t>废物类别为：HW</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highlight w:val="none"/>
                <w14:textFill>
                  <w14:solidFill>
                    <w14:schemeClr w14:val="tx1"/>
                  </w14:solidFill>
                </w14:textFill>
              </w:rPr>
              <w:t>9，</w:t>
            </w:r>
            <w:r>
              <w:rPr>
                <w:rFonts w:hint="eastAsia"/>
                <w:color w:val="000000" w:themeColor="text1"/>
                <w:sz w:val="24"/>
                <w:highlight w:val="none"/>
                <w14:textFill>
                  <w14:solidFill>
                    <w14:schemeClr w14:val="tx1"/>
                  </w14:solidFill>
                </w14:textFill>
              </w:rPr>
              <w:t>废物代码900-023-29</w:t>
            </w:r>
            <w:r>
              <w:rPr>
                <w:rFonts w:hint="default" w:ascii="Times New Roman" w:hAnsi="Times New Roman" w:eastAsia="宋体" w:cs="Times New Roman"/>
                <w:b w:val="0"/>
                <w:bCs w:val="0"/>
                <w:color w:val="000000" w:themeColor="text1"/>
                <w:sz w:val="24"/>
                <w:szCs w:val="32"/>
                <w:highlight w:val="none"/>
                <w14:textFill>
                  <w14:solidFill>
                    <w14:schemeClr w14:val="tx1"/>
                  </w14:solidFill>
                </w14:textFill>
              </w:rPr>
              <w:t>，经收集后交有资质单位进行处理。</w:t>
            </w:r>
          </w:p>
          <w:p w14:paraId="3F1FA9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废润滑油：设备润滑所用润滑油均循环使用，定期补充，需定期更换，年产生量约0.0</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t。对照《国家危险废物名录》（2021年版），</w:t>
            </w:r>
            <w:r>
              <w:rPr>
                <w:rFonts w:hint="default" w:ascii="Times New Roman" w:hAnsi="Times New Roman" w:eastAsia="宋体" w:cs="Times New Roman"/>
                <w:color w:val="000000" w:themeColor="text1"/>
                <w:sz w:val="24"/>
                <w:szCs w:val="32"/>
                <w:highlight w:val="none"/>
                <w14:textFill>
                  <w14:solidFill>
                    <w14:schemeClr w14:val="tx1"/>
                  </w14:solidFill>
                </w14:textFill>
              </w:rPr>
              <w:t>废物类别为：HW</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08</w:t>
            </w:r>
            <w:r>
              <w:rPr>
                <w:rFonts w:hint="default" w:ascii="Times New Roman" w:hAnsi="Times New Roman" w:eastAsia="宋体" w:cs="Times New Roman"/>
                <w:color w:val="000000" w:themeColor="text1"/>
                <w:sz w:val="24"/>
                <w:szCs w:val="32"/>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废物代码900-218-08，统一收集暂存后委托有资质的危险废物处置单位进行处置。</w:t>
            </w:r>
          </w:p>
          <w:p w14:paraId="4C3815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14:textFill>
                  <w14:solidFill>
                    <w14:schemeClr w14:val="tx1"/>
                  </w14:solidFill>
                </w14:textFill>
              </w:rPr>
              <w:t>废含油棉纱手套：项目设备检查、维护过程产生含油棉纱手套，产生量约为0.02t/a，根据《国家危险废物名录》（2021年版），属于危险废物，废物类别为：HW49，废物代码为：900-041-49，统一收集暂存后委托有资质的危险废物处置单位进行处置。</w:t>
            </w:r>
          </w:p>
          <w:p w14:paraId="37C59A18">
            <w:pPr>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w:t>
            </w:r>
            <w:r>
              <w:rPr>
                <w:rFonts w:hint="eastAsia"/>
                <w:color w:val="000000" w:themeColor="text1"/>
                <w:szCs w:val="21"/>
                <w:highlight w:val="none"/>
                <w14:textFill>
                  <w14:solidFill>
                    <w14:schemeClr w14:val="tx1"/>
                  </w14:solidFill>
                </w14:textFill>
              </w:rPr>
              <w:t>建成</w:t>
            </w:r>
            <w:r>
              <w:rPr>
                <w:color w:val="000000" w:themeColor="text1"/>
                <w:szCs w:val="21"/>
                <w:highlight w:val="none"/>
                <w14:textFill>
                  <w14:solidFill>
                    <w14:schemeClr w14:val="tx1"/>
                  </w14:solidFill>
                </w14:textFill>
              </w:rPr>
              <w:t>后固体废物类别、名称、产排情况及处理信息等见表4</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7</w:t>
            </w:r>
            <w:r>
              <w:rPr>
                <w:color w:val="000000" w:themeColor="text1"/>
                <w:szCs w:val="21"/>
                <w:highlight w:val="none"/>
                <w14:textFill>
                  <w14:solidFill>
                    <w14:schemeClr w14:val="tx1"/>
                  </w14:solidFill>
                </w14:textFill>
              </w:rPr>
              <w:t>。</w:t>
            </w:r>
          </w:p>
          <w:p w14:paraId="443915F4">
            <w:pPr>
              <w:pStyle w:val="44"/>
              <w:spacing w:before="0" w:beforeLines="0"/>
              <w:rPr>
                <w:b w:val="0"/>
                <w:bCs/>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表4</w:t>
            </w:r>
            <w:r>
              <w:rPr>
                <w:rFonts w:hint="eastAsia"/>
                <w:snapToGrid w:val="0"/>
                <w:color w:val="000000" w:themeColor="text1"/>
                <w:highlight w:val="none"/>
                <w:lang w:val="en-US" w:eastAsia="zh-CN"/>
                <w14:textFill>
                  <w14:solidFill>
                    <w14:schemeClr w14:val="tx1"/>
                  </w14:solidFill>
                </w14:textFill>
              </w:rPr>
              <w:t>.2</w:t>
            </w:r>
            <w:r>
              <w:rPr>
                <w:snapToGrid w:val="0"/>
                <w:color w:val="000000" w:themeColor="text1"/>
                <w:highlight w:val="none"/>
                <w14:textFill>
                  <w14:solidFill>
                    <w14:schemeClr w14:val="tx1"/>
                  </w14:solidFill>
                </w14:textFill>
              </w:rPr>
              <w:t>-</w:t>
            </w:r>
            <w:r>
              <w:rPr>
                <w:rFonts w:hint="eastAsia"/>
                <w:snapToGrid w:val="0"/>
                <w:color w:val="000000" w:themeColor="text1"/>
                <w:highlight w:val="none"/>
                <w14:textFill>
                  <w14:solidFill>
                    <w14:schemeClr w14:val="tx1"/>
                  </w14:solidFill>
                </w14:textFill>
              </w:rPr>
              <w:t>1</w:t>
            </w:r>
            <w:r>
              <w:rPr>
                <w:rFonts w:hint="eastAsia"/>
                <w:snapToGrid w:val="0"/>
                <w:color w:val="000000" w:themeColor="text1"/>
                <w:highlight w:val="none"/>
                <w:lang w:val="en-US" w:eastAsia="zh-CN"/>
                <w14:textFill>
                  <w14:solidFill>
                    <w14:schemeClr w14:val="tx1"/>
                  </w14:solidFill>
                </w14:textFill>
              </w:rPr>
              <w:t>7</w:t>
            </w:r>
            <w:r>
              <w:rPr>
                <w:snapToGrid w:val="0"/>
                <w:color w:val="000000" w:themeColor="text1"/>
                <w:highlight w:val="none"/>
                <w14:textFill>
                  <w14:solidFill>
                    <w14:schemeClr w14:val="tx1"/>
                  </w14:solidFill>
                </w14:textFill>
              </w:rPr>
              <w:t xml:space="preserve">  本项目固体废物产排信息一览表</w:t>
            </w:r>
          </w:p>
          <w:tbl>
            <w:tblPr>
              <w:tblStyle w:val="28"/>
              <w:tblW w:w="47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020"/>
              <w:gridCol w:w="850"/>
              <w:gridCol w:w="1577"/>
              <w:gridCol w:w="1417"/>
              <w:gridCol w:w="2324"/>
            </w:tblGrid>
            <w:tr w14:paraId="3267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554D3B8A">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固废名称</w:t>
                  </w:r>
                </w:p>
              </w:tc>
              <w:tc>
                <w:tcPr>
                  <w:tcW w:w="595" w:type="pct"/>
                  <w:vAlign w:val="center"/>
                </w:tcPr>
                <w:p w14:paraId="447339BC">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属性</w:t>
                  </w:r>
                </w:p>
              </w:tc>
              <w:tc>
                <w:tcPr>
                  <w:tcW w:w="496" w:type="pct"/>
                  <w:vAlign w:val="center"/>
                </w:tcPr>
                <w:p w14:paraId="05C91907">
                  <w:pPr>
                    <w:pStyle w:val="45"/>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920" w:type="pct"/>
                  <w:vAlign w:val="center"/>
                </w:tcPr>
                <w:p w14:paraId="1B30BBFA">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固废代码</w:t>
                  </w:r>
                </w:p>
              </w:tc>
              <w:tc>
                <w:tcPr>
                  <w:tcW w:w="827" w:type="pct"/>
                  <w:vAlign w:val="center"/>
                </w:tcPr>
                <w:p w14:paraId="45BBC48B">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年度产生量t</w:t>
                  </w:r>
                </w:p>
              </w:tc>
              <w:tc>
                <w:tcPr>
                  <w:tcW w:w="1356" w:type="pct"/>
                  <w:vAlign w:val="center"/>
                </w:tcPr>
                <w:p w14:paraId="7C7877B9">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处置去向</w:t>
                  </w:r>
                </w:p>
              </w:tc>
            </w:tr>
            <w:tr w14:paraId="05AC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25B132C3">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原料</w:t>
                  </w:r>
                  <w:r>
                    <w:rPr>
                      <w:rFonts w:hint="default" w:ascii="Times New Roman" w:hAnsi="Times New Roman" w:cs="Times New Roman"/>
                      <w:color w:val="000000" w:themeColor="text1"/>
                      <w:sz w:val="21"/>
                      <w:szCs w:val="21"/>
                      <w:highlight w:val="none"/>
                      <w14:textFill>
                        <w14:solidFill>
                          <w14:schemeClr w14:val="tx1"/>
                        </w14:solidFill>
                      </w14:textFill>
                    </w:rPr>
                    <w:t>边角料</w:t>
                  </w:r>
                </w:p>
              </w:tc>
              <w:tc>
                <w:tcPr>
                  <w:tcW w:w="595" w:type="pct"/>
                  <w:vMerge w:val="restart"/>
                  <w:vAlign w:val="center"/>
                </w:tcPr>
                <w:p w14:paraId="2899D849">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一般固废</w:t>
                  </w:r>
                </w:p>
              </w:tc>
              <w:tc>
                <w:tcPr>
                  <w:tcW w:w="496" w:type="pct"/>
                  <w:vAlign w:val="center"/>
                </w:tcPr>
                <w:p w14:paraId="2E8A52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w:t>
                  </w:r>
                  <w:r>
                    <w:rPr>
                      <w:rFonts w:hint="eastAsia"/>
                      <w:color w:val="000000" w:themeColor="text1"/>
                      <w:sz w:val="21"/>
                      <w:szCs w:val="21"/>
                      <w:highlight w:val="none"/>
                      <w:lang w:val="en-US" w:eastAsia="zh-CN"/>
                      <w14:textFill>
                        <w14:solidFill>
                          <w14:schemeClr w14:val="tx1"/>
                        </w14:solidFill>
                      </w14:textFill>
                    </w:rPr>
                    <w:t>13</w:t>
                  </w:r>
                </w:p>
              </w:tc>
              <w:tc>
                <w:tcPr>
                  <w:tcW w:w="920" w:type="pct"/>
                  <w:vAlign w:val="center"/>
                </w:tcPr>
                <w:p w14:paraId="283B1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135-002-S13</w:t>
                  </w:r>
                </w:p>
              </w:tc>
              <w:tc>
                <w:tcPr>
                  <w:tcW w:w="827" w:type="pct"/>
                  <w:vAlign w:val="center"/>
                </w:tcPr>
                <w:p w14:paraId="4ACB29AC">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0.5</w:t>
                  </w:r>
                </w:p>
              </w:tc>
              <w:tc>
                <w:tcPr>
                  <w:tcW w:w="1356" w:type="pct"/>
                  <w:vAlign w:val="center"/>
                </w:tcPr>
                <w:p w14:paraId="0D6B6363">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交餐厨垃圾回收单位</w:t>
                  </w:r>
                </w:p>
              </w:tc>
            </w:tr>
            <w:tr w14:paraId="4F8E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shd w:val="clear" w:color="auto" w:fill="auto"/>
                  <w:vAlign w:val="center"/>
                </w:tcPr>
                <w:p w14:paraId="68F2B206">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食材边角料</w:t>
                  </w:r>
                </w:p>
              </w:tc>
              <w:tc>
                <w:tcPr>
                  <w:tcW w:w="595" w:type="pct"/>
                  <w:vMerge w:val="continue"/>
                  <w:vAlign w:val="center"/>
                </w:tcPr>
                <w:p w14:paraId="08D3529C">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6" w:type="pct"/>
                  <w:shd w:val="clear" w:color="auto" w:fill="auto"/>
                  <w:vAlign w:val="center"/>
                </w:tcPr>
                <w:p w14:paraId="761B4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w:t>
                  </w:r>
                  <w:r>
                    <w:rPr>
                      <w:rFonts w:hint="eastAsia"/>
                      <w:color w:val="000000" w:themeColor="text1"/>
                      <w:sz w:val="21"/>
                      <w:szCs w:val="21"/>
                      <w:highlight w:val="none"/>
                      <w:lang w:val="en-US" w:eastAsia="zh-CN"/>
                      <w14:textFill>
                        <w14:solidFill>
                          <w14:schemeClr w14:val="tx1"/>
                        </w14:solidFill>
                      </w14:textFill>
                    </w:rPr>
                    <w:t>13</w:t>
                  </w:r>
                </w:p>
              </w:tc>
              <w:tc>
                <w:tcPr>
                  <w:tcW w:w="920" w:type="pct"/>
                  <w:shd w:val="clear" w:color="auto" w:fill="auto"/>
                  <w:vAlign w:val="center"/>
                </w:tcPr>
                <w:p w14:paraId="5EBB1F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135-002-S13</w:t>
                  </w:r>
                </w:p>
              </w:tc>
              <w:tc>
                <w:tcPr>
                  <w:tcW w:w="827" w:type="pct"/>
                  <w:shd w:val="clear" w:color="auto" w:fill="auto"/>
                  <w:vAlign w:val="center"/>
                </w:tcPr>
                <w:p w14:paraId="42DDD05E">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356" w:type="pct"/>
                  <w:shd w:val="clear" w:color="auto" w:fill="auto"/>
                  <w:vAlign w:val="center"/>
                </w:tcPr>
                <w:p w14:paraId="79078D48">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交餐厨垃圾回收单位</w:t>
                  </w:r>
                </w:p>
              </w:tc>
            </w:tr>
            <w:tr w14:paraId="5BAB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shd w:val="clear" w:color="auto" w:fill="auto"/>
                  <w:vAlign w:val="center"/>
                </w:tcPr>
                <w:p w14:paraId="2B92CDFB">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废包装材料</w:t>
                  </w:r>
                </w:p>
              </w:tc>
              <w:tc>
                <w:tcPr>
                  <w:tcW w:w="595" w:type="pct"/>
                  <w:vMerge w:val="continue"/>
                  <w:shd w:val="clear" w:color="auto" w:fill="auto"/>
                  <w:vAlign w:val="center"/>
                </w:tcPr>
                <w:p w14:paraId="110E2028">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96" w:type="pct"/>
                  <w:shd w:val="clear" w:color="auto" w:fill="auto"/>
                  <w:vAlign w:val="center"/>
                </w:tcPr>
                <w:p w14:paraId="3E2DAF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w:t>
                  </w:r>
                  <w:r>
                    <w:rPr>
                      <w:rFonts w:hint="eastAsia"/>
                      <w:color w:val="000000" w:themeColor="text1"/>
                      <w:sz w:val="21"/>
                      <w:szCs w:val="21"/>
                      <w:highlight w:val="none"/>
                      <w:lang w:val="en-US" w:eastAsia="zh-CN"/>
                      <w14:textFill>
                        <w14:solidFill>
                          <w14:schemeClr w14:val="tx1"/>
                        </w14:solidFill>
                      </w14:textFill>
                    </w:rPr>
                    <w:t>17</w:t>
                  </w:r>
                </w:p>
              </w:tc>
              <w:tc>
                <w:tcPr>
                  <w:tcW w:w="920" w:type="pct"/>
                  <w:shd w:val="clear" w:color="auto" w:fill="auto"/>
                  <w:vAlign w:val="center"/>
                </w:tcPr>
                <w:p w14:paraId="06CB4E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900-003-S17；900-005-S17</w:t>
                  </w:r>
                </w:p>
              </w:tc>
              <w:tc>
                <w:tcPr>
                  <w:tcW w:w="827" w:type="pct"/>
                  <w:shd w:val="clear" w:color="auto" w:fill="auto"/>
                  <w:vAlign w:val="center"/>
                </w:tcPr>
                <w:p w14:paraId="779AD9A6">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356" w:type="pct"/>
                  <w:shd w:val="clear" w:color="auto" w:fill="auto"/>
                  <w:vAlign w:val="center"/>
                </w:tcPr>
                <w:p w14:paraId="0C9559C1">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交环卫部门处置</w:t>
                  </w:r>
                </w:p>
              </w:tc>
            </w:tr>
            <w:tr w14:paraId="48AF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468F2FBA">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不合格产品</w:t>
                  </w:r>
                </w:p>
              </w:tc>
              <w:tc>
                <w:tcPr>
                  <w:tcW w:w="595" w:type="pct"/>
                  <w:vMerge w:val="continue"/>
                  <w:vAlign w:val="center"/>
                </w:tcPr>
                <w:p w14:paraId="7ABEC5C2">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6" w:type="pct"/>
                  <w:vAlign w:val="center"/>
                </w:tcPr>
                <w:p w14:paraId="02096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w:t>
                  </w:r>
                  <w:r>
                    <w:rPr>
                      <w:rFonts w:hint="eastAsia"/>
                      <w:color w:val="000000" w:themeColor="text1"/>
                      <w:sz w:val="21"/>
                      <w:szCs w:val="21"/>
                      <w:highlight w:val="none"/>
                      <w:lang w:val="en-US" w:eastAsia="zh-CN"/>
                      <w14:textFill>
                        <w14:solidFill>
                          <w14:schemeClr w14:val="tx1"/>
                        </w14:solidFill>
                      </w14:textFill>
                    </w:rPr>
                    <w:t>13</w:t>
                  </w:r>
                </w:p>
              </w:tc>
              <w:tc>
                <w:tcPr>
                  <w:tcW w:w="920" w:type="pct"/>
                  <w:vAlign w:val="center"/>
                </w:tcPr>
                <w:p w14:paraId="4C701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135-002-S13</w:t>
                  </w:r>
                </w:p>
              </w:tc>
              <w:tc>
                <w:tcPr>
                  <w:tcW w:w="827" w:type="pct"/>
                  <w:vAlign w:val="center"/>
                </w:tcPr>
                <w:p w14:paraId="3E36859B">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w:t>
                  </w:r>
                </w:p>
              </w:tc>
              <w:tc>
                <w:tcPr>
                  <w:tcW w:w="1356" w:type="pct"/>
                  <w:vAlign w:val="center"/>
                </w:tcPr>
                <w:p w14:paraId="651FEFCE">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交餐厨垃圾回收单位</w:t>
                  </w:r>
                </w:p>
              </w:tc>
            </w:tr>
            <w:tr w14:paraId="47AB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shd w:val="clear" w:color="auto" w:fill="auto"/>
                  <w:vAlign w:val="center"/>
                </w:tcPr>
                <w:p w14:paraId="094F8074">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595" w:type="pct"/>
                  <w:vMerge w:val="continue"/>
                  <w:shd w:val="clear" w:color="auto" w:fill="auto"/>
                  <w:vAlign w:val="center"/>
                </w:tcPr>
                <w:p w14:paraId="1F5E62F5">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96" w:type="pct"/>
                  <w:shd w:val="clear" w:color="auto" w:fill="auto"/>
                  <w:vAlign w:val="center"/>
                </w:tcPr>
                <w:p w14:paraId="1F4D59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w:t>
                  </w:r>
                  <w:r>
                    <w:rPr>
                      <w:rFonts w:hint="eastAsia"/>
                      <w:color w:val="000000" w:themeColor="text1"/>
                      <w:sz w:val="21"/>
                      <w:szCs w:val="21"/>
                      <w:highlight w:val="none"/>
                      <w:lang w:val="en-US" w:eastAsia="zh-CN"/>
                      <w14:textFill>
                        <w14:solidFill>
                          <w14:schemeClr w14:val="tx1"/>
                        </w14:solidFill>
                      </w14:textFill>
                    </w:rPr>
                    <w:t>64</w:t>
                  </w:r>
                </w:p>
              </w:tc>
              <w:tc>
                <w:tcPr>
                  <w:tcW w:w="920" w:type="pct"/>
                  <w:shd w:val="clear" w:color="auto" w:fill="auto"/>
                  <w:vAlign w:val="center"/>
                </w:tcPr>
                <w:p w14:paraId="4215D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900-001-S64</w:t>
                  </w:r>
                </w:p>
              </w:tc>
              <w:tc>
                <w:tcPr>
                  <w:tcW w:w="827" w:type="pct"/>
                  <w:shd w:val="clear" w:color="auto" w:fill="auto"/>
                  <w:vAlign w:val="center"/>
                </w:tcPr>
                <w:p w14:paraId="28057AE1">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18</w:t>
                  </w:r>
                </w:p>
              </w:tc>
              <w:tc>
                <w:tcPr>
                  <w:tcW w:w="1356" w:type="pct"/>
                  <w:shd w:val="clear" w:color="auto" w:fill="auto"/>
                  <w:vAlign w:val="center"/>
                </w:tcPr>
                <w:p w14:paraId="361A2318">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交环卫部门处置</w:t>
                  </w:r>
                </w:p>
              </w:tc>
            </w:tr>
            <w:tr w14:paraId="6819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shd w:val="clear" w:color="auto" w:fill="auto"/>
                  <w:vAlign w:val="center"/>
                </w:tcPr>
                <w:p w14:paraId="3D9D2434">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餐厨垃圾</w:t>
                  </w:r>
                </w:p>
              </w:tc>
              <w:tc>
                <w:tcPr>
                  <w:tcW w:w="595" w:type="pct"/>
                  <w:vMerge w:val="continue"/>
                  <w:shd w:val="clear" w:color="auto" w:fill="auto"/>
                  <w:vAlign w:val="center"/>
                </w:tcPr>
                <w:p w14:paraId="7EF8EADC">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96" w:type="pct"/>
                  <w:shd w:val="clear" w:color="auto" w:fill="auto"/>
                  <w:vAlign w:val="center"/>
                </w:tcPr>
                <w:p w14:paraId="37F23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w:t>
                  </w:r>
                  <w:r>
                    <w:rPr>
                      <w:rFonts w:hint="eastAsia"/>
                      <w:color w:val="000000" w:themeColor="text1"/>
                      <w:sz w:val="21"/>
                      <w:szCs w:val="21"/>
                      <w:highlight w:val="none"/>
                      <w:lang w:val="en-US" w:eastAsia="zh-CN"/>
                      <w14:textFill>
                        <w14:solidFill>
                          <w14:schemeClr w14:val="tx1"/>
                        </w14:solidFill>
                      </w14:textFill>
                    </w:rPr>
                    <w:t>61</w:t>
                  </w:r>
                </w:p>
              </w:tc>
              <w:tc>
                <w:tcPr>
                  <w:tcW w:w="920" w:type="pct"/>
                  <w:shd w:val="clear" w:color="auto" w:fill="auto"/>
                  <w:vAlign w:val="center"/>
                </w:tcPr>
                <w:p w14:paraId="3E6F9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900-002-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w:t>
                  </w:r>
                  <w:r>
                    <w:rPr>
                      <w:rFonts w:hint="eastAsia" w:cs="Times New Roman"/>
                      <w:color w:val="000000" w:themeColor="text1"/>
                      <w:sz w:val="21"/>
                      <w:szCs w:val="21"/>
                      <w:highlight w:val="none"/>
                      <w:lang w:val="en-US" w:eastAsia="zh-CN"/>
                      <w14:textFill>
                        <w14:solidFill>
                          <w14:schemeClr w14:val="tx1"/>
                        </w14:solidFill>
                      </w14:textFill>
                    </w:rPr>
                    <w:t>61</w:t>
                  </w:r>
                </w:p>
              </w:tc>
              <w:tc>
                <w:tcPr>
                  <w:tcW w:w="827" w:type="pct"/>
                  <w:shd w:val="clear" w:color="auto" w:fill="auto"/>
                  <w:vAlign w:val="center"/>
                </w:tcPr>
                <w:p w14:paraId="65223F57">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1356" w:type="pct"/>
                  <w:shd w:val="clear" w:color="auto" w:fill="auto"/>
                  <w:vAlign w:val="center"/>
                </w:tcPr>
                <w:p w14:paraId="04036EC7">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交餐厨垃圾回收单位</w:t>
                  </w:r>
                </w:p>
              </w:tc>
            </w:tr>
            <w:tr w14:paraId="77E6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shd w:val="clear" w:color="auto" w:fill="auto"/>
                  <w:vAlign w:val="center"/>
                </w:tcPr>
                <w:p w14:paraId="40FBB28E">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污泥</w:t>
                  </w:r>
                </w:p>
              </w:tc>
              <w:tc>
                <w:tcPr>
                  <w:tcW w:w="595" w:type="pct"/>
                  <w:vMerge w:val="continue"/>
                  <w:shd w:val="clear" w:color="auto" w:fill="auto"/>
                  <w:vAlign w:val="center"/>
                </w:tcPr>
                <w:p w14:paraId="35E64979">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96" w:type="pct"/>
                  <w:shd w:val="clear" w:color="auto" w:fill="auto"/>
                  <w:vAlign w:val="center"/>
                </w:tcPr>
                <w:p w14:paraId="444DD090">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w:t>
                  </w:r>
                  <w:r>
                    <w:rPr>
                      <w:rFonts w:hint="eastAsia"/>
                      <w:color w:val="000000" w:themeColor="text1"/>
                      <w:sz w:val="21"/>
                      <w:szCs w:val="21"/>
                      <w:highlight w:val="none"/>
                      <w:lang w:val="en-US" w:eastAsia="zh-CN"/>
                      <w14:textFill>
                        <w14:solidFill>
                          <w14:schemeClr w14:val="tx1"/>
                        </w14:solidFill>
                      </w14:textFill>
                    </w:rPr>
                    <w:t>07</w:t>
                  </w:r>
                </w:p>
              </w:tc>
              <w:tc>
                <w:tcPr>
                  <w:tcW w:w="920" w:type="pct"/>
                  <w:shd w:val="clear" w:color="auto" w:fill="auto"/>
                  <w:vAlign w:val="center"/>
                </w:tcPr>
                <w:p w14:paraId="59A11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135-001-S07</w:t>
                  </w:r>
                </w:p>
              </w:tc>
              <w:tc>
                <w:tcPr>
                  <w:tcW w:w="827" w:type="pct"/>
                  <w:shd w:val="clear" w:color="auto" w:fill="auto"/>
                  <w:vAlign w:val="center"/>
                </w:tcPr>
                <w:p w14:paraId="2CA24960">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1356" w:type="pct"/>
                  <w:shd w:val="clear" w:color="auto" w:fill="auto"/>
                  <w:vAlign w:val="center"/>
                </w:tcPr>
                <w:p w14:paraId="69F03708">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交环卫部门处置</w:t>
                  </w:r>
                </w:p>
              </w:tc>
            </w:tr>
            <w:tr w14:paraId="1A01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3E8EDB2B">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抽</w:t>
                  </w:r>
                  <w:r>
                    <w:rPr>
                      <w:rFonts w:hint="eastAsia" w:cs="Times New Roman"/>
                      <w:bCs/>
                      <w:color w:val="000000" w:themeColor="text1"/>
                      <w:sz w:val="21"/>
                      <w:szCs w:val="21"/>
                      <w:highlight w:val="none"/>
                      <w:lang w:val="en-US" w:eastAsia="zh-CN"/>
                      <w14:textFill>
                        <w14:solidFill>
                          <w14:schemeClr w14:val="tx1"/>
                        </w14:solidFill>
                      </w14:textFill>
                    </w:rPr>
                    <w:t>检</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样品</w:t>
                  </w:r>
                </w:p>
              </w:tc>
              <w:tc>
                <w:tcPr>
                  <w:tcW w:w="595" w:type="pct"/>
                  <w:vMerge w:val="continue"/>
                  <w:vAlign w:val="center"/>
                </w:tcPr>
                <w:p w14:paraId="05467B79">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496" w:type="pct"/>
                  <w:vAlign w:val="center"/>
                </w:tcPr>
                <w:p w14:paraId="5752ED8F">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w:t>
                  </w:r>
                  <w:r>
                    <w:rPr>
                      <w:rFonts w:hint="eastAsia"/>
                      <w:color w:val="000000" w:themeColor="text1"/>
                      <w:sz w:val="21"/>
                      <w:szCs w:val="21"/>
                      <w:highlight w:val="none"/>
                      <w:lang w:val="en-US" w:eastAsia="zh-CN"/>
                      <w14:textFill>
                        <w14:solidFill>
                          <w14:schemeClr w14:val="tx1"/>
                        </w14:solidFill>
                      </w14:textFill>
                    </w:rPr>
                    <w:t>13</w:t>
                  </w:r>
                </w:p>
              </w:tc>
              <w:tc>
                <w:tcPr>
                  <w:tcW w:w="920" w:type="pct"/>
                  <w:vAlign w:val="center"/>
                </w:tcPr>
                <w:p w14:paraId="4484E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135-002-S13</w:t>
                  </w:r>
                </w:p>
              </w:tc>
              <w:tc>
                <w:tcPr>
                  <w:tcW w:w="827" w:type="pct"/>
                  <w:vAlign w:val="center"/>
                </w:tcPr>
                <w:p w14:paraId="502722C4">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0.1</w:t>
                  </w:r>
                </w:p>
              </w:tc>
              <w:tc>
                <w:tcPr>
                  <w:tcW w:w="1356" w:type="pct"/>
                  <w:vAlign w:val="center"/>
                </w:tcPr>
                <w:p w14:paraId="58A84263">
                  <w:pPr>
                    <w:pStyle w:val="45"/>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交餐厨垃圾回收单位</w:t>
                  </w:r>
                </w:p>
              </w:tc>
            </w:tr>
            <w:tr w14:paraId="562D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7C81175A">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废离子交换树脂</w:t>
                  </w:r>
                </w:p>
              </w:tc>
              <w:tc>
                <w:tcPr>
                  <w:tcW w:w="595" w:type="pct"/>
                  <w:vMerge w:val="continue"/>
                  <w:vAlign w:val="center"/>
                </w:tcPr>
                <w:p w14:paraId="36944813">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96" w:type="pct"/>
                  <w:vAlign w:val="center"/>
                </w:tcPr>
                <w:p w14:paraId="71EF849B">
                  <w:pPr>
                    <w:pStyle w:val="78"/>
                    <w:widowControl w:val="0"/>
                    <w:autoSpaceDE/>
                    <w:autoSpaceDN/>
                    <w:spacing w:before="0" w:line="240" w:lineRule="auto"/>
                    <w:ind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SW59</w:t>
                  </w:r>
                </w:p>
              </w:tc>
              <w:tc>
                <w:tcPr>
                  <w:tcW w:w="920" w:type="pct"/>
                  <w:vAlign w:val="center"/>
                </w:tcPr>
                <w:p w14:paraId="1E415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900-009-S59 </w:t>
                  </w:r>
                </w:p>
              </w:tc>
              <w:tc>
                <w:tcPr>
                  <w:tcW w:w="827" w:type="pct"/>
                  <w:vAlign w:val="center"/>
                </w:tcPr>
                <w:p w14:paraId="4CB541EF">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w:t>
                  </w:r>
                </w:p>
              </w:tc>
              <w:tc>
                <w:tcPr>
                  <w:tcW w:w="1356" w:type="pct"/>
                  <w:vAlign w:val="center"/>
                </w:tcPr>
                <w:p w14:paraId="34E2542A">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厂家回收</w:t>
                  </w:r>
                </w:p>
              </w:tc>
            </w:tr>
            <w:tr w14:paraId="3EA2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0D45DEEC">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废过滤材料</w:t>
                  </w:r>
                </w:p>
              </w:tc>
              <w:tc>
                <w:tcPr>
                  <w:tcW w:w="595" w:type="pct"/>
                  <w:vMerge w:val="continue"/>
                  <w:vAlign w:val="center"/>
                </w:tcPr>
                <w:p w14:paraId="08B07934">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96" w:type="pct"/>
                  <w:vAlign w:val="center"/>
                </w:tcPr>
                <w:p w14:paraId="3A92BBD6">
                  <w:pPr>
                    <w:pStyle w:val="78"/>
                    <w:widowControl w:val="0"/>
                    <w:autoSpaceDE/>
                    <w:autoSpaceDN/>
                    <w:spacing w:before="0" w:line="240" w:lineRule="auto"/>
                    <w:ind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SW59</w:t>
                  </w:r>
                </w:p>
              </w:tc>
              <w:tc>
                <w:tcPr>
                  <w:tcW w:w="920" w:type="pct"/>
                  <w:vAlign w:val="center"/>
                </w:tcPr>
                <w:p w14:paraId="48C21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900-009-S59 </w:t>
                  </w:r>
                </w:p>
              </w:tc>
              <w:tc>
                <w:tcPr>
                  <w:tcW w:w="827" w:type="pct"/>
                  <w:vAlign w:val="center"/>
                </w:tcPr>
                <w:p w14:paraId="60EEF096">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w:t>
                  </w:r>
                </w:p>
              </w:tc>
              <w:tc>
                <w:tcPr>
                  <w:tcW w:w="1356" w:type="pct"/>
                  <w:vAlign w:val="center"/>
                </w:tcPr>
                <w:p w14:paraId="2DA8AE2A">
                  <w:pPr>
                    <w:pStyle w:val="45"/>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厂家回收</w:t>
                  </w:r>
                </w:p>
              </w:tc>
            </w:tr>
            <w:tr w14:paraId="1530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73DC10AE">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废紫外线灯管</w:t>
                  </w:r>
                </w:p>
              </w:tc>
              <w:tc>
                <w:tcPr>
                  <w:tcW w:w="595" w:type="pct"/>
                  <w:vMerge w:val="restart"/>
                  <w:vAlign w:val="center"/>
                </w:tcPr>
                <w:p w14:paraId="3A2CE867">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危险废物</w:t>
                  </w:r>
                </w:p>
              </w:tc>
              <w:tc>
                <w:tcPr>
                  <w:tcW w:w="496" w:type="pct"/>
                  <w:vAlign w:val="center"/>
                </w:tcPr>
                <w:p w14:paraId="4BE7CE67">
                  <w:pPr>
                    <w:pStyle w:val="78"/>
                    <w:widowControl w:val="0"/>
                    <w:autoSpaceDE/>
                    <w:autoSpaceDN/>
                    <w:spacing w:before="0" w:line="240" w:lineRule="auto"/>
                    <w:ind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HW29</w:t>
                  </w:r>
                </w:p>
              </w:tc>
              <w:tc>
                <w:tcPr>
                  <w:tcW w:w="920" w:type="pct"/>
                  <w:vAlign w:val="center"/>
                </w:tcPr>
                <w:p w14:paraId="05969167">
                  <w:pPr>
                    <w:pStyle w:val="78"/>
                    <w:widowControl w:val="0"/>
                    <w:autoSpaceDE/>
                    <w:autoSpaceDN/>
                    <w:spacing w:before="0" w:line="240" w:lineRule="auto"/>
                    <w:ind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900-023-29</w:t>
                  </w:r>
                </w:p>
              </w:tc>
              <w:tc>
                <w:tcPr>
                  <w:tcW w:w="827" w:type="pct"/>
                  <w:vAlign w:val="center"/>
                </w:tcPr>
                <w:p w14:paraId="1BD97D97">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0.1</w:t>
                  </w:r>
                </w:p>
              </w:tc>
              <w:tc>
                <w:tcPr>
                  <w:tcW w:w="1356" w:type="pct"/>
                  <w:vMerge w:val="restart"/>
                  <w:vAlign w:val="center"/>
                </w:tcPr>
                <w:p w14:paraId="14F7B15B">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收集暂存于危废贮存点，定期交由有资质单位处置</w:t>
                  </w:r>
                </w:p>
              </w:tc>
            </w:tr>
            <w:tr w14:paraId="4266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388A8CAA">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润滑</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油</w:t>
                  </w:r>
                </w:p>
              </w:tc>
              <w:tc>
                <w:tcPr>
                  <w:tcW w:w="595" w:type="pct"/>
                  <w:vMerge w:val="continue"/>
                  <w:vAlign w:val="center"/>
                </w:tcPr>
                <w:p w14:paraId="0FA354BB">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496" w:type="pct"/>
                  <w:vAlign w:val="center"/>
                </w:tcPr>
                <w:p w14:paraId="2641F817">
                  <w:pPr>
                    <w:pStyle w:val="78"/>
                    <w:widowControl w:val="0"/>
                    <w:autoSpaceDE/>
                    <w:autoSpaceDN/>
                    <w:spacing w:before="0" w:line="240" w:lineRule="auto"/>
                    <w:ind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HW08</w:t>
                  </w:r>
                </w:p>
              </w:tc>
              <w:tc>
                <w:tcPr>
                  <w:tcW w:w="920" w:type="pct"/>
                  <w:vAlign w:val="center"/>
                </w:tcPr>
                <w:p w14:paraId="6B66CDD7">
                  <w:pPr>
                    <w:pStyle w:val="78"/>
                    <w:widowControl w:val="0"/>
                    <w:autoSpaceDE/>
                    <w:autoSpaceDN/>
                    <w:spacing w:before="0" w:line="240" w:lineRule="auto"/>
                    <w:ind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900-21</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-08</w:t>
                  </w:r>
                </w:p>
              </w:tc>
              <w:tc>
                <w:tcPr>
                  <w:tcW w:w="827" w:type="pct"/>
                  <w:vAlign w:val="center"/>
                </w:tcPr>
                <w:p w14:paraId="559D2915">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0.02</w:t>
                  </w:r>
                </w:p>
              </w:tc>
              <w:tc>
                <w:tcPr>
                  <w:tcW w:w="1356" w:type="pct"/>
                  <w:vMerge w:val="continue"/>
                  <w:vAlign w:val="center"/>
                </w:tcPr>
                <w:p w14:paraId="31FBF8F5">
                  <w:pPr>
                    <w:pStyle w:val="78"/>
                    <w:widowControl w:val="0"/>
                    <w:autoSpaceDE/>
                    <w:autoSpaceDN/>
                    <w:spacing w:before="0" w:line="240" w:lineRule="auto"/>
                    <w:ind w:right="0" w:rightChars="0"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r>
            <w:tr w14:paraId="16D5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707602F8">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废含油棉纱手套</w:t>
                  </w:r>
                </w:p>
              </w:tc>
              <w:tc>
                <w:tcPr>
                  <w:tcW w:w="595" w:type="pct"/>
                  <w:vMerge w:val="continue"/>
                  <w:vAlign w:val="center"/>
                </w:tcPr>
                <w:p w14:paraId="5C10E9E8">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496" w:type="pct"/>
                  <w:vAlign w:val="center"/>
                </w:tcPr>
                <w:p w14:paraId="744AC4B4">
                  <w:pPr>
                    <w:pStyle w:val="78"/>
                    <w:widowControl w:val="0"/>
                    <w:autoSpaceDE/>
                    <w:autoSpaceDN/>
                    <w:spacing w:before="0" w:line="240" w:lineRule="auto"/>
                    <w:ind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HW</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49</w:t>
                  </w:r>
                </w:p>
              </w:tc>
              <w:tc>
                <w:tcPr>
                  <w:tcW w:w="920" w:type="pct"/>
                  <w:vAlign w:val="center"/>
                </w:tcPr>
                <w:p w14:paraId="781E2753">
                  <w:pPr>
                    <w:pStyle w:val="78"/>
                    <w:widowControl w:val="0"/>
                    <w:autoSpaceDE/>
                    <w:autoSpaceDN/>
                    <w:spacing w:before="0" w:line="240" w:lineRule="auto"/>
                    <w:ind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900-041-49</w:t>
                  </w:r>
                </w:p>
              </w:tc>
              <w:tc>
                <w:tcPr>
                  <w:tcW w:w="827" w:type="pct"/>
                  <w:vAlign w:val="center"/>
                </w:tcPr>
                <w:p w14:paraId="18D2555E">
                  <w:pPr>
                    <w:pStyle w:val="78"/>
                    <w:widowControl w:val="0"/>
                    <w:autoSpaceDE/>
                    <w:autoSpaceDN/>
                    <w:spacing w:before="0" w:line="240" w:lineRule="auto"/>
                    <w:ind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0.02</w:t>
                  </w:r>
                </w:p>
              </w:tc>
              <w:tc>
                <w:tcPr>
                  <w:tcW w:w="1356" w:type="pct"/>
                  <w:vMerge w:val="continue"/>
                  <w:vAlign w:val="center"/>
                </w:tcPr>
                <w:p w14:paraId="5DA290F5">
                  <w:pPr>
                    <w:pStyle w:val="78"/>
                    <w:widowControl w:val="0"/>
                    <w:autoSpaceDE/>
                    <w:autoSpaceDN/>
                    <w:spacing w:before="0" w:line="240" w:lineRule="auto"/>
                    <w:ind w:right="0" w:rightChars="0"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r>
          </w:tbl>
          <w:p w14:paraId="4E6DBF8E">
            <w:pPr>
              <w:ind w:firstLine="480"/>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从项目采用的固废利用及处置方式来分析，对产生的各类固废按其性质分类分区收集和暂存，并均能得到有效利用或妥善处置。在严格管理下，本项目的固体废物对周围环境不会产生二次污染。</w:t>
            </w:r>
          </w:p>
          <w:p w14:paraId="4CFA4E3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b/>
                <w:snapToGrid w:val="0"/>
                <w:color w:val="000000" w:themeColor="text1"/>
                <w:spacing w:val="0"/>
                <w:kern w:val="0"/>
                <w:sz w:val="24"/>
                <w:highlight w:val="none"/>
                <w:lang w:eastAsia="zh-CN"/>
                <w14:textFill>
                  <w14:solidFill>
                    <w14:schemeClr w14:val="tx1"/>
                  </w14:solidFill>
                </w14:textFill>
              </w:rPr>
              <w:t>（</w:t>
            </w:r>
            <w:r>
              <w:rPr>
                <w:rFonts w:hint="eastAsia" w:cs="Times New Roman"/>
                <w:b/>
                <w:snapToGrid w:val="0"/>
                <w:color w:val="000000" w:themeColor="text1"/>
                <w:spacing w:val="0"/>
                <w:kern w:val="0"/>
                <w:sz w:val="24"/>
                <w:highlight w:val="none"/>
                <w:lang w:val="en-US" w:eastAsia="zh-CN"/>
                <w14:textFill>
                  <w14:solidFill>
                    <w14:schemeClr w14:val="tx1"/>
                  </w14:solidFill>
                </w14:textFill>
              </w:rPr>
              <w:t>2</w:t>
            </w:r>
            <w:r>
              <w:rPr>
                <w:rFonts w:hint="default" w:ascii="Times New Roman" w:hAnsi="Times New Roman" w:eastAsia="宋体" w:cs="Times New Roman"/>
                <w:b/>
                <w:snapToGrid w:val="0"/>
                <w:color w:val="000000" w:themeColor="text1"/>
                <w:spacing w:val="0"/>
                <w:kern w:val="0"/>
                <w:sz w:val="24"/>
                <w:highlight w:val="none"/>
                <w14:textFill>
                  <w14:solidFill>
                    <w14:schemeClr w14:val="tx1"/>
                  </w14:solidFill>
                </w14:textFill>
              </w:rPr>
              <w:t>）环境管理要求</w:t>
            </w:r>
          </w:p>
          <w:p w14:paraId="114A0F5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A一般工业固废</w:t>
            </w:r>
          </w:p>
          <w:p w14:paraId="65B27E4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①一般固废暂存区需做防渗、防流失处理，张贴相应标识标牌。</w:t>
            </w:r>
          </w:p>
          <w:p w14:paraId="2C9A64C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②不得露天堆放，防止雨水进入产生二次污染。</w:t>
            </w:r>
          </w:p>
          <w:p w14:paraId="05F0AB5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③一般固体废物按照不同的类别和性质，分区堆放。通过规范设置固体废物暂存区，同时建立完善厂内固体废物防范措施和管理制度，可使固体废物在收集、存放过程中对环境的影响至最低限度。</w:t>
            </w:r>
          </w:p>
          <w:p w14:paraId="264CF53E">
            <w:pPr>
              <w:adjustRightInd w:val="0"/>
              <w:snapToGrid w:val="0"/>
              <w:spacing w:line="360" w:lineRule="auto"/>
              <w:ind w:firstLine="480" w:firstLineChars="200"/>
              <w:rPr>
                <w:rFonts w:ascii="Times New Roman" w:hAnsi="Times New Roman"/>
                <w:snapToGrid w:val="0"/>
                <w:color w:val="000000" w:themeColor="text1"/>
                <w:spacing w:val="0"/>
                <w:kern w:val="0"/>
                <w:sz w:val="24"/>
                <w:szCs w:val="24"/>
                <w:highlight w:val="none"/>
                <w14:textFill>
                  <w14:solidFill>
                    <w14:schemeClr w14:val="tx1"/>
                  </w14:solidFill>
                </w14:textFill>
              </w:rPr>
            </w:pPr>
            <w:r>
              <w:rPr>
                <w:rFonts w:hint="eastAsia" w:cs="Times New Roman"/>
                <w:color w:val="000000" w:themeColor="text1"/>
                <w:spacing w:val="0"/>
                <w:kern w:val="0"/>
                <w:sz w:val="24"/>
                <w:szCs w:val="24"/>
                <w:highlight w:val="none"/>
                <w:lang w:val="en-US" w:eastAsia="zh-CN"/>
                <w14:textFill>
                  <w14:solidFill>
                    <w14:schemeClr w14:val="tx1"/>
                  </w14:solidFill>
                </w14:textFill>
              </w:rPr>
              <w:t>B</w:t>
            </w:r>
            <w:r>
              <w:rPr>
                <w:rFonts w:ascii="Times New Roman" w:hAnsi="Times New Roman"/>
                <w:snapToGrid w:val="0"/>
                <w:color w:val="000000" w:themeColor="text1"/>
                <w:spacing w:val="0"/>
                <w:kern w:val="0"/>
                <w:sz w:val="24"/>
                <w:szCs w:val="24"/>
                <w:highlight w:val="none"/>
                <w14:textFill>
                  <w14:solidFill>
                    <w14:schemeClr w14:val="tx1"/>
                  </w14:solidFill>
                </w14:textFill>
              </w:rPr>
              <w:t>危险废物</w:t>
            </w:r>
          </w:p>
          <w:p w14:paraId="2D9D717F">
            <w:pPr>
              <w:pStyle w:val="7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pacing w:val="0"/>
                <w:kern w:val="0"/>
                <w:sz w:val="24"/>
                <w:szCs w:val="24"/>
                <w:highlight w:val="none"/>
                <w14:textFill>
                  <w14:solidFill>
                    <w14:schemeClr w14:val="tx1"/>
                  </w14:solidFill>
                </w14:textFill>
              </w:rPr>
            </w:pPr>
            <w:r>
              <w:rPr>
                <w:rFonts w:hint="eastAsia"/>
                <w:color w:val="000000" w:themeColor="text1"/>
                <w:spacing w:val="0"/>
                <w:kern w:val="0"/>
                <w:sz w:val="24"/>
                <w:szCs w:val="24"/>
                <w:highlight w:val="none"/>
                <w14:textFill>
                  <w14:solidFill>
                    <w14:schemeClr w14:val="tx1"/>
                  </w14:solidFill>
                </w14:textFill>
              </w:rPr>
              <w:t>根据《危险废物管理计划和管理技术台账制定技术导则》（HJ1259-20</w:t>
            </w:r>
            <w:r>
              <w:rPr>
                <w:rFonts w:hint="eastAsia"/>
                <w:color w:val="000000" w:themeColor="text1"/>
                <w:spacing w:val="0"/>
                <w:kern w:val="0"/>
                <w:sz w:val="24"/>
                <w:szCs w:val="24"/>
                <w:highlight w:val="none"/>
                <w:lang w:val="en-US" w:eastAsia="zh-CN"/>
                <w14:textFill>
                  <w14:solidFill>
                    <w14:schemeClr w14:val="tx1"/>
                  </w14:solidFill>
                </w14:textFill>
              </w:rPr>
              <w:t>2</w:t>
            </w:r>
            <w:r>
              <w:rPr>
                <w:rFonts w:hint="eastAsia"/>
                <w:color w:val="000000" w:themeColor="text1"/>
                <w:spacing w:val="0"/>
                <w:kern w:val="0"/>
                <w:sz w:val="24"/>
                <w:szCs w:val="24"/>
                <w:highlight w:val="none"/>
                <w14:textFill>
                  <w14:solidFill>
                    <w14:schemeClr w14:val="tx1"/>
                  </w14:solidFill>
                </w14:textFill>
              </w:rPr>
              <w:t>2），</w:t>
            </w:r>
            <w:r>
              <w:rPr>
                <w:rFonts w:hint="eastAsia"/>
                <w:color w:val="000000" w:themeColor="text1"/>
                <w:spacing w:val="0"/>
                <w:kern w:val="0"/>
                <w:sz w:val="24"/>
                <w:szCs w:val="24"/>
                <w:highlight w:val="none"/>
                <w:lang w:eastAsia="zh-CN"/>
                <w14:textFill>
                  <w14:solidFill>
                    <w14:schemeClr w14:val="tx1"/>
                  </w14:solidFill>
                </w14:textFill>
              </w:rPr>
              <w:t>本项目</w:t>
            </w:r>
            <w:r>
              <w:rPr>
                <w:rFonts w:hint="eastAsia"/>
                <w:color w:val="000000" w:themeColor="text1"/>
                <w:spacing w:val="0"/>
                <w:kern w:val="0"/>
                <w:sz w:val="24"/>
                <w:szCs w:val="24"/>
                <w:highlight w:val="none"/>
                <w14:textFill>
                  <w14:solidFill>
                    <w14:schemeClr w14:val="tx1"/>
                  </w14:solidFill>
                </w14:textFill>
              </w:rPr>
              <w:t>属于危险废物</w:t>
            </w:r>
            <w:r>
              <w:rPr>
                <w:rFonts w:hint="eastAsia"/>
                <w:color w:val="000000" w:themeColor="text1"/>
                <w:spacing w:val="0"/>
                <w:kern w:val="0"/>
                <w:sz w:val="24"/>
                <w:szCs w:val="24"/>
                <w:highlight w:val="none"/>
                <w:lang w:eastAsia="zh-CN"/>
                <w14:textFill>
                  <w14:solidFill>
                    <w14:schemeClr w14:val="tx1"/>
                  </w14:solidFill>
                </w14:textFill>
              </w:rPr>
              <w:t>登记</w:t>
            </w:r>
            <w:r>
              <w:rPr>
                <w:rFonts w:hint="eastAsia"/>
                <w:color w:val="000000" w:themeColor="text1"/>
                <w:spacing w:val="0"/>
                <w:kern w:val="0"/>
                <w:sz w:val="24"/>
                <w:szCs w:val="24"/>
                <w:highlight w:val="none"/>
                <w14:textFill>
                  <w14:solidFill>
                    <w14:schemeClr w14:val="tx1"/>
                  </w14:solidFill>
                </w14:textFill>
              </w:rPr>
              <w:t>管理单位。本项目</w:t>
            </w:r>
            <w:r>
              <w:rPr>
                <w:rFonts w:hint="eastAsia"/>
                <w:color w:val="000000" w:themeColor="text1"/>
                <w:spacing w:val="0"/>
                <w:kern w:val="0"/>
                <w:sz w:val="24"/>
                <w:szCs w:val="24"/>
                <w:highlight w:val="none"/>
                <w:lang w:eastAsia="zh-CN"/>
                <w14:textFill>
                  <w14:solidFill>
                    <w14:schemeClr w14:val="tx1"/>
                  </w14:solidFill>
                </w14:textFill>
              </w:rPr>
              <w:t>拟</w:t>
            </w:r>
            <w:r>
              <w:rPr>
                <w:rFonts w:hint="eastAsia"/>
                <w:color w:val="000000" w:themeColor="text1"/>
                <w:spacing w:val="0"/>
                <w:kern w:val="0"/>
                <w:sz w:val="24"/>
                <w:szCs w:val="24"/>
                <w:highlight w:val="none"/>
                <w14:textFill>
                  <w14:solidFill>
                    <w14:schemeClr w14:val="tx1"/>
                  </w14:solidFill>
                </w14:textFill>
              </w:rPr>
              <w:t>设置1处</w:t>
            </w:r>
            <w:r>
              <w:rPr>
                <w:rFonts w:hint="eastAsia"/>
                <w:color w:val="000000" w:themeColor="text1"/>
                <w:spacing w:val="0"/>
                <w:kern w:val="0"/>
                <w:sz w:val="24"/>
                <w:szCs w:val="24"/>
                <w:highlight w:val="none"/>
                <w:lang w:eastAsia="zh-CN"/>
                <w14:textFill>
                  <w14:solidFill>
                    <w14:schemeClr w14:val="tx1"/>
                  </w14:solidFill>
                </w14:textFill>
              </w:rPr>
              <w:t>危险废物贮存点，</w:t>
            </w:r>
            <w:r>
              <w:rPr>
                <w:color w:val="000000" w:themeColor="text1"/>
                <w:spacing w:val="0"/>
                <w:kern w:val="0"/>
                <w:sz w:val="24"/>
                <w:szCs w:val="24"/>
                <w:highlight w:val="none"/>
                <w14:textFill>
                  <w14:solidFill>
                    <w14:schemeClr w14:val="tx1"/>
                  </w14:solidFill>
                </w14:textFill>
              </w:rPr>
              <w:t>危险废物的收集、</w:t>
            </w:r>
            <w:r>
              <w:rPr>
                <w:rFonts w:hint="eastAsia"/>
                <w:color w:val="000000" w:themeColor="text1"/>
                <w:spacing w:val="0"/>
                <w:kern w:val="0"/>
                <w:sz w:val="24"/>
                <w:szCs w:val="24"/>
                <w:highlight w:val="none"/>
                <w14:textFill>
                  <w14:solidFill>
                    <w14:schemeClr w14:val="tx1"/>
                  </w14:solidFill>
                </w14:textFill>
              </w:rPr>
              <w:t>暂存、</w:t>
            </w:r>
            <w:r>
              <w:rPr>
                <w:color w:val="000000" w:themeColor="text1"/>
                <w:spacing w:val="0"/>
                <w:kern w:val="0"/>
                <w:sz w:val="24"/>
                <w:szCs w:val="24"/>
                <w:highlight w:val="none"/>
                <w14:textFill>
                  <w14:solidFill>
                    <w14:schemeClr w14:val="tx1"/>
                  </w14:solidFill>
                </w14:textFill>
              </w:rPr>
              <w:t>运输应</w:t>
            </w:r>
            <w:r>
              <w:rPr>
                <w:rFonts w:hint="eastAsia"/>
                <w:color w:val="000000" w:themeColor="text1"/>
                <w:spacing w:val="0"/>
                <w:kern w:val="0"/>
                <w:sz w:val="24"/>
                <w:szCs w:val="24"/>
                <w:highlight w:val="none"/>
                <w14:textFill>
                  <w14:solidFill>
                    <w14:schemeClr w14:val="tx1"/>
                  </w14:solidFill>
                </w14:textFill>
              </w:rPr>
              <w:t>执行《危险废物贮存污染控制标准》（GB18597-2023）</w:t>
            </w:r>
            <w:r>
              <w:rPr>
                <w:rFonts w:hint="eastAsia"/>
                <w:color w:val="000000" w:themeColor="text1"/>
                <w:spacing w:val="0"/>
                <w:kern w:val="0"/>
                <w:sz w:val="24"/>
                <w:szCs w:val="24"/>
                <w:highlight w:val="none"/>
                <w:lang w:eastAsia="zh-CN"/>
                <w14:textFill>
                  <w14:solidFill>
                    <w14:schemeClr w14:val="tx1"/>
                  </w14:solidFill>
                </w14:textFill>
              </w:rPr>
              <w:t>、</w:t>
            </w:r>
            <w:r>
              <w:rPr>
                <w:rFonts w:hint="eastAsia" w:hAnsi="宋体"/>
                <w:color w:val="000000" w:themeColor="text1"/>
                <w:spacing w:val="0"/>
                <w:kern w:val="0"/>
                <w:sz w:val="24"/>
                <w:szCs w:val="24"/>
                <w:highlight w:val="none"/>
                <w14:textFill>
                  <w14:solidFill>
                    <w14:schemeClr w14:val="tx1"/>
                  </w14:solidFill>
                </w14:textFill>
              </w:rPr>
              <w:t>《危险废物转移管理办法》</w:t>
            </w:r>
            <w:r>
              <w:rPr>
                <w:rFonts w:hint="eastAsia" w:hAnsi="宋体"/>
                <w:color w:val="000000" w:themeColor="text1"/>
                <w:spacing w:val="0"/>
                <w:kern w:val="0"/>
                <w:sz w:val="24"/>
                <w:szCs w:val="24"/>
                <w:highlight w:val="none"/>
                <w:lang w:eastAsia="zh-CN"/>
                <w14:textFill>
                  <w14:solidFill>
                    <w14:schemeClr w14:val="tx1"/>
                  </w14:solidFill>
                </w14:textFill>
              </w:rPr>
              <w:t>（生态环境部、公安部、交通运输部令第23号）</w:t>
            </w:r>
            <w:r>
              <w:rPr>
                <w:color w:val="000000" w:themeColor="text1"/>
                <w:spacing w:val="0"/>
                <w:kern w:val="0"/>
                <w:sz w:val="24"/>
                <w:szCs w:val="24"/>
                <w:highlight w:val="none"/>
                <w14:textFill>
                  <w14:solidFill>
                    <w14:schemeClr w14:val="tx1"/>
                  </w14:solidFill>
                </w14:textFill>
              </w:rPr>
              <w:t>：</w:t>
            </w:r>
          </w:p>
          <w:p w14:paraId="25F00EB9">
            <w:pPr>
              <w:pStyle w:val="73"/>
              <w:spacing w:line="360" w:lineRule="auto"/>
              <w:ind w:firstLine="480"/>
              <w:rPr>
                <w:rFonts w:hint="eastAsia"/>
                <w:color w:val="000000" w:themeColor="text1"/>
                <w:spacing w:val="0"/>
                <w:kern w:val="0"/>
                <w:sz w:val="24"/>
                <w:szCs w:val="24"/>
                <w:highlight w:val="none"/>
                <w:lang w:eastAsia="zh-CN"/>
                <w14:textFill>
                  <w14:solidFill>
                    <w14:schemeClr w14:val="tx1"/>
                  </w14:solidFill>
                </w14:textFill>
              </w:rPr>
            </w:pPr>
            <w:r>
              <w:rPr>
                <w:rFonts w:hint="default"/>
                <w:color w:val="000000" w:themeColor="text1"/>
                <w:spacing w:val="0"/>
                <w:kern w:val="0"/>
                <w:sz w:val="24"/>
                <w:szCs w:val="24"/>
                <w:highlight w:val="none"/>
                <w14:textFill>
                  <w14:solidFill>
                    <w14:schemeClr w14:val="tx1"/>
                  </w14:solidFill>
                </w14:textFill>
              </w:rPr>
              <w:t>①贮存点应具有固定的区域边界，并应采取与其他区域进行隔离的措施</w:t>
            </w:r>
            <w:r>
              <w:rPr>
                <w:rFonts w:hint="eastAsia"/>
                <w:color w:val="000000" w:themeColor="text1"/>
                <w:spacing w:val="0"/>
                <w:kern w:val="0"/>
                <w:sz w:val="24"/>
                <w:szCs w:val="24"/>
                <w:highlight w:val="none"/>
                <w:lang w:eastAsia="zh-CN"/>
                <w14:textFill>
                  <w14:solidFill>
                    <w14:schemeClr w14:val="tx1"/>
                  </w14:solidFill>
                </w14:textFill>
              </w:rPr>
              <w:t>。</w:t>
            </w:r>
          </w:p>
          <w:p w14:paraId="58C29578">
            <w:pPr>
              <w:pStyle w:val="73"/>
              <w:spacing w:line="360" w:lineRule="auto"/>
              <w:ind w:firstLine="480"/>
              <w:rPr>
                <w:rFonts w:hint="default"/>
                <w:color w:val="000000" w:themeColor="text1"/>
                <w:spacing w:val="0"/>
                <w:kern w:val="0"/>
                <w:sz w:val="24"/>
                <w:szCs w:val="24"/>
                <w:highlight w:val="none"/>
                <w14:textFill>
                  <w14:solidFill>
                    <w14:schemeClr w14:val="tx1"/>
                  </w14:solidFill>
                </w14:textFill>
              </w:rPr>
            </w:pPr>
            <w:r>
              <w:rPr>
                <w:rFonts w:hint="default"/>
                <w:color w:val="000000" w:themeColor="text1"/>
                <w:spacing w:val="0"/>
                <w:kern w:val="0"/>
                <w:sz w:val="24"/>
                <w:szCs w:val="24"/>
                <w:highlight w:val="none"/>
                <w14:textFill>
                  <w14:solidFill>
                    <w14:schemeClr w14:val="tx1"/>
                  </w14:solidFill>
                </w14:textFill>
              </w:rPr>
              <w:t>②贮存点应采取防风、防雨、防晒和防止危险废物流失、扬散等措施。</w:t>
            </w:r>
          </w:p>
          <w:p w14:paraId="75FC8397">
            <w:pPr>
              <w:pStyle w:val="73"/>
              <w:spacing w:line="360" w:lineRule="auto"/>
              <w:ind w:firstLine="480"/>
              <w:rPr>
                <w:rFonts w:hint="default"/>
                <w:color w:val="000000" w:themeColor="text1"/>
                <w:spacing w:val="0"/>
                <w:kern w:val="0"/>
                <w:sz w:val="24"/>
                <w:szCs w:val="24"/>
                <w:highlight w:val="none"/>
                <w14:textFill>
                  <w14:solidFill>
                    <w14:schemeClr w14:val="tx1"/>
                  </w14:solidFill>
                </w14:textFill>
              </w:rPr>
            </w:pPr>
            <w:r>
              <w:rPr>
                <w:rFonts w:hint="default"/>
                <w:color w:val="000000" w:themeColor="text1"/>
                <w:spacing w:val="0"/>
                <w:kern w:val="0"/>
                <w:sz w:val="24"/>
                <w:szCs w:val="24"/>
                <w:highlight w:val="none"/>
                <w14:textFill>
                  <w14:solidFill>
                    <w14:schemeClr w14:val="tx1"/>
                  </w14:solidFill>
                </w14:textFill>
              </w:rPr>
              <w:t>③贮存点贮存的危险废物应置于容器或包装物中，不应直接散堆。</w:t>
            </w:r>
          </w:p>
          <w:p w14:paraId="0569D97F">
            <w:pPr>
              <w:pStyle w:val="73"/>
              <w:spacing w:line="360" w:lineRule="auto"/>
              <w:ind w:firstLine="480"/>
              <w:rPr>
                <w:rFonts w:hint="default"/>
                <w:color w:val="000000" w:themeColor="text1"/>
                <w:spacing w:val="0"/>
                <w:kern w:val="0"/>
                <w:sz w:val="24"/>
                <w:szCs w:val="24"/>
                <w:highlight w:val="none"/>
                <w14:textFill>
                  <w14:solidFill>
                    <w14:schemeClr w14:val="tx1"/>
                  </w14:solidFill>
                </w14:textFill>
              </w:rPr>
            </w:pPr>
            <w:r>
              <w:rPr>
                <w:rFonts w:hint="default"/>
                <w:color w:val="000000" w:themeColor="text1"/>
                <w:spacing w:val="0"/>
                <w:kern w:val="0"/>
                <w:sz w:val="24"/>
                <w:szCs w:val="24"/>
                <w:highlight w:val="none"/>
                <w14:textFill>
                  <w14:solidFill>
                    <w14:schemeClr w14:val="tx1"/>
                  </w14:solidFill>
                </w14:textFill>
              </w:rPr>
              <w:t>④贮存点应根据危险废物的形态、物理化学性质、包装形式等，采取防渗、 防漏等污染防治措施或采用具有相应功能的装置。</w:t>
            </w:r>
          </w:p>
          <w:p w14:paraId="70D9E7A4">
            <w:pPr>
              <w:pStyle w:val="73"/>
              <w:spacing w:line="360" w:lineRule="auto"/>
              <w:ind w:firstLine="480"/>
              <w:rPr>
                <w:rFonts w:hint="default"/>
                <w:color w:val="000000" w:themeColor="text1"/>
                <w:spacing w:val="0"/>
                <w:kern w:val="0"/>
                <w:sz w:val="24"/>
                <w:szCs w:val="24"/>
                <w:highlight w:val="none"/>
                <w14:textFill>
                  <w14:solidFill>
                    <w14:schemeClr w14:val="tx1"/>
                  </w14:solidFill>
                </w14:textFill>
              </w:rPr>
            </w:pPr>
            <w:r>
              <w:rPr>
                <w:rFonts w:hint="default"/>
                <w:color w:val="000000" w:themeColor="text1"/>
                <w:spacing w:val="0"/>
                <w:kern w:val="0"/>
                <w:sz w:val="24"/>
                <w:szCs w:val="24"/>
                <w:highlight w:val="none"/>
                <w14:textFill>
                  <w14:solidFill>
                    <w14:schemeClr w14:val="tx1"/>
                  </w14:solidFill>
                </w14:textFill>
              </w:rPr>
              <w:t>⑤</w:t>
            </w:r>
            <w:r>
              <w:rPr>
                <w:color w:val="000000" w:themeColor="text1"/>
                <w:spacing w:val="0"/>
                <w:kern w:val="0"/>
                <w:sz w:val="24"/>
                <w:szCs w:val="24"/>
                <w:highlight w:val="none"/>
                <w14:textFill>
                  <w14:solidFill>
                    <w14:schemeClr w14:val="tx1"/>
                  </w14:solidFill>
                </w14:textFill>
              </w:rPr>
              <w:t>贮存点应及时清运贮存的危险废物，实时贮存量不应超过3吨</w:t>
            </w:r>
            <w:r>
              <w:rPr>
                <w:rFonts w:hint="eastAsia"/>
                <w:color w:val="000000" w:themeColor="text1"/>
                <w:spacing w:val="0"/>
                <w:kern w:val="0"/>
                <w:sz w:val="24"/>
                <w:szCs w:val="24"/>
                <w:highlight w:val="none"/>
                <w14:textFill>
                  <w14:solidFill>
                    <w14:schemeClr w14:val="tx1"/>
                  </w14:solidFill>
                </w14:textFill>
              </w:rPr>
              <w:t>。</w:t>
            </w:r>
          </w:p>
          <w:p w14:paraId="4E6EDFA6">
            <w:pPr>
              <w:pStyle w:val="73"/>
              <w:spacing w:line="360" w:lineRule="auto"/>
              <w:ind w:firstLine="480"/>
              <w:rPr>
                <w:rFonts w:hint="eastAsia"/>
                <w:color w:val="000000" w:themeColor="text1"/>
                <w:spacing w:val="0"/>
                <w:kern w:val="0"/>
                <w:sz w:val="24"/>
                <w:szCs w:val="24"/>
                <w:highlight w:val="none"/>
                <w:lang w:eastAsia="zh-CN"/>
                <w14:textFill>
                  <w14:solidFill>
                    <w14:schemeClr w14:val="tx1"/>
                  </w14:solidFill>
                </w14:textFill>
              </w:rPr>
            </w:pPr>
            <w:r>
              <w:rPr>
                <w:rFonts w:hint="default"/>
                <w:color w:val="000000" w:themeColor="text1"/>
                <w:spacing w:val="0"/>
                <w:kern w:val="0"/>
                <w:sz w:val="24"/>
                <w:szCs w:val="24"/>
                <w:highlight w:val="none"/>
                <w:lang w:val="en-US" w:eastAsia="zh-CN"/>
                <w14:textFill>
                  <w14:solidFill>
                    <w14:schemeClr w14:val="tx1"/>
                  </w14:solidFill>
                </w14:textFill>
              </w:rPr>
              <w:t>⑥</w:t>
            </w:r>
            <w:r>
              <w:rPr>
                <w:rFonts w:hint="default"/>
                <w:color w:val="000000" w:themeColor="text1"/>
                <w:spacing w:val="0"/>
                <w:kern w:val="0"/>
                <w:sz w:val="24"/>
                <w:szCs w:val="24"/>
                <w:highlight w:val="none"/>
                <w14:textFill>
                  <w14:solidFill>
                    <w14:schemeClr w14:val="tx1"/>
                  </w14:solidFill>
                </w14:textFill>
              </w:rPr>
              <w:t>贮存设施或贮存分区内地面、墙面裙脚、堵截泄漏的围堰、接触危险废物的隔板和墙体等应采用坚固的材料建造，表面无裂缝</w:t>
            </w:r>
            <w:r>
              <w:rPr>
                <w:rFonts w:hint="eastAsia"/>
                <w:color w:val="000000" w:themeColor="text1"/>
                <w:spacing w:val="0"/>
                <w:kern w:val="0"/>
                <w:sz w:val="24"/>
                <w:szCs w:val="24"/>
                <w:highlight w:val="none"/>
                <w:lang w:eastAsia="zh-CN"/>
                <w14:textFill>
                  <w14:solidFill>
                    <w14:schemeClr w14:val="tx1"/>
                  </w14:solidFill>
                </w14:textFill>
              </w:rPr>
              <w:t>。</w:t>
            </w:r>
          </w:p>
          <w:p w14:paraId="7ABE24CC">
            <w:pPr>
              <w:pStyle w:val="73"/>
              <w:spacing w:line="360" w:lineRule="auto"/>
              <w:ind w:firstLine="480"/>
              <w:rPr>
                <w:rFonts w:hint="default"/>
                <w:color w:val="000000" w:themeColor="text1"/>
                <w:spacing w:val="0"/>
                <w:kern w:val="0"/>
                <w:sz w:val="24"/>
                <w:szCs w:val="24"/>
                <w:highlight w:val="none"/>
                <w14:textFill>
                  <w14:solidFill>
                    <w14:schemeClr w14:val="tx1"/>
                  </w14:solidFill>
                </w14:textFill>
              </w:rPr>
            </w:pPr>
            <w:r>
              <w:rPr>
                <w:rFonts w:hint="default"/>
                <w:color w:val="000000" w:themeColor="text1"/>
                <w:spacing w:val="0"/>
                <w:kern w:val="0"/>
                <w:sz w:val="24"/>
                <w:szCs w:val="24"/>
                <w:highlight w:val="none"/>
                <w14:textFill>
                  <w14:solidFill>
                    <w14:schemeClr w14:val="tx1"/>
                  </w14:solidFill>
                </w14:textFill>
              </w:rPr>
              <w:t>⑦危险废物禁止混入非危险废物中，禁止与乘客在同一运输工具上载运；</w:t>
            </w:r>
          </w:p>
          <w:p w14:paraId="47B36A07">
            <w:pPr>
              <w:pStyle w:val="73"/>
              <w:spacing w:line="360" w:lineRule="auto"/>
              <w:ind w:firstLine="480"/>
              <w:rPr>
                <w:rFonts w:hint="eastAsia"/>
                <w:color w:val="000000" w:themeColor="text1"/>
                <w:spacing w:val="0"/>
                <w:kern w:val="0"/>
                <w:sz w:val="24"/>
                <w:szCs w:val="24"/>
                <w:highlight w:val="none"/>
                <w:lang w:eastAsia="zh-CN"/>
                <w14:textFill>
                  <w14:solidFill>
                    <w14:schemeClr w14:val="tx1"/>
                  </w14:solidFill>
                </w14:textFill>
              </w:rPr>
            </w:pPr>
            <w:r>
              <w:rPr>
                <w:color w:val="000000" w:themeColor="text1"/>
                <w:spacing w:val="0"/>
                <w:kern w:val="0"/>
                <w:sz w:val="24"/>
                <w:szCs w:val="24"/>
                <w:highlight w:val="none"/>
                <w14:textFill>
                  <w14:solidFill>
                    <w14:schemeClr w14:val="tx1"/>
                  </w14:solidFill>
                </w14:textFill>
              </w:rPr>
              <w:t>⑧</w:t>
            </w:r>
            <w:r>
              <w:rPr>
                <w:rFonts w:hint="default"/>
                <w:color w:val="000000" w:themeColor="text1"/>
                <w:spacing w:val="0"/>
                <w:kern w:val="0"/>
                <w:sz w:val="24"/>
                <w:szCs w:val="24"/>
                <w:highlight w:val="none"/>
                <w14:textFill>
                  <w14:solidFill>
                    <w14:schemeClr w14:val="tx1"/>
                  </w14:solidFill>
                </w14:textFill>
              </w:rPr>
              <w:t>固体废物不得在运输过程中沿途丢弃、遗撒。如将固体废物用防静电的薄膜包装于箱内，再采用专用运输车辆进行运输</w:t>
            </w:r>
            <w:r>
              <w:rPr>
                <w:rFonts w:hint="eastAsia"/>
                <w:color w:val="000000" w:themeColor="text1"/>
                <w:spacing w:val="0"/>
                <w:kern w:val="0"/>
                <w:sz w:val="24"/>
                <w:szCs w:val="24"/>
                <w:highlight w:val="none"/>
                <w:lang w:eastAsia="zh-CN"/>
                <w14:textFill>
                  <w14:solidFill>
                    <w14:schemeClr w14:val="tx1"/>
                  </w14:solidFill>
                </w14:textFill>
              </w:rPr>
              <w:t>。</w:t>
            </w:r>
          </w:p>
          <w:p w14:paraId="402ADD43">
            <w:pPr>
              <w:pStyle w:val="73"/>
              <w:spacing w:line="360" w:lineRule="auto"/>
              <w:ind w:firstLine="480"/>
              <w:rPr>
                <w:rFonts w:hint="default"/>
                <w:color w:val="000000" w:themeColor="text1"/>
                <w:spacing w:val="0"/>
                <w:kern w:val="0"/>
                <w:sz w:val="24"/>
                <w:szCs w:val="24"/>
                <w:highlight w:val="none"/>
                <w:lang w:val="en-US" w:eastAsia="zh-CN"/>
                <w14:textFill>
                  <w14:solidFill>
                    <w14:schemeClr w14:val="tx1"/>
                  </w14:solidFill>
                </w14:textFill>
              </w:rPr>
            </w:pPr>
            <w:r>
              <w:rPr>
                <w:rFonts w:hint="eastAsia"/>
                <w:color w:val="000000" w:themeColor="text1"/>
                <w:spacing w:val="0"/>
                <w:kern w:val="0"/>
                <w:sz w:val="24"/>
                <w:szCs w:val="24"/>
                <w:highlight w:val="none"/>
                <w14:textFill>
                  <w14:solidFill>
                    <w14:schemeClr w14:val="tx1"/>
                  </w14:solidFill>
                </w14:textFill>
              </w:rPr>
              <w:t>⑨</w:t>
            </w:r>
            <w:r>
              <w:rPr>
                <w:rFonts w:hint="default"/>
                <w:color w:val="000000" w:themeColor="text1"/>
                <w:spacing w:val="0"/>
                <w:kern w:val="0"/>
                <w:sz w:val="24"/>
                <w:szCs w:val="24"/>
                <w:highlight w:val="none"/>
                <w:lang w:val="en-US" w:eastAsia="zh-CN"/>
                <w14:textFill>
                  <w14:solidFill>
                    <w14:schemeClr w14:val="tx1"/>
                  </w14:solidFill>
                </w14:textFill>
              </w:rPr>
              <w:t>在包装箱外可设置醒目的危险废物标志，并用明确易懂的中文标明箱内所装为危险废物等</w:t>
            </w:r>
            <w:r>
              <w:rPr>
                <w:rFonts w:hint="eastAsia"/>
                <w:color w:val="000000" w:themeColor="text1"/>
                <w:spacing w:val="0"/>
                <w:kern w:val="0"/>
                <w:sz w:val="24"/>
                <w:szCs w:val="24"/>
                <w:highlight w:val="none"/>
                <w:lang w:val="en-US" w:eastAsia="zh-CN"/>
                <w14:textFill>
                  <w14:solidFill>
                    <w14:schemeClr w14:val="tx1"/>
                  </w14:solidFill>
                </w14:textFill>
              </w:rPr>
              <w:t>。</w:t>
            </w:r>
          </w:p>
          <w:p w14:paraId="7156231C">
            <w:pPr>
              <w:pStyle w:val="73"/>
              <w:spacing w:line="360" w:lineRule="auto"/>
              <w:ind w:firstLine="480"/>
              <w:rPr>
                <w:color w:val="000000" w:themeColor="text1"/>
                <w:spacing w:val="0"/>
                <w:kern w:val="0"/>
                <w:sz w:val="24"/>
                <w:szCs w:val="24"/>
                <w:highlight w:val="none"/>
                <w14:textFill>
                  <w14:solidFill>
                    <w14:schemeClr w14:val="tx1"/>
                  </w14:solidFill>
                </w14:textFill>
              </w:rPr>
            </w:pPr>
            <w:r>
              <w:rPr>
                <w:rFonts w:hint="eastAsia"/>
                <w:color w:val="000000" w:themeColor="text1"/>
                <w:spacing w:val="0"/>
                <w:kern w:val="0"/>
                <w:sz w:val="24"/>
                <w:szCs w:val="24"/>
                <w:highlight w:val="none"/>
                <w:lang w:eastAsia="zh-CN"/>
                <w14:textFill>
                  <w14:solidFill>
                    <w14:schemeClr w14:val="tx1"/>
                  </w14:solidFill>
                </w14:textFill>
              </w:rPr>
              <w:t>⑩</w:t>
            </w:r>
            <w:r>
              <w:rPr>
                <w:rFonts w:hint="default"/>
                <w:color w:val="000000" w:themeColor="text1"/>
                <w:spacing w:val="0"/>
                <w:kern w:val="0"/>
                <w:sz w:val="24"/>
                <w:szCs w:val="24"/>
                <w:highlight w:val="none"/>
                <w14:textFill>
                  <w14:solidFill>
                    <w14:schemeClr w14:val="tx1"/>
                  </w14:solidFill>
                </w14:textFill>
              </w:rPr>
              <w:t>企业应按规定申报危险废物产生、贮存、转移、利用处置等信息，制定危险废物年度管理计划，企业应结合自身实际，建立危险废物台账，如实记载危险废物的种类、数量、性质、产生环节、流向、贮存、利用处置等信息，并在</w:t>
            </w:r>
            <w:r>
              <w:rPr>
                <w:rFonts w:hint="eastAsia"/>
                <w:color w:val="000000" w:themeColor="text1"/>
                <w:spacing w:val="0"/>
                <w:kern w:val="0"/>
                <w:sz w:val="24"/>
                <w:szCs w:val="24"/>
                <w:highlight w:val="none"/>
                <w:lang w:eastAsia="zh-CN"/>
                <w14:textFill>
                  <w14:solidFill>
                    <w14:schemeClr w14:val="tx1"/>
                  </w14:solidFill>
                </w14:textFill>
              </w:rPr>
              <w:t>“</w:t>
            </w:r>
            <w:r>
              <w:rPr>
                <w:rFonts w:hint="default"/>
                <w:color w:val="000000" w:themeColor="text1"/>
                <w:spacing w:val="0"/>
                <w:kern w:val="0"/>
                <w:sz w:val="24"/>
                <w:szCs w:val="24"/>
                <w:highlight w:val="none"/>
                <w14:textFill>
                  <w14:solidFill>
                    <w14:schemeClr w14:val="tx1"/>
                  </w14:solidFill>
                </w14:textFill>
              </w:rPr>
              <w:t>危险废物动态管理信息系统</w:t>
            </w:r>
            <w:r>
              <w:rPr>
                <w:rFonts w:hint="eastAsia"/>
                <w:color w:val="000000" w:themeColor="text1"/>
                <w:spacing w:val="0"/>
                <w:kern w:val="0"/>
                <w:sz w:val="24"/>
                <w:szCs w:val="24"/>
                <w:highlight w:val="none"/>
                <w:lang w:eastAsia="zh-CN"/>
                <w14:textFill>
                  <w14:solidFill>
                    <w14:schemeClr w14:val="tx1"/>
                  </w14:solidFill>
                </w14:textFill>
              </w:rPr>
              <w:t>”</w:t>
            </w:r>
            <w:r>
              <w:rPr>
                <w:rFonts w:hint="default"/>
                <w:color w:val="000000" w:themeColor="text1"/>
                <w:spacing w:val="0"/>
                <w:kern w:val="0"/>
                <w:sz w:val="24"/>
                <w:szCs w:val="24"/>
                <w:highlight w:val="none"/>
                <w14:textFill>
                  <w14:solidFill>
                    <w14:schemeClr w14:val="tx1"/>
                  </w14:solidFill>
                </w14:textFill>
              </w:rPr>
              <w:t>中进行如实规范申报，申报数据应与台账、管理计划数据相一致</w:t>
            </w:r>
            <w:r>
              <w:rPr>
                <w:rFonts w:hint="eastAsia"/>
                <w:color w:val="000000" w:themeColor="text1"/>
                <w:spacing w:val="0"/>
                <w:kern w:val="0"/>
                <w:sz w:val="24"/>
                <w:szCs w:val="24"/>
                <w:highlight w:val="none"/>
                <w:lang w:eastAsia="zh-CN"/>
                <w14:textFill>
                  <w14:solidFill>
                    <w14:schemeClr w14:val="tx1"/>
                  </w14:solidFill>
                </w14:textFill>
              </w:rPr>
              <w:t>。</w:t>
            </w:r>
            <w:r>
              <w:rPr>
                <w:rFonts w:hint="eastAsia"/>
                <w:color w:val="000000" w:themeColor="text1"/>
                <w:spacing w:val="0"/>
                <w:kern w:val="0"/>
                <w:sz w:val="24"/>
                <w:szCs w:val="24"/>
                <w:highlight w:val="none"/>
                <w:lang w:val="en-US" w:eastAsia="zh-CN"/>
                <w14:textFill>
                  <w14:solidFill>
                    <w14:schemeClr w14:val="tx1"/>
                  </w14:solidFill>
                </w14:textFill>
              </w:rPr>
              <w:t>落实危险废物管理台账记录的责任人，明确工作职责，并对危险废物管理台账的真实性、准确性和完整性负法律责任。危险废物管理台账分为电子管理台账和纸质管理台账两种形式。产生危险废物的单位可通过国家危险废物信息管理系统、企业自建信息管理系统或第三方平台等方式记录电子管理台账。保存时间原则上应存档5年以上。</w:t>
            </w:r>
          </w:p>
          <w:p w14:paraId="0332EBDA">
            <w:pPr>
              <w:pStyle w:val="73"/>
              <w:keepNext w:val="0"/>
              <w:keepLines w:val="0"/>
              <w:pageBreakBefore w:val="0"/>
              <w:kinsoku/>
              <w:wordWrap/>
              <w:overflowPunct/>
              <w:autoSpaceDE/>
              <w:autoSpaceDN/>
              <w:bidi w:val="0"/>
              <w:spacing w:line="360" w:lineRule="auto"/>
              <w:ind w:firstLine="480"/>
              <w:textAlignment w:val="auto"/>
              <w:rPr>
                <w:rFonts w:hint="default" w:ascii="Times New Roman" w:hAnsi="Times New Roman" w:cs="Times New Roman"/>
                <w:color w:val="000000" w:themeColor="text1"/>
                <w:spacing w:val="0"/>
                <w:kern w:val="0"/>
                <w:sz w:val="24"/>
                <w:szCs w:val="24"/>
                <w:highlight w:val="none"/>
                <w:lang w:val="en-US" w:eastAsia="zh-CN"/>
                <w14:textFill>
                  <w14:solidFill>
                    <w14:schemeClr w14:val="tx1"/>
                  </w14:solidFill>
                </w14:textFill>
              </w:rPr>
            </w:pPr>
            <w:r>
              <w:rPr>
                <w:rFonts w:hint="eastAsia"/>
                <w:color w:val="000000" w:themeColor="text1"/>
                <w:spacing w:val="0"/>
                <w:kern w:val="0"/>
                <w:sz w:val="24"/>
                <w:szCs w:val="24"/>
                <w:highlight w:val="none"/>
                <w14:textFill>
                  <w14:solidFill>
                    <w14:schemeClr w14:val="tx1"/>
                  </w14:solidFill>
                </w14:textFill>
              </w:rPr>
              <w:t>⑪</w:t>
            </w:r>
            <w:r>
              <w:rPr>
                <w:rFonts w:hint="default" w:ascii="Times New Roman" w:hAnsi="Times New Roman" w:cs="Times New Roman"/>
                <w:color w:val="000000" w:themeColor="text1"/>
                <w:spacing w:val="0"/>
                <w:kern w:val="0"/>
                <w:sz w:val="24"/>
                <w:szCs w:val="24"/>
                <w:highlight w:val="none"/>
                <w:lang w:val="en-US" w:eastAsia="zh-CN"/>
                <w14:textFill>
                  <w14:solidFill>
                    <w14:schemeClr w14:val="tx1"/>
                  </w14:solidFill>
                </w14:textFill>
              </w:rPr>
              <w:t>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14:paraId="7178032C">
            <w:pPr>
              <w:pStyle w:val="73"/>
              <w:keepNext w:val="0"/>
              <w:keepLines w:val="0"/>
              <w:pageBreakBefore w:val="0"/>
              <w:kinsoku/>
              <w:wordWrap/>
              <w:overflowPunct/>
              <w:autoSpaceDE/>
              <w:autoSpaceDN/>
              <w:bidi w:val="0"/>
              <w:spacing w:line="360" w:lineRule="auto"/>
              <w:ind w:firstLine="480"/>
              <w:textAlignment w:val="auto"/>
              <w:rPr>
                <w:rFonts w:hint="default" w:ascii="Times New Roman" w:hAnsi="Times New Roman" w:cs="Times New Roman"/>
                <w:color w:val="000000" w:themeColor="text1"/>
                <w:spacing w:val="0"/>
                <w:kern w:val="0"/>
                <w:sz w:val="24"/>
                <w:szCs w:val="24"/>
                <w:highlight w:val="none"/>
                <w:lang w:val="en-US" w:eastAsia="zh-CN"/>
                <w14:textFill>
                  <w14:solidFill>
                    <w14:schemeClr w14:val="tx1"/>
                  </w14:solidFill>
                </w14:textFill>
              </w:rPr>
            </w:pPr>
            <w:r>
              <w:rPr>
                <w:rFonts w:hint="eastAsia" w:cs="Times New Roman"/>
                <w:color w:val="000000" w:themeColor="text1"/>
                <w:spacing w:val="0"/>
                <w:kern w:val="0"/>
                <w:sz w:val="24"/>
                <w:szCs w:val="24"/>
                <w:highlight w:val="none"/>
                <w:lang w:val="en-US" w:eastAsia="zh-CN"/>
                <w14:textFill>
                  <w14:solidFill>
                    <w14:schemeClr w14:val="tx1"/>
                  </w14:solidFill>
                </w14:textFill>
              </w:rPr>
              <w:t>C</w:t>
            </w:r>
            <w:r>
              <w:rPr>
                <w:rFonts w:hint="default" w:ascii="Times New Roman" w:hAnsi="Times New Roman" w:cs="Times New Roman"/>
                <w:color w:val="000000" w:themeColor="text1"/>
                <w:spacing w:val="0"/>
                <w:kern w:val="0"/>
                <w:sz w:val="24"/>
                <w:szCs w:val="24"/>
                <w:highlight w:val="none"/>
                <w:lang w:val="en-US" w:eastAsia="zh-CN"/>
                <w14:textFill>
                  <w14:solidFill>
                    <w14:schemeClr w14:val="tx1"/>
                  </w14:solidFill>
                </w14:textFill>
              </w:rPr>
              <w:t>生活垃圾：生活垃圾在厂内集中收集，妥善贮存。</w:t>
            </w:r>
          </w:p>
          <w:p w14:paraId="7B12B3BD">
            <w:pPr>
              <w:pStyle w:val="73"/>
              <w:keepNext w:val="0"/>
              <w:keepLines w:val="0"/>
              <w:pageBreakBefore w:val="0"/>
              <w:kinsoku/>
              <w:wordWrap/>
              <w:overflowPunct/>
              <w:autoSpaceDE/>
              <w:autoSpaceDN/>
              <w:bidi w:val="0"/>
              <w:spacing w:line="360" w:lineRule="auto"/>
              <w:ind w:firstLine="480"/>
              <w:textAlignment w:val="auto"/>
              <w:rPr>
                <w:rFonts w:hint="default" w:ascii="Times New Roman" w:hAnsi="Times New Roman" w:cs="Times New Roman"/>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4"/>
                <w:szCs w:val="24"/>
                <w:highlight w:val="none"/>
                <w14:textFill>
                  <w14:solidFill>
                    <w14:schemeClr w14:val="tx1"/>
                  </w14:solidFill>
                </w14:textFill>
              </w:rPr>
              <w:t>本项目固废经采取以上处置措施后，实现无害化，对周围环境影响较小。</w:t>
            </w:r>
          </w:p>
          <w:p w14:paraId="672BD12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lang w:val="en-US" w:eastAsia="zh-CN"/>
                <w14:textFill>
                  <w14:solidFill>
                    <w14:schemeClr w14:val="tx1"/>
                  </w14:solidFill>
                </w14:textFill>
              </w:rPr>
              <w:t>4.2.5</w:t>
            </w: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地下水及土壤环境影响及保护措施</w:t>
            </w:r>
          </w:p>
          <w:p w14:paraId="6D32ED1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（1）地下水、土壤污染源、污染物类型及污染途径</w:t>
            </w:r>
          </w:p>
          <w:p w14:paraId="1CF065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本项目为农副食品加工业，项目周边为工业园，根据调查厂界周边均为工业企业，项目无明显的地下水、土壤污染途径，仅污水处理站、危废贮存点存在泄漏可能性，危废贮存点采取“六防”措施与托盘，采取防渗混凝土+2mm厚HDPE防渗层进行防渗、防腐处理，等效黏土防渗层Mb≥1.5m，防渗系数K＜1*10</w:t>
            </w:r>
            <w:r>
              <w:rPr>
                <w:rFonts w:hint="eastAsia" w:ascii="Times New Roman" w:hAnsi="Times New Roman" w:eastAsia="宋体" w:cs="Times New Roman"/>
                <w:b w:val="0"/>
                <w:bCs w:val="0"/>
                <w:snapToGrid w:val="0"/>
                <w:color w:val="000000" w:themeColor="text1"/>
                <w:spacing w:val="0"/>
                <w:kern w:val="0"/>
                <w:sz w:val="24"/>
                <w:szCs w:val="24"/>
                <w:highlight w:val="none"/>
                <w:vertAlign w:val="superscript"/>
                <w:lang w:val="en-US" w:eastAsia="zh-CN"/>
                <w14:textFill>
                  <w14:solidFill>
                    <w14:schemeClr w14:val="tx1"/>
                  </w14:solidFill>
                </w14:textFill>
              </w:rPr>
              <w:t>-7</w:t>
            </w:r>
            <w:r>
              <w:rPr>
                <w:rFonts w:hint="eastAsia" w:ascii="Times New Roman" w:hAnsi="Times New Roman" w:eastAsia="宋体" w:cs="Times New Roman"/>
                <w:b w:val="0"/>
                <w:bCs w:val="0"/>
                <w:snapToGrid w:val="0"/>
                <w:color w:val="000000" w:themeColor="text1"/>
                <w:spacing w:val="0"/>
                <w:kern w:val="0"/>
                <w:sz w:val="24"/>
                <w:szCs w:val="24"/>
                <w:highlight w:val="none"/>
                <w:lang w:val="en-US" w:eastAsia="zh-CN"/>
                <w14:textFill>
                  <w14:solidFill>
                    <w14:schemeClr w14:val="tx1"/>
                  </w14:solidFill>
                </w14:textFill>
              </w:rPr>
              <w:t>cm/s，基本无泄漏至地下水和土壤的途径。</w:t>
            </w:r>
          </w:p>
          <w:p w14:paraId="649E79A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（2）防控措施</w:t>
            </w:r>
          </w:p>
          <w:p w14:paraId="371544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1）本项目在生产过程中可能因处理不当导致废水泄漏、下渗，污染土壤和地下水。环评要求生产过程中做好设备的维护、检修，杜绝任何意外现象，以便及时发现事故隐患，采取有效的应对措施。</w:t>
            </w:r>
          </w:p>
          <w:p w14:paraId="6C2E42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2）厂区内裸露地面全部采用混凝土硬化；</w:t>
            </w:r>
          </w:p>
          <w:p w14:paraId="67ADF2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3）</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生产厂房针对地下水、土壤污染源采取分区防控，将生产厂房分为简单防控区、一般防控区、重点防控区，分别采取不同的防控方案：</w:t>
            </w:r>
          </w:p>
          <w:p w14:paraId="6C2DDC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A</w:t>
            </w:r>
            <w:r>
              <w:rPr>
                <w:rFonts w:hint="eastAsia" w:cs="Times New Roman"/>
                <w:snapToGrid w:val="0"/>
                <w:color w:val="000000" w:themeColor="text1"/>
                <w:spacing w:val="0"/>
                <w:kern w:val="0"/>
                <w:sz w:val="24"/>
                <w:szCs w:val="32"/>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简单防控区</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除一般防控区、重点防控区外其他区域</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p>
          <w:p w14:paraId="0061CA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防控方案</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地面采取水泥硬化。</w:t>
            </w:r>
          </w:p>
          <w:p w14:paraId="16CCE3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pPr>
            <w:r>
              <w:rPr>
                <w:rFonts w:hint="eastAsia" w:cs="Times New Roman"/>
                <w:snapToGrid w:val="0"/>
                <w:color w:val="000000" w:themeColor="text1"/>
                <w:spacing w:val="0"/>
                <w:kern w:val="0"/>
                <w:sz w:val="24"/>
                <w:szCs w:val="32"/>
                <w:highlight w:val="none"/>
                <w:lang w:val="en-US" w:eastAsia="zh-CN"/>
                <w14:textFill>
                  <w14:solidFill>
                    <w14:schemeClr w14:val="tx1"/>
                  </w14:solidFill>
                </w14:textFill>
              </w:rPr>
              <w:t>B.</w:t>
            </w: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一般防控区</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0"/>
                <w:sz w:val="24"/>
                <w:szCs w:val="32"/>
                <w:highlight w:val="none"/>
                <w:lang w:val="en-US" w:eastAsia="zh-CN"/>
                <w14:textFill>
                  <w14:solidFill>
                    <w14:schemeClr w14:val="tx1"/>
                  </w14:solidFill>
                </w14:textFill>
              </w:rPr>
              <w:t>一般固废暂存区</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p>
          <w:p w14:paraId="190BC912">
            <w:pPr>
              <w:ind w:firstLine="482"/>
              <w:rPr>
                <w:b/>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防控方案</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地坪采取水泥硬化并做基础防渗处理</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p>
          <w:p w14:paraId="2FA98E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32"/>
                <w:highlight w:val="none"/>
                <w:lang w:val="en-US" w:eastAsia="zh-CN"/>
                <w14:textFill>
                  <w14:solidFill>
                    <w14:schemeClr w14:val="tx1"/>
                  </w14:solidFill>
                </w14:textFill>
              </w:rPr>
              <w:t>C</w:t>
            </w:r>
            <w:r>
              <w:rPr>
                <w:rFonts w:hint="eastAsia" w:cs="Times New Roman"/>
                <w:snapToGrid w:val="0"/>
                <w:color w:val="000000" w:themeColor="text1"/>
                <w:spacing w:val="0"/>
                <w:kern w:val="0"/>
                <w:sz w:val="24"/>
                <w:szCs w:val="32"/>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szCs w:val="32"/>
                <w:highlight w:val="none"/>
                <w14:textFill>
                  <w14:solidFill>
                    <w14:schemeClr w14:val="tx1"/>
                  </w14:solidFill>
                </w14:textFill>
              </w:rPr>
              <w:t>重点防控区</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0"/>
                <w:sz w:val="24"/>
                <w:szCs w:val="32"/>
                <w:highlight w:val="none"/>
                <w:lang w:val="en-US" w:eastAsia="zh-CN"/>
                <w14:textFill>
                  <w14:solidFill>
                    <w14:schemeClr w14:val="tx1"/>
                  </w14:solidFill>
                </w14:textFill>
              </w:rPr>
              <w:t>污水处理站</w:t>
            </w:r>
            <w:r>
              <w:rPr>
                <w:rFonts w:hint="eastAsia" w:cs="Times New Roman"/>
                <w:snapToGrid w:val="0"/>
                <w:color w:val="000000" w:themeColor="text1"/>
                <w:spacing w:val="0"/>
                <w:kern w:val="0"/>
                <w:sz w:val="24"/>
                <w:szCs w:val="32"/>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0"/>
                <w:sz w:val="24"/>
                <w:szCs w:val="32"/>
                <w:highlight w:val="none"/>
                <w:lang w:val="en-US" w:eastAsia="zh-CN"/>
                <w14:textFill>
                  <w14:solidFill>
                    <w14:schemeClr w14:val="tx1"/>
                  </w14:solidFill>
                </w14:textFill>
              </w:rPr>
              <w:t>危废贮存点</w:t>
            </w:r>
            <w:r>
              <w:rPr>
                <w:rFonts w:hint="eastAsia" w:ascii="Times New Roman" w:hAnsi="Times New Roman" w:eastAsia="宋体" w:cs="Times New Roman"/>
                <w:snapToGrid w:val="0"/>
                <w:color w:val="000000" w:themeColor="text1"/>
                <w:spacing w:val="0"/>
                <w:kern w:val="0"/>
                <w:sz w:val="24"/>
                <w:szCs w:val="32"/>
                <w:highlight w:val="none"/>
                <w:lang w:eastAsia="zh-CN"/>
                <w14:textFill>
                  <w14:solidFill>
                    <w14:schemeClr w14:val="tx1"/>
                  </w14:solidFill>
                </w14:textFill>
              </w:rPr>
              <w:t>；</w:t>
            </w:r>
          </w:p>
          <w:p w14:paraId="756558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防控方案</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做</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“六</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防</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处理，铺设双层高密度聚乙烯HDEP 防渗膜，渗透系数不大于1.0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10</w:t>
            </w:r>
            <w:r>
              <w:rPr>
                <w:rFonts w:hint="eastAsia" w:ascii="Times New Roman" w:hAnsi="Times New Roman" w:eastAsia="宋体" w:cs="Times New Roman"/>
                <w:color w:val="000000" w:themeColor="text1"/>
                <w:kern w:val="0"/>
                <w:sz w:val="24"/>
                <w:szCs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cm/s</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危废贮存点</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定制托盘进行防渗，墙角涂刷环树脂漆加强巡检，保留相应固废转运清单。</w:t>
            </w:r>
          </w:p>
          <w:p w14:paraId="4B4E9C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风险事故应急响应：发现渗漏时应立即停止运营，组织人员查明渗漏源头，采取补救措施。</w:t>
            </w:r>
          </w:p>
          <w:p w14:paraId="0D8B50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综上，本项目对可能产生地下水及土壤影响的各项途径均进行有效预防，在确保各项防渗措施得到落实，并加强维护和厂区环境管理的前提下，对土壤、地下水环境影响较小。</w:t>
            </w:r>
          </w:p>
          <w:p w14:paraId="1FE48B6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lang w:val="en-US" w:eastAsia="zh-CN"/>
                <w14:textFill>
                  <w14:solidFill>
                    <w14:schemeClr w14:val="tx1"/>
                  </w14:solidFill>
                </w14:textFill>
              </w:rPr>
              <w:t xml:space="preserve">4.2.6 </w:t>
            </w: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环境风险环境影响及保护措施</w:t>
            </w:r>
          </w:p>
          <w:p w14:paraId="1F7EBD7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000000" w:themeColor="text1"/>
                <w:spacing w:val="0"/>
                <w:kern w:val="0"/>
                <w:sz w:val="24"/>
                <w:szCs w:val="24"/>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4"/>
                <w:szCs w:val="24"/>
                <w:highlight w:val="none"/>
                <w14:textFill>
                  <w14:solidFill>
                    <w14:schemeClr w14:val="tx1"/>
                  </w14:solidFill>
                </w14:textFill>
              </w:rPr>
              <w:t>（1）</w:t>
            </w:r>
            <w:r>
              <w:rPr>
                <w:rFonts w:hint="default" w:ascii="Times New Roman" w:hAnsi="Times New Roman" w:eastAsia="宋体" w:cs="Times New Roman"/>
                <w:b/>
                <w:bCs/>
                <w:snapToGrid w:val="0"/>
                <w:color w:val="000000" w:themeColor="text1"/>
                <w:spacing w:val="0"/>
                <w:kern w:val="0"/>
                <w:sz w:val="24"/>
                <w:szCs w:val="24"/>
                <w:highlight w:val="none"/>
                <w:lang w:eastAsia="zh-CN"/>
                <w14:textFill>
                  <w14:solidFill>
                    <w14:schemeClr w14:val="tx1"/>
                  </w14:solidFill>
                </w14:textFill>
              </w:rPr>
              <w:t>环境风险分析</w:t>
            </w:r>
          </w:p>
          <w:p w14:paraId="492867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风险调查</w:t>
            </w:r>
          </w:p>
          <w:p w14:paraId="1863E9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本项目营运期涉及的危险物质主要有</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柴油</w:t>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。根据《建设项目环境风险评价技术导则》（HJT169-2018）中附录B及《危险化学品重大危险源辨识》（GB18218-2018）对重点关注的危险物质及临界量的相关规定，项目生产过程中涉及的危险物质为</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柴</w:t>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油。</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项目</w:t>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涉及的危险物质的贮存情况见表4.2-1</w:t>
            </w:r>
            <w:r>
              <w:rPr>
                <w:rFonts w:hint="eastAsia" w:cs="Times New Roman"/>
                <w:snapToGrid w:val="0"/>
                <w:color w:val="000000" w:themeColor="text1"/>
                <w:spacing w:val="0"/>
                <w:kern w:val="0"/>
                <w:sz w:val="24"/>
                <w:szCs w:val="24"/>
                <w:highlight w:val="none"/>
                <w:lang w:val="en-US" w:eastAsia="zh-CN"/>
                <w14:textFill>
                  <w14:solidFill>
                    <w14:schemeClr w14:val="tx1"/>
                  </w14:solidFill>
                </w14:textFill>
              </w:rPr>
              <w:t>8</w:t>
            </w:r>
            <w:r>
              <w:rPr>
                <w:rFonts w:hint="default" w:ascii="Times New Roman" w:hAnsi="Times New Roman" w:eastAsia="宋体" w:cs="Times New Roman"/>
                <w:snapToGrid w:val="0"/>
                <w:color w:val="000000" w:themeColor="text1"/>
                <w:spacing w:val="0"/>
                <w:kern w:val="0"/>
                <w:sz w:val="24"/>
                <w:szCs w:val="24"/>
                <w:highlight w:val="none"/>
                <w:lang w:val="en-US" w:eastAsia="zh-CN"/>
                <w14:textFill>
                  <w14:solidFill>
                    <w14:schemeClr w14:val="tx1"/>
                  </w14:solidFill>
                </w14:textFill>
              </w:rPr>
              <w:t>所示。</w:t>
            </w:r>
          </w:p>
          <w:p w14:paraId="5B365E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10"/>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10"/>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spacing w:val="-10"/>
                <w:sz w:val="24"/>
                <w:szCs w:val="24"/>
                <w:highlight w:val="none"/>
                <w:lang w:val="en-US" w:eastAsia="zh-CN"/>
                <w14:textFill>
                  <w14:solidFill>
                    <w14:schemeClr w14:val="tx1"/>
                  </w14:solidFill>
                </w14:textFill>
              </w:rPr>
              <w:t>4.2-1</w:t>
            </w:r>
            <w:r>
              <w:rPr>
                <w:rFonts w:hint="eastAsia" w:cs="Times New Roman"/>
                <w:b/>
                <w:bCs/>
                <w:color w:val="000000" w:themeColor="text1"/>
                <w:spacing w:val="-10"/>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10"/>
                <w:sz w:val="24"/>
                <w:szCs w:val="24"/>
                <w:highlight w:val="none"/>
                <w14:textFill>
                  <w14:solidFill>
                    <w14:schemeClr w14:val="tx1"/>
                  </w14:solidFill>
                </w14:textFill>
              </w:rPr>
              <w:t xml:space="preserve">  </w:t>
            </w:r>
            <w:r>
              <w:rPr>
                <w:rFonts w:hint="default" w:ascii="Times New Roman" w:hAnsi="Times New Roman" w:eastAsia="宋体" w:cs="Times New Roman"/>
                <w:b/>
                <w:bCs/>
                <w:color w:val="000000" w:themeColor="text1"/>
                <w:spacing w:val="-10"/>
                <w:sz w:val="24"/>
                <w:szCs w:val="24"/>
                <w:highlight w:val="none"/>
                <w:lang w:eastAsia="zh-CN"/>
                <w14:textFill>
                  <w14:solidFill>
                    <w14:schemeClr w14:val="tx1"/>
                  </w14:solidFill>
                </w14:textFill>
              </w:rPr>
              <w:t>危险物质储存情况一览表</w:t>
            </w:r>
          </w:p>
          <w:tbl>
            <w:tblPr>
              <w:tblStyle w:val="28"/>
              <w:tblW w:w="896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487"/>
              <w:gridCol w:w="1557"/>
              <w:gridCol w:w="1417"/>
              <w:gridCol w:w="1637"/>
              <w:gridCol w:w="1881"/>
            </w:tblGrid>
            <w:tr w14:paraId="7541B35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6" w:type="dxa"/>
                  <w:tcBorders>
                    <w:tl2br w:val="nil"/>
                    <w:tr2bl w:val="nil"/>
                  </w:tcBorders>
                  <w:noWrap w:val="0"/>
                  <w:vAlign w:val="center"/>
                </w:tcPr>
                <w:p w14:paraId="230388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0"/>
                      <w:kern w:val="0"/>
                      <w:sz w:val="21"/>
                      <w:szCs w:val="21"/>
                      <w:highlight w:val="none"/>
                      <w:lang w:eastAsia="zh-CN"/>
                      <w14:textFill>
                        <w14:solidFill>
                          <w14:schemeClr w14:val="tx1"/>
                        </w14:solidFill>
                      </w14:textFill>
                    </w:rPr>
                    <w:t>序号</w:t>
                  </w:r>
                </w:p>
              </w:tc>
              <w:tc>
                <w:tcPr>
                  <w:tcW w:w="1487" w:type="dxa"/>
                  <w:tcBorders>
                    <w:tl2br w:val="nil"/>
                    <w:tr2bl w:val="nil"/>
                  </w:tcBorders>
                  <w:noWrap w:val="0"/>
                  <w:vAlign w:val="center"/>
                </w:tcPr>
                <w:p w14:paraId="0F12F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0"/>
                      <w:kern w:val="0"/>
                      <w:sz w:val="21"/>
                      <w:szCs w:val="21"/>
                      <w:highlight w:val="none"/>
                      <w:lang w:eastAsia="zh-CN"/>
                      <w14:textFill>
                        <w14:solidFill>
                          <w14:schemeClr w14:val="tx1"/>
                        </w14:solidFill>
                      </w14:textFill>
                    </w:rPr>
                    <w:t>名称</w:t>
                  </w:r>
                </w:p>
              </w:tc>
              <w:tc>
                <w:tcPr>
                  <w:tcW w:w="1557" w:type="dxa"/>
                  <w:tcBorders>
                    <w:tl2br w:val="nil"/>
                    <w:tr2bl w:val="nil"/>
                  </w:tcBorders>
                  <w:noWrap w:val="0"/>
                  <w:vAlign w:val="center"/>
                </w:tcPr>
                <w:p w14:paraId="7D895C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0"/>
                      <w:kern w:val="0"/>
                      <w:sz w:val="21"/>
                      <w:szCs w:val="21"/>
                      <w:highlight w:val="none"/>
                      <w:lang w:val="en-US" w:eastAsia="zh-CN"/>
                      <w14:textFill>
                        <w14:solidFill>
                          <w14:schemeClr w14:val="tx1"/>
                        </w14:solidFill>
                      </w14:textFill>
                    </w:rPr>
                    <w:t>风险物质成分</w:t>
                  </w:r>
                </w:p>
              </w:tc>
              <w:tc>
                <w:tcPr>
                  <w:tcW w:w="1417" w:type="dxa"/>
                  <w:tcBorders>
                    <w:tl2br w:val="nil"/>
                    <w:tr2bl w:val="nil"/>
                  </w:tcBorders>
                  <w:noWrap w:val="0"/>
                  <w:vAlign w:val="center"/>
                </w:tcPr>
                <w:p w14:paraId="7E5B01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0"/>
                      <w:kern w:val="0"/>
                      <w:sz w:val="21"/>
                      <w:szCs w:val="21"/>
                      <w:highlight w:val="none"/>
                      <w:lang w:eastAsia="zh-CN"/>
                      <w14:textFill>
                        <w14:solidFill>
                          <w14:schemeClr w14:val="tx1"/>
                        </w14:solidFill>
                      </w14:textFill>
                    </w:rPr>
                    <w:t>最大储存量</w:t>
                  </w:r>
                </w:p>
              </w:tc>
              <w:tc>
                <w:tcPr>
                  <w:tcW w:w="1637" w:type="dxa"/>
                  <w:tcBorders>
                    <w:tl2br w:val="nil"/>
                    <w:tr2bl w:val="nil"/>
                  </w:tcBorders>
                  <w:noWrap w:val="0"/>
                  <w:vAlign w:val="center"/>
                </w:tcPr>
                <w:p w14:paraId="5AE9C3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0"/>
                      <w:kern w:val="0"/>
                      <w:sz w:val="21"/>
                      <w:szCs w:val="21"/>
                      <w:highlight w:val="none"/>
                      <w:lang w:eastAsia="zh-CN"/>
                      <w14:textFill>
                        <w14:solidFill>
                          <w14:schemeClr w14:val="tx1"/>
                        </w14:solidFill>
                      </w14:textFill>
                    </w:rPr>
                    <w:t>允许临界量</w:t>
                  </w:r>
                </w:p>
              </w:tc>
              <w:tc>
                <w:tcPr>
                  <w:tcW w:w="1881" w:type="dxa"/>
                  <w:tcBorders>
                    <w:tl2br w:val="nil"/>
                    <w:tr2bl w:val="nil"/>
                  </w:tcBorders>
                  <w:noWrap w:val="0"/>
                  <w:vAlign w:val="center"/>
                </w:tcPr>
                <w:p w14:paraId="0ABDC9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spacing w:val="0"/>
                      <w:kern w:val="0"/>
                      <w:sz w:val="21"/>
                      <w:szCs w:val="21"/>
                      <w:highlight w:val="none"/>
                      <w:lang w:val="en-US" w:eastAsia="zh-CN"/>
                      <w14:textFill>
                        <w14:solidFill>
                          <w14:schemeClr w14:val="tx1"/>
                        </w14:solidFill>
                      </w14:textFill>
                    </w:rPr>
                    <w:t>Q值</w:t>
                  </w:r>
                </w:p>
              </w:tc>
            </w:tr>
            <w:tr w14:paraId="0ADFF64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86" w:type="dxa"/>
                  <w:tcBorders>
                    <w:tl2br w:val="nil"/>
                    <w:tr2bl w:val="nil"/>
                  </w:tcBorders>
                  <w:noWrap w:val="0"/>
                  <w:vAlign w:val="center"/>
                </w:tcPr>
                <w:p w14:paraId="3B915C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t>1</w:t>
                  </w:r>
                </w:p>
              </w:tc>
              <w:tc>
                <w:tcPr>
                  <w:tcW w:w="1487" w:type="dxa"/>
                  <w:tcBorders>
                    <w:tl2br w:val="nil"/>
                    <w:tr2bl w:val="nil"/>
                  </w:tcBorders>
                  <w:shd w:val="clear" w:color="auto" w:fill="auto"/>
                  <w:noWrap w:val="0"/>
                  <w:vAlign w:val="center"/>
                </w:tcPr>
                <w:p w14:paraId="10E89C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highlight w:val="none"/>
                      <w:lang w:val="en-US" w:eastAsia="zh-CN"/>
                      <w14:textFill>
                        <w14:solidFill>
                          <w14:schemeClr w14:val="tx1"/>
                        </w14:solidFill>
                      </w14:textFill>
                    </w:rPr>
                    <w:t>柴油</w:t>
                  </w:r>
                </w:p>
              </w:tc>
              <w:tc>
                <w:tcPr>
                  <w:tcW w:w="1557" w:type="dxa"/>
                  <w:tcBorders>
                    <w:tl2br w:val="nil"/>
                    <w:tr2bl w:val="nil"/>
                  </w:tcBorders>
                  <w:shd w:val="clear" w:color="auto" w:fill="auto"/>
                  <w:noWrap w:val="0"/>
                  <w:vAlign w:val="center"/>
                </w:tcPr>
                <w:p w14:paraId="04F93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t>油类</w:t>
                  </w:r>
                </w:p>
              </w:tc>
              <w:tc>
                <w:tcPr>
                  <w:tcW w:w="1417" w:type="dxa"/>
                  <w:tcBorders>
                    <w:tl2br w:val="nil"/>
                    <w:tr2bl w:val="nil"/>
                  </w:tcBorders>
                  <w:shd w:val="clear" w:color="auto" w:fill="auto"/>
                  <w:noWrap w:val="0"/>
                  <w:vAlign w:val="center"/>
                </w:tcPr>
                <w:p w14:paraId="05D77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highlight w:val="none"/>
                      <w:lang w:val="en-US" w:eastAsia="zh-CN"/>
                      <w14:textFill>
                        <w14:solidFill>
                          <w14:schemeClr w14:val="tx1"/>
                        </w14:solidFill>
                      </w14:textFill>
                    </w:rPr>
                    <w:t>1</w:t>
                  </w:r>
                </w:p>
              </w:tc>
              <w:tc>
                <w:tcPr>
                  <w:tcW w:w="1637" w:type="dxa"/>
                  <w:tcBorders>
                    <w:tl2br w:val="nil"/>
                    <w:tr2bl w:val="nil"/>
                  </w:tcBorders>
                  <w:shd w:val="clear" w:color="auto" w:fill="auto"/>
                  <w:noWrap w:val="0"/>
                  <w:vAlign w:val="center"/>
                </w:tcPr>
                <w:p w14:paraId="084B8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highlight w:val="none"/>
                      <w:lang w:val="en-US" w:eastAsia="zh-CN"/>
                      <w14:textFill>
                        <w14:solidFill>
                          <w14:schemeClr w14:val="tx1"/>
                        </w14:solidFill>
                      </w14:textFill>
                    </w:rPr>
                    <w:t>2500</w:t>
                  </w:r>
                </w:p>
              </w:tc>
              <w:tc>
                <w:tcPr>
                  <w:tcW w:w="1881" w:type="dxa"/>
                  <w:tcBorders>
                    <w:tl2br w:val="nil"/>
                    <w:tr2bl w:val="nil"/>
                  </w:tcBorders>
                  <w:shd w:val="clear" w:color="auto" w:fill="auto"/>
                  <w:noWrap w:val="0"/>
                  <w:vAlign w:val="center"/>
                </w:tcPr>
                <w:p w14:paraId="3FF956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Cs/>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004</w:t>
                  </w:r>
                </w:p>
              </w:tc>
            </w:tr>
            <w:tr w14:paraId="76D18C7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86" w:type="dxa"/>
                  <w:tcBorders>
                    <w:tl2br w:val="nil"/>
                    <w:tr2bl w:val="nil"/>
                  </w:tcBorders>
                  <w:noWrap w:val="0"/>
                  <w:vAlign w:val="center"/>
                </w:tcPr>
                <w:p w14:paraId="7CF784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pPr>
                  <w:r>
                    <w:rPr>
                      <w:rFonts w:hint="eastAsia" w:cs="Times New Roman"/>
                      <w:bCs/>
                      <w:snapToGrid w:val="0"/>
                      <w:color w:val="000000" w:themeColor="text1"/>
                      <w:spacing w:val="0"/>
                      <w:kern w:val="0"/>
                      <w:sz w:val="21"/>
                      <w:szCs w:val="21"/>
                      <w:highlight w:val="none"/>
                      <w:lang w:val="en-US" w:eastAsia="zh-CN"/>
                      <w14:textFill>
                        <w14:solidFill>
                          <w14:schemeClr w14:val="tx1"/>
                        </w14:solidFill>
                      </w14:textFill>
                    </w:rPr>
                    <w:t>2</w:t>
                  </w:r>
                </w:p>
              </w:tc>
              <w:tc>
                <w:tcPr>
                  <w:tcW w:w="1487" w:type="dxa"/>
                  <w:tcBorders>
                    <w:tl2br w:val="nil"/>
                    <w:tr2bl w:val="nil"/>
                  </w:tcBorders>
                  <w:shd w:val="clear" w:color="auto" w:fill="auto"/>
                  <w:noWrap w:val="0"/>
                  <w:vAlign w:val="center"/>
                </w:tcPr>
                <w:p w14:paraId="4ED257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t>废润滑油</w:t>
                  </w:r>
                </w:p>
              </w:tc>
              <w:tc>
                <w:tcPr>
                  <w:tcW w:w="1557" w:type="dxa"/>
                  <w:tcBorders>
                    <w:tl2br w:val="nil"/>
                    <w:tr2bl w:val="nil"/>
                  </w:tcBorders>
                  <w:shd w:val="clear" w:color="auto" w:fill="auto"/>
                  <w:noWrap w:val="0"/>
                  <w:vAlign w:val="center"/>
                </w:tcPr>
                <w:p w14:paraId="0BBDB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t>油类</w:t>
                  </w:r>
                </w:p>
              </w:tc>
              <w:tc>
                <w:tcPr>
                  <w:tcW w:w="1417" w:type="dxa"/>
                  <w:tcBorders>
                    <w:tl2br w:val="nil"/>
                    <w:tr2bl w:val="nil"/>
                  </w:tcBorders>
                  <w:shd w:val="clear" w:color="auto" w:fill="auto"/>
                  <w:noWrap w:val="0"/>
                  <w:vAlign w:val="center"/>
                </w:tcPr>
                <w:p w14:paraId="0F15FE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t>0.2</w:t>
                  </w:r>
                </w:p>
              </w:tc>
              <w:tc>
                <w:tcPr>
                  <w:tcW w:w="1637" w:type="dxa"/>
                  <w:tcBorders>
                    <w:tl2br w:val="nil"/>
                    <w:tr2bl w:val="nil"/>
                  </w:tcBorders>
                  <w:shd w:val="clear" w:color="auto" w:fill="auto"/>
                  <w:noWrap w:val="0"/>
                  <w:vAlign w:val="center"/>
                </w:tcPr>
                <w:p w14:paraId="52AEBC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t>2500</w:t>
                  </w:r>
                </w:p>
              </w:tc>
              <w:tc>
                <w:tcPr>
                  <w:tcW w:w="1881" w:type="dxa"/>
                  <w:tcBorders>
                    <w:tl2br w:val="nil"/>
                    <w:tr2bl w:val="nil"/>
                  </w:tcBorders>
                  <w:shd w:val="clear" w:color="auto" w:fill="auto"/>
                  <w:noWrap w:val="0"/>
                  <w:vAlign w:val="center"/>
                </w:tcPr>
                <w:p w14:paraId="2B77DC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t>0.00008</w:t>
                  </w:r>
                </w:p>
              </w:tc>
            </w:tr>
            <w:tr w14:paraId="20EA3E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084" w:type="dxa"/>
                  <w:gridSpan w:val="5"/>
                  <w:tcBorders>
                    <w:tl2br w:val="nil"/>
                    <w:tr2bl w:val="nil"/>
                  </w:tcBorders>
                  <w:noWrap w:val="0"/>
                  <w:vAlign w:val="center"/>
                </w:tcPr>
                <w:p w14:paraId="2DC44B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pacing w:val="0"/>
                      <w:kern w:val="0"/>
                      <w:sz w:val="21"/>
                      <w:szCs w:val="21"/>
                      <w:highlight w:val="none"/>
                      <w:lang w:val="en-US" w:eastAsia="zh-CN"/>
                      <w14:textFill>
                        <w14:solidFill>
                          <w14:schemeClr w14:val="tx1"/>
                        </w14:solidFill>
                      </w14:textFill>
                    </w:rPr>
                    <w:t>合计</w:t>
                  </w:r>
                </w:p>
              </w:tc>
              <w:tc>
                <w:tcPr>
                  <w:tcW w:w="1881" w:type="dxa"/>
                  <w:tcBorders>
                    <w:tl2br w:val="nil"/>
                    <w:tr2bl w:val="nil"/>
                  </w:tcBorders>
                  <w:noWrap w:val="0"/>
                  <w:vAlign w:val="center"/>
                </w:tcPr>
                <w:p w14:paraId="436F8E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w:t>
                  </w:r>
                </w:p>
              </w:tc>
            </w:tr>
          </w:tbl>
          <w:p w14:paraId="2C1D881B">
            <w:pPr>
              <w:spacing w:line="360" w:lineRule="auto"/>
              <w:ind w:firstLine="480" w:firstLineChars="200"/>
              <w:rPr>
                <w:rFonts w:hint="default" w:ascii="Times New Roman" w:hAnsi="Times New Roman" w:eastAsia="宋体" w:cs="Times New Roman"/>
                <w:bCs/>
                <w:color w:val="000000" w:themeColor="text1"/>
                <w:sz w:val="24"/>
                <w:szCs w:val="26"/>
                <w:highlight w:val="none"/>
                <w14:textFill>
                  <w14:solidFill>
                    <w14:schemeClr w14:val="tx1"/>
                  </w14:solidFill>
                </w14:textFill>
              </w:rPr>
            </w:pPr>
            <w:r>
              <w:rPr>
                <w:rFonts w:hint="default" w:ascii="Times New Roman" w:hAnsi="Times New Roman" w:eastAsia="宋体" w:cs="Times New Roman"/>
                <w:bCs/>
                <w:color w:val="000000" w:themeColor="text1"/>
                <w:sz w:val="24"/>
                <w:szCs w:val="26"/>
                <w:highlight w:val="none"/>
                <w14:textFill>
                  <w14:solidFill>
                    <w14:schemeClr w14:val="tx1"/>
                  </w14:solidFill>
                </w14:textFill>
              </w:rPr>
              <w:t>根据上表可知Q＜1，根据《建设项目环境</w:t>
            </w:r>
            <w:r>
              <w:rPr>
                <w:rFonts w:hint="eastAsia" w:ascii="Times New Roman" w:hAnsi="Times New Roman" w:eastAsia="宋体" w:cs="Times New Roman"/>
                <w:bCs/>
                <w:color w:val="000000" w:themeColor="text1"/>
                <w:sz w:val="24"/>
                <w:szCs w:val="26"/>
                <w:highlight w:val="none"/>
                <w:lang w:eastAsia="zh-CN"/>
                <w14:textFill>
                  <w14:solidFill>
                    <w14:schemeClr w14:val="tx1"/>
                  </w14:solidFill>
                </w14:textFill>
              </w:rPr>
              <w:t>风险</w:t>
            </w:r>
            <w:r>
              <w:rPr>
                <w:rFonts w:hint="default" w:ascii="Times New Roman" w:hAnsi="Times New Roman" w:eastAsia="宋体" w:cs="Times New Roman"/>
                <w:bCs/>
                <w:color w:val="000000" w:themeColor="text1"/>
                <w:sz w:val="24"/>
                <w:szCs w:val="26"/>
                <w:highlight w:val="none"/>
                <w14:textFill>
                  <w14:solidFill>
                    <w14:schemeClr w14:val="tx1"/>
                  </w14:solidFill>
                </w14:textFill>
              </w:rPr>
              <w:t>评价技术导则》HJ169-2018，根据</w:t>
            </w:r>
            <w:r>
              <w:rPr>
                <w:rFonts w:hint="default" w:ascii="Times New Roman" w:hAnsi="Times New Roman" w:eastAsia="宋体" w:cs="Times New Roman"/>
                <w:bCs/>
                <w:color w:val="000000" w:themeColor="text1"/>
                <w:sz w:val="24"/>
                <w:highlight w:val="none"/>
                <w14:textFill>
                  <w14:solidFill>
                    <w14:schemeClr w14:val="tx1"/>
                  </w14:solidFill>
                </w14:textFill>
              </w:rPr>
              <w:t>《建设项目环境影响报告表编制技术指南（污染影响类）（试行）》</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项目无需设置专题评价</w:t>
            </w:r>
            <w:r>
              <w:rPr>
                <w:rFonts w:hint="default" w:ascii="Times New Roman" w:hAnsi="Times New Roman" w:eastAsia="宋体" w:cs="Times New Roman"/>
                <w:bCs/>
                <w:color w:val="000000" w:themeColor="text1"/>
                <w:sz w:val="24"/>
                <w:szCs w:val="26"/>
                <w:highlight w:val="none"/>
                <w14:textFill>
                  <w14:solidFill>
                    <w14:schemeClr w14:val="tx1"/>
                  </w14:solidFill>
                </w14:textFill>
              </w:rPr>
              <w:t>。</w:t>
            </w:r>
          </w:p>
          <w:p w14:paraId="0781EC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②环境风险影响途径 </w:t>
            </w:r>
          </w:p>
          <w:p w14:paraId="1C377E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项目可能的影响途径为</w:t>
            </w:r>
            <w:r>
              <w:rPr>
                <w:rFonts w:hint="default" w:ascii="Times New Roman" w:hAnsi="Times New Roman" w:cs="Times New Roman"/>
                <w:bCs/>
                <w:snapToGrid w:val="0"/>
                <w:color w:val="000000" w:themeColor="text1"/>
                <w:spacing w:val="0"/>
                <w:kern w:val="0"/>
                <w:sz w:val="21"/>
                <w:szCs w:val="21"/>
                <w:highlight w:val="none"/>
                <w:lang w:val="en-US" w:eastAsia="zh-CN"/>
                <w14:textFill>
                  <w14:solidFill>
                    <w14:schemeClr w14:val="tx1"/>
                  </w14:solidFill>
                </w14:textFill>
              </w:rPr>
              <w:t>柴</w:t>
            </w:r>
            <w:r>
              <w:rPr>
                <w:rFonts w:hint="eastAsia" w:cs="Times New Roman"/>
                <w:color w:val="000000" w:themeColor="text1"/>
                <w:sz w:val="24"/>
                <w:szCs w:val="24"/>
                <w:highlight w:val="none"/>
                <w:lang w:val="en-US" w:eastAsia="zh-CN"/>
                <w14:textFill>
                  <w14:solidFill>
                    <w14:schemeClr w14:val="tx1"/>
                  </w14:solidFill>
                </w14:textFill>
              </w:rPr>
              <w:t>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泄漏后流入地表水或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渗入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地下水中，火灾后消防废水流入附近地表水体，影响途径主要为地表水、土壤和地下水受到污染。</w:t>
            </w:r>
          </w:p>
          <w:p w14:paraId="13DA20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（2）风险防范措施</w:t>
            </w:r>
          </w:p>
          <w:p w14:paraId="035C9A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危废贮存点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均属于重点防渗区域，其他生产区为一般防渗区域。重点防渗要求：贮存点地面与裙角要用坚固、防渗的材料制造，建筑材料必须与危险废物相容，基础层必须防渗，其防渗层的防渗性能不低于6.0m厚、渗透系数不低于1×10</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cm/s的等效黏土层的防渗性能。</w:t>
            </w:r>
          </w:p>
          <w:p w14:paraId="56ABFCC6">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②危废贮存点</w:t>
            </w:r>
            <w:r>
              <w:rPr>
                <w:rFonts w:hint="default" w:ascii="Times New Roman" w:hAnsi="Times New Roman" w:eastAsia="宋体" w:cs="Times New Roman"/>
                <w:bCs/>
                <w:color w:val="000000" w:themeColor="text1"/>
                <w:sz w:val="24"/>
                <w:highlight w:val="none"/>
                <w14:textFill>
                  <w14:solidFill>
                    <w14:schemeClr w14:val="tx1"/>
                  </w14:solidFill>
                </w14:textFill>
              </w:rPr>
              <w:t>废机油存放区应设置托盘，保持托盘有一定的接纳容量，防止风险物质流失。</w:t>
            </w:r>
            <w:r>
              <w:rPr>
                <w:rFonts w:hint="eastAsia"/>
                <w:color w:val="000000" w:themeColor="text1"/>
                <w:sz w:val="24"/>
                <w:highlight w:val="none"/>
                <w:lang w:val="en-US" w:eastAsia="zh-CN"/>
                <w14:textFill>
                  <w14:solidFill>
                    <w14:schemeClr w14:val="tx1"/>
                  </w14:solidFill>
                </w14:textFill>
              </w:rPr>
              <w:t>危废贮存点</w:t>
            </w:r>
            <w:r>
              <w:rPr>
                <w:rFonts w:hint="default" w:ascii="Times New Roman" w:hAnsi="Times New Roman" w:eastAsia="宋体" w:cs="Times New Roman"/>
                <w:bCs/>
                <w:color w:val="000000" w:themeColor="text1"/>
                <w:sz w:val="24"/>
                <w:highlight w:val="none"/>
                <w14:textFill>
                  <w14:solidFill>
                    <w14:schemeClr w14:val="tx1"/>
                  </w14:solidFill>
                </w14:textFill>
              </w:rPr>
              <w:t>应采取地面防渗措施，在存放区设置危险警示标志</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p>
          <w:p w14:paraId="14607ADA">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③危废贮存点</w:t>
            </w:r>
            <w:r>
              <w:rPr>
                <w:rFonts w:hint="default" w:ascii="Times New Roman" w:hAnsi="Times New Roman" w:eastAsia="宋体" w:cs="Times New Roman"/>
                <w:bCs/>
                <w:color w:val="000000" w:themeColor="text1"/>
                <w:sz w:val="24"/>
                <w:szCs w:val="24"/>
                <w:highlight w:val="none"/>
                <w14:textFill>
                  <w14:solidFill>
                    <w14:schemeClr w14:val="tx1"/>
                  </w14:solidFill>
                </w14:textFill>
              </w:rPr>
              <w:t>废机油存储区域应保持阴凉、通风良好等条件，远离火种、热源，暂存间温度不宜超过30℃，并保持容器密封</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在</w:t>
            </w:r>
            <w:r>
              <w:rPr>
                <w:rFonts w:hint="eastAsia"/>
                <w:color w:val="000000" w:themeColor="text1"/>
                <w:sz w:val="24"/>
                <w:szCs w:val="24"/>
                <w:highlight w:val="none"/>
                <w:lang w:val="en-US" w:eastAsia="zh-CN"/>
                <w14:textFill>
                  <w14:solidFill>
                    <w14:schemeClr w14:val="tx1"/>
                  </w14:solidFill>
                </w14:textFill>
              </w:rPr>
              <w:t>危废贮存点</w:t>
            </w:r>
            <w:r>
              <w:rPr>
                <w:rFonts w:hint="default" w:ascii="Times New Roman" w:hAnsi="Times New Roman" w:eastAsia="宋体" w:cs="Times New Roman"/>
                <w:bCs/>
                <w:color w:val="000000" w:themeColor="text1"/>
                <w:sz w:val="24"/>
                <w:szCs w:val="24"/>
                <w:highlight w:val="none"/>
                <w14:textFill>
                  <w14:solidFill>
                    <w14:schemeClr w14:val="tx1"/>
                  </w14:solidFill>
                </w14:textFill>
              </w:rPr>
              <w:t>等适当区域</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配备</w:t>
            </w:r>
            <w:r>
              <w:rPr>
                <w:rFonts w:hint="default" w:ascii="Times New Roman" w:hAnsi="Times New Roman" w:eastAsia="宋体" w:cs="Times New Roman"/>
                <w:bCs/>
                <w:color w:val="000000" w:themeColor="text1"/>
                <w:sz w:val="24"/>
                <w:szCs w:val="24"/>
                <w:highlight w:val="none"/>
                <w14:textFill>
                  <w14:solidFill>
                    <w14:schemeClr w14:val="tx1"/>
                  </w14:solidFill>
                </w14:textFill>
              </w:rPr>
              <w:t>一定数量的手提式干粉灭火器，并定期检查，保持有效状态。</w:t>
            </w:r>
          </w:p>
          <w:p w14:paraId="4945B777">
            <w:pPr>
              <w:spacing w:line="360" w:lineRule="auto"/>
              <w:ind w:firstLine="480" w:firstLineChars="200"/>
              <w:jc w:val="left"/>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⑤</w:t>
            </w:r>
            <w:r>
              <w:rPr>
                <w:rFonts w:hint="eastAsia"/>
                <w:color w:val="000000" w:themeColor="text1"/>
                <w:sz w:val="24"/>
                <w:szCs w:val="24"/>
                <w:highlight w:val="none"/>
                <w:lang w:val="en-US" w:eastAsia="zh-CN"/>
                <w14:textFill>
                  <w14:solidFill>
                    <w14:schemeClr w14:val="tx1"/>
                  </w14:solidFill>
                </w14:textFill>
              </w:rPr>
              <w:t>污水处理站配备相应品种和数量的消防器材及泄漏应急处理设备；</w:t>
            </w:r>
          </w:p>
          <w:p w14:paraId="741AB321">
            <w:pPr>
              <w:spacing w:line="360" w:lineRule="auto"/>
              <w:ind w:firstLine="480" w:firstLineChars="200"/>
              <w:jc w:val="left"/>
              <w:rPr>
                <w:rFonts w:hint="eastAsia"/>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⑥</w:t>
            </w:r>
            <w:r>
              <w:rPr>
                <w:rFonts w:hint="eastAsia"/>
                <w:color w:val="000000" w:themeColor="text1"/>
                <w:sz w:val="24"/>
                <w:szCs w:val="24"/>
                <w:highlight w:val="none"/>
                <w:lang w:val="en-US" w:eastAsia="zh-CN"/>
                <w14:textFill>
                  <w14:solidFill>
                    <w14:schemeClr w14:val="tx1"/>
                  </w14:solidFill>
                </w14:textFill>
              </w:rPr>
              <w:t>各设备间</w:t>
            </w:r>
            <w:r>
              <w:rPr>
                <w:rFonts w:hint="eastAsia"/>
                <w:color w:val="000000" w:themeColor="text1"/>
                <w:sz w:val="24"/>
                <w:szCs w:val="24"/>
                <w:highlight w:val="none"/>
                <w14:textFill>
                  <w14:solidFill>
                    <w14:schemeClr w14:val="tx1"/>
                  </w14:solidFill>
                </w14:textFill>
              </w:rPr>
              <w:t>严格按防火规范布置平面，电气设备及仪表按防爆等级不同选用不同的设备；</w:t>
            </w:r>
          </w:p>
          <w:p w14:paraId="284BD77F">
            <w:pPr>
              <w:pStyle w:val="59"/>
              <w:ind w:firstLine="468" w:firstLineChars="195"/>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⑦</w:t>
            </w:r>
            <w:r>
              <w:rPr>
                <w:rFonts w:hint="eastAsia"/>
                <w:color w:val="000000" w:themeColor="text1"/>
                <w:sz w:val="24"/>
                <w:szCs w:val="24"/>
                <w:highlight w:val="none"/>
                <w14:textFill>
                  <w14:solidFill>
                    <w14:schemeClr w14:val="tx1"/>
                  </w14:solidFill>
                </w14:textFill>
              </w:rPr>
              <w:t>定期做</w:t>
            </w:r>
            <w:r>
              <w:rPr>
                <w:rFonts w:hint="eastAsia"/>
                <w:color w:val="000000" w:themeColor="text1"/>
                <w:sz w:val="24"/>
                <w:szCs w:val="24"/>
                <w:highlight w:val="none"/>
                <w:lang w:val="en-US" w:eastAsia="zh-CN"/>
                <w14:textFill>
                  <w14:solidFill>
                    <w14:schemeClr w14:val="tx1"/>
                  </w14:solidFill>
                </w14:textFill>
              </w:rPr>
              <w:t>好全厂</w:t>
            </w:r>
            <w:r>
              <w:rPr>
                <w:rFonts w:hint="eastAsia"/>
                <w:color w:val="000000" w:themeColor="text1"/>
                <w:sz w:val="24"/>
                <w:szCs w:val="24"/>
                <w:highlight w:val="none"/>
                <w14:textFill>
                  <w14:solidFill>
                    <w14:schemeClr w14:val="tx1"/>
                  </w14:solidFill>
                </w14:textFill>
              </w:rPr>
              <w:t>设备检查工作，发现问题及时维修</w:t>
            </w:r>
            <w:r>
              <w:rPr>
                <w:rFonts w:hint="eastAsia" w:cs="Times New Roman"/>
                <w:color w:val="000000" w:themeColor="text1"/>
                <w:sz w:val="24"/>
                <w:szCs w:val="24"/>
                <w:highlight w:val="none"/>
                <w14:textFill>
                  <w14:solidFill>
                    <w14:schemeClr w14:val="tx1"/>
                  </w14:solidFill>
                </w14:textFill>
              </w:rPr>
              <w:t>。</w:t>
            </w:r>
          </w:p>
          <w:p w14:paraId="2867DD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通过以上措施后，项目环境风险可接受</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43C7966">
            <w:pPr>
              <w:ind w:firstLine="482"/>
              <w:rPr>
                <w:b/>
                <w:color w:val="000000" w:themeColor="text1"/>
                <w:highlight w:val="none"/>
                <w14:textFill>
                  <w14:solidFill>
                    <w14:schemeClr w14:val="tx1"/>
                  </w14:solidFill>
                </w14:textFill>
              </w:rPr>
            </w:pPr>
          </w:p>
          <w:p w14:paraId="35AC64CB">
            <w:pPr>
              <w:ind w:firstLine="482"/>
              <w:rPr>
                <w:b/>
                <w:color w:val="000000" w:themeColor="text1"/>
                <w:highlight w:val="none"/>
                <w14:textFill>
                  <w14:solidFill>
                    <w14:schemeClr w14:val="tx1"/>
                  </w14:solidFill>
                </w14:textFill>
              </w:rPr>
            </w:pPr>
          </w:p>
          <w:p w14:paraId="72F334F8">
            <w:pPr>
              <w:ind w:firstLine="480"/>
              <w:rPr>
                <w:rFonts w:ascii="宋体" w:hAnsi="宋体" w:eastAsia="MS Mincho" w:cs="宋体"/>
                <w:color w:val="000000" w:themeColor="text1"/>
                <w:szCs w:val="21"/>
                <w:highlight w:val="none"/>
                <w:lang w:eastAsia="ja-JP"/>
                <w14:textFill>
                  <w14:solidFill>
                    <w14:schemeClr w14:val="tx1"/>
                  </w14:solidFill>
                </w14:textFill>
              </w:rPr>
            </w:pPr>
          </w:p>
        </w:tc>
      </w:tr>
    </w:tbl>
    <w:p w14:paraId="3EC68C3C">
      <w:pPr>
        <w:ind w:firstLine="0" w:firstLineChars="0"/>
        <w:rPr>
          <w:color w:val="000000" w:themeColor="text1"/>
          <w:sz w:val="28"/>
          <w:szCs w:val="28"/>
          <w:highlight w:val="none"/>
          <w14:textFill>
            <w14:solidFill>
              <w14:schemeClr w14:val="tx1"/>
            </w14:solidFill>
          </w14:textFill>
        </w:rPr>
      </w:pPr>
    </w:p>
    <w:p w14:paraId="0B774B97">
      <w:pPr>
        <w:ind w:firstLine="560"/>
        <w:rPr>
          <w:color w:val="000000" w:themeColor="text1"/>
          <w:sz w:val="28"/>
          <w:szCs w:val="28"/>
          <w:highlight w:val="none"/>
          <w14:textFill>
            <w14:solidFill>
              <w14:schemeClr w14:val="tx1"/>
            </w14:solidFill>
          </w14:textFill>
        </w:rPr>
        <w:sectPr>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07FF181F">
      <w:pPr>
        <w:ind w:firstLine="600"/>
        <w:jc w:val="center"/>
        <w:outlineLvl w:val="0"/>
        <w:rPr>
          <w:snapToGrid w:val="0"/>
          <w:color w:val="000000" w:themeColor="text1"/>
          <w:sz w:val="30"/>
          <w:szCs w:val="30"/>
          <w:highlight w:val="none"/>
          <w14:textFill>
            <w14:solidFill>
              <w14:schemeClr w14:val="tx1"/>
            </w14:solidFill>
          </w14:textFill>
        </w:rPr>
      </w:pPr>
      <w:r>
        <w:rPr>
          <w:b/>
          <w:bCs/>
          <w:snapToGrid w:val="0"/>
          <w:color w:val="000000" w:themeColor="text1"/>
          <w:sz w:val="30"/>
          <w:szCs w:val="30"/>
          <w:highlight w:val="none"/>
          <w14:textFill>
            <w14:solidFill>
              <w14:schemeClr w14:val="tx1"/>
            </w14:solidFill>
          </w14:textFill>
        </w:rPr>
        <w:t>五、</w:t>
      </w:r>
      <w:bookmarkStart w:id="8" w:name="_Hlk54167917"/>
      <w:r>
        <w:rPr>
          <w:b/>
          <w:bCs/>
          <w:snapToGrid w:val="0"/>
          <w:color w:val="000000" w:themeColor="text1"/>
          <w:sz w:val="30"/>
          <w:szCs w:val="30"/>
          <w:highlight w:val="none"/>
          <w14:textFill>
            <w14:solidFill>
              <w14:schemeClr w14:val="tx1"/>
            </w14:solidFill>
          </w14:textFill>
        </w:rPr>
        <w:t>环境保护措施监督检查清单</w:t>
      </w:r>
      <w:bookmarkEnd w:id="8"/>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596"/>
        <w:gridCol w:w="1887"/>
        <w:gridCol w:w="2322"/>
        <w:gridCol w:w="2716"/>
      </w:tblGrid>
      <w:tr w14:paraId="3944E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3" w:type="pct"/>
            <w:tcBorders>
              <w:tl2br w:val="single" w:color="auto" w:sz="4" w:space="0"/>
            </w:tcBorders>
            <w:vAlign w:val="center"/>
          </w:tcPr>
          <w:p w14:paraId="6BB0D7A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 xml:space="preserve">      内容</w:t>
            </w:r>
          </w:p>
          <w:p w14:paraId="249A194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要素</w:t>
            </w:r>
          </w:p>
        </w:tc>
        <w:tc>
          <w:tcPr>
            <w:tcW w:w="801" w:type="pct"/>
            <w:vAlign w:val="center"/>
          </w:tcPr>
          <w:p w14:paraId="459F244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排放口</w:t>
            </w:r>
            <w:r>
              <w:rPr>
                <w:rFonts w:hint="eastAsia"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编号、名称</w:t>
            </w:r>
            <w:r>
              <w:rPr>
                <w:rFonts w:hint="eastAsia"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/污染源</w:t>
            </w:r>
          </w:p>
        </w:tc>
        <w:tc>
          <w:tcPr>
            <w:tcW w:w="947" w:type="pct"/>
            <w:vAlign w:val="center"/>
          </w:tcPr>
          <w:p w14:paraId="6CBA2D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污染物项目</w:t>
            </w:r>
          </w:p>
        </w:tc>
        <w:tc>
          <w:tcPr>
            <w:tcW w:w="1165" w:type="pct"/>
            <w:vAlign w:val="center"/>
          </w:tcPr>
          <w:p w14:paraId="62660FF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环境保护措施</w:t>
            </w:r>
          </w:p>
        </w:tc>
        <w:tc>
          <w:tcPr>
            <w:tcW w:w="1363" w:type="pct"/>
            <w:vAlign w:val="center"/>
          </w:tcPr>
          <w:p w14:paraId="70564A7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执行标准</w:t>
            </w:r>
          </w:p>
        </w:tc>
      </w:tr>
      <w:tr w14:paraId="721A8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3" w:type="pct"/>
            <w:vMerge w:val="restart"/>
            <w:vAlign w:val="center"/>
          </w:tcPr>
          <w:p w14:paraId="4BBA697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大气环境</w:t>
            </w:r>
          </w:p>
        </w:tc>
        <w:tc>
          <w:tcPr>
            <w:tcW w:w="801" w:type="pct"/>
            <w:vAlign w:val="center"/>
          </w:tcPr>
          <w:p w14:paraId="76DCCDA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锅炉废气DA001</w:t>
            </w:r>
          </w:p>
        </w:tc>
        <w:tc>
          <w:tcPr>
            <w:tcW w:w="947" w:type="pct"/>
            <w:vAlign w:val="center"/>
          </w:tcPr>
          <w:p w14:paraId="16B2EB2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颗粒物、SO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x</w:t>
            </w:r>
          </w:p>
        </w:tc>
        <w:tc>
          <w:tcPr>
            <w:tcW w:w="1165" w:type="pct"/>
            <w:vAlign w:val="center"/>
          </w:tcPr>
          <w:p w14:paraId="15A2AD8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锅炉天然气燃烧废气分别通过</w:t>
            </w:r>
            <w:r>
              <w:rPr>
                <w:rFonts w:hint="eastAsia" w:cs="Times New Roman"/>
                <w:color w:val="000000" w:themeColor="text1"/>
                <w:sz w:val="21"/>
                <w:szCs w:val="21"/>
                <w:highlight w:val="none"/>
                <w:lang w:val="en-US" w:eastAsia="zh-CN"/>
                <w14:textFill>
                  <w14:solidFill>
                    <w14:schemeClr w14:val="tx1"/>
                  </w14:solidFill>
                </w14:textFill>
              </w:rPr>
              <w:t>19</w:t>
            </w:r>
            <w:r>
              <w:rPr>
                <w:rFonts w:hint="default" w:ascii="Times New Roman" w:hAnsi="Times New Roman" w:cs="Times New Roman"/>
                <w:color w:val="000000" w:themeColor="text1"/>
                <w:sz w:val="21"/>
                <w:szCs w:val="21"/>
                <w:highlight w:val="none"/>
                <w14:textFill>
                  <w14:solidFill>
                    <w14:schemeClr w14:val="tx1"/>
                  </w14:solidFill>
                </w14:textFill>
              </w:rPr>
              <w:t>m高排气筒排放</w:t>
            </w:r>
          </w:p>
        </w:tc>
        <w:tc>
          <w:tcPr>
            <w:tcW w:w="1363" w:type="pct"/>
            <w:vAlign w:val="center"/>
          </w:tcPr>
          <w:p w14:paraId="151FD66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《锅炉大气污染物排放标准》（DB50/658-2016）</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及重庆市地方标准第1号修改单标准</w:t>
            </w:r>
          </w:p>
        </w:tc>
      </w:tr>
      <w:tr w14:paraId="248F1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3" w:type="pct"/>
            <w:vMerge w:val="continue"/>
            <w:vAlign w:val="center"/>
          </w:tcPr>
          <w:p w14:paraId="3F160FA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801" w:type="pct"/>
            <w:shd w:val="clear" w:color="auto" w:fill="auto"/>
            <w:vAlign w:val="center"/>
          </w:tcPr>
          <w:p w14:paraId="2CF9F33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食堂油烟废气</w:t>
            </w:r>
          </w:p>
        </w:tc>
        <w:tc>
          <w:tcPr>
            <w:tcW w:w="947" w:type="pct"/>
            <w:shd w:val="clear" w:color="auto" w:fill="auto"/>
            <w:vAlign w:val="center"/>
          </w:tcPr>
          <w:p w14:paraId="18AF8E7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油烟、非甲烷总烃</w:t>
            </w:r>
          </w:p>
        </w:tc>
        <w:tc>
          <w:tcPr>
            <w:tcW w:w="1165" w:type="pct"/>
            <w:shd w:val="clear" w:color="auto" w:fill="auto"/>
            <w:vAlign w:val="center"/>
          </w:tcPr>
          <w:p w14:paraId="3CAFFB0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食堂油烟废气经油烟净化器处理后引至屋顶排放</w:t>
            </w:r>
          </w:p>
        </w:tc>
        <w:tc>
          <w:tcPr>
            <w:tcW w:w="1363" w:type="pct"/>
            <w:shd w:val="clear" w:color="auto" w:fill="auto"/>
            <w:vAlign w:val="center"/>
          </w:tcPr>
          <w:p w14:paraId="7218C09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eastAsia="zh-CN" w:bidi="ar"/>
                <w14:textFill>
                  <w14:solidFill>
                    <w14:schemeClr w14:val="tx1"/>
                  </w14:solidFill>
                </w14:textFill>
              </w:rPr>
              <w:t>《餐饮业大气污染物排放标准》（DB50/859-2018）</w:t>
            </w:r>
          </w:p>
        </w:tc>
      </w:tr>
      <w:tr w14:paraId="3D5AE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3" w:type="pct"/>
            <w:vMerge w:val="continue"/>
            <w:vAlign w:val="center"/>
          </w:tcPr>
          <w:p w14:paraId="43CF2FE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801" w:type="pct"/>
            <w:shd w:val="clear" w:color="auto" w:fill="auto"/>
            <w:vAlign w:val="center"/>
          </w:tcPr>
          <w:p w14:paraId="22ACC98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发电机废气</w:t>
            </w:r>
          </w:p>
        </w:tc>
        <w:tc>
          <w:tcPr>
            <w:tcW w:w="947" w:type="pct"/>
            <w:shd w:val="clear" w:color="auto" w:fill="auto"/>
            <w:vAlign w:val="center"/>
          </w:tcPr>
          <w:p w14:paraId="3A609DF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HC、CO、NO</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x</w:t>
            </w:r>
            <w:r>
              <w:rPr>
                <w:rFonts w:hint="default" w:ascii="Times New Roman" w:hAnsi="Times New Roman" w:cs="Times New Roman"/>
                <w:bCs/>
                <w:color w:val="000000" w:themeColor="text1"/>
                <w:sz w:val="21"/>
                <w:szCs w:val="21"/>
                <w:highlight w:val="none"/>
                <w14:textFill>
                  <w14:solidFill>
                    <w14:schemeClr w14:val="tx1"/>
                  </w14:solidFill>
                </w14:textFill>
              </w:rPr>
              <w:t>、SO</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2</w:t>
            </w:r>
          </w:p>
        </w:tc>
        <w:tc>
          <w:tcPr>
            <w:tcW w:w="1165" w:type="pct"/>
            <w:shd w:val="clear" w:color="auto" w:fill="auto"/>
            <w:vAlign w:val="center"/>
          </w:tcPr>
          <w:p w14:paraId="4570295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柴油发电机废气经管道收集后引至站房顶部排放</w:t>
            </w:r>
          </w:p>
        </w:tc>
        <w:tc>
          <w:tcPr>
            <w:tcW w:w="1363" w:type="pct"/>
            <w:shd w:val="clear" w:color="auto" w:fill="auto"/>
            <w:vAlign w:val="center"/>
          </w:tcPr>
          <w:p w14:paraId="59D938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A7D9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3" w:type="pct"/>
            <w:vMerge w:val="continue"/>
            <w:vAlign w:val="center"/>
          </w:tcPr>
          <w:p w14:paraId="41CE088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801" w:type="pct"/>
            <w:shd w:val="clear" w:color="auto" w:fill="auto"/>
            <w:vAlign w:val="center"/>
          </w:tcPr>
          <w:p w14:paraId="3A52ED2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污水处理站臭气</w:t>
            </w:r>
          </w:p>
        </w:tc>
        <w:tc>
          <w:tcPr>
            <w:tcW w:w="947" w:type="pct"/>
            <w:shd w:val="clear" w:color="auto" w:fill="auto"/>
            <w:vAlign w:val="center"/>
          </w:tcPr>
          <w:p w14:paraId="3D1A4B45">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臭气浓度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硫化氢</w:t>
            </w:r>
          </w:p>
        </w:tc>
        <w:tc>
          <w:tcPr>
            <w:tcW w:w="1165" w:type="pct"/>
            <w:shd w:val="clear" w:color="auto" w:fill="auto"/>
            <w:vAlign w:val="center"/>
          </w:tcPr>
          <w:p w14:paraId="5FA09FC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定期在污水处理池内添加植物除臭剂</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污水站周边设置绿化带</w:t>
            </w:r>
          </w:p>
        </w:tc>
        <w:tc>
          <w:tcPr>
            <w:tcW w:w="1363" w:type="pct"/>
            <w:vMerge w:val="restart"/>
            <w:shd w:val="clear" w:color="auto" w:fill="auto"/>
            <w:vAlign w:val="center"/>
          </w:tcPr>
          <w:p w14:paraId="275DAEE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《恶臭污染物排放标准》（GB14554-93）</w:t>
            </w:r>
          </w:p>
        </w:tc>
      </w:tr>
      <w:tr w14:paraId="5C8CF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3" w:type="pct"/>
            <w:vMerge w:val="continue"/>
            <w:vAlign w:val="center"/>
          </w:tcPr>
          <w:p w14:paraId="67307FA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801" w:type="pct"/>
            <w:vAlign w:val="center"/>
          </w:tcPr>
          <w:p w14:paraId="4ED6F2B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车间异味</w:t>
            </w:r>
          </w:p>
        </w:tc>
        <w:tc>
          <w:tcPr>
            <w:tcW w:w="947" w:type="pct"/>
            <w:shd w:val="clear" w:color="auto" w:fill="auto"/>
            <w:vAlign w:val="center"/>
          </w:tcPr>
          <w:p w14:paraId="2BB12061">
            <w:pPr>
              <w:pStyle w:val="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臭气浓度</w:t>
            </w:r>
          </w:p>
        </w:tc>
        <w:tc>
          <w:tcPr>
            <w:tcW w:w="1165" w:type="pct"/>
            <w:vAlign w:val="center"/>
          </w:tcPr>
          <w:p w14:paraId="0AB2078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加强车间通风</w:t>
            </w:r>
          </w:p>
        </w:tc>
        <w:tc>
          <w:tcPr>
            <w:tcW w:w="1363" w:type="pct"/>
            <w:vMerge w:val="continue"/>
            <w:vAlign w:val="center"/>
          </w:tcPr>
          <w:p w14:paraId="0B30F03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14:paraId="0ACF7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3" w:type="pct"/>
            <w:vAlign w:val="center"/>
          </w:tcPr>
          <w:p w14:paraId="1D35EB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地表水环境</w:t>
            </w:r>
          </w:p>
        </w:tc>
        <w:tc>
          <w:tcPr>
            <w:tcW w:w="801" w:type="pct"/>
            <w:vAlign w:val="center"/>
          </w:tcPr>
          <w:p w14:paraId="024A84E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生活污水、食堂废水、生产废水</w:t>
            </w:r>
          </w:p>
        </w:tc>
        <w:tc>
          <w:tcPr>
            <w:tcW w:w="947" w:type="pct"/>
            <w:vAlign w:val="center"/>
          </w:tcPr>
          <w:p w14:paraId="733592B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、SS、NH</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-N、动植物油总氮、总磷</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LAS</w:t>
            </w:r>
          </w:p>
        </w:tc>
        <w:tc>
          <w:tcPr>
            <w:tcW w:w="1165" w:type="pct"/>
            <w:vAlign w:val="center"/>
          </w:tcPr>
          <w:p w14:paraId="16C722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格栅+</w:t>
            </w:r>
            <w:r>
              <w:rPr>
                <w:rFonts w:hint="eastAsia" w:cs="Times New Roman"/>
                <w:snapToGrid w:val="0"/>
                <w:color w:val="000000" w:themeColor="text1"/>
                <w:kern w:val="0"/>
                <w:sz w:val="21"/>
                <w:szCs w:val="21"/>
                <w:highlight w:val="none"/>
                <w:lang w:eastAsia="zh-CN"/>
                <w14:textFill>
                  <w14:solidFill>
                    <w14:schemeClr w14:val="tx1"/>
                  </w14:solidFill>
                </w14:textFill>
              </w:rPr>
              <w:t>隔油</w:t>
            </w:r>
            <w:r>
              <w:rPr>
                <w:rFonts w:hint="default" w:ascii="Times New Roman" w:hAnsi="Times New Roman" w:cs="Times New Roman"/>
                <w:color w:val="000000" w:themeColor="text1"/>
                <w:sz w:val="21"/>
                <w:szCs w:val="21"/>
                <w:highlight w:val="none"/>
                <w14:textFill>
                  <w14:solidFill>
                    <w14:schemeClr w14:val="tx1"/>
                  </w14:solidFill>
                </w14:textFill>
              </w:rPr>
              <w:t>+调节+气浮+UASB+一级接触氧化+沉淀+二级接触氧化+沉淀</w:t>
            </w:r>
          </w:p>
        </w:tc>
        <w:tc>
          <w:tcPr>
            <w:tcW w:w="1363" w:type="pct"/>
            <w:vAlign w:val="center"/>
          </w:tcPr>
          <w:p w14:paraId="656016CB">
            <w:pPr>
              <w:pStyle w:val="21"/>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pH、COD、BOD</w:t>
            </w:r>
            <w:r>
              <w:rPr>
                <w:rFonts w:hint="default" w:ascii="Times New Roman" w:hAnsi="Times New Roman" w:eastAsia="宋体" w:cs="Times New Roman"/>
                <w:color w:val="000000" w:themeColor="text1"/>
                <w:spacing w:val="0"/>
                <w:kern w:val="0"/>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、SS、动植物油执行《肉类加工工业水污染物排放标准》（GB13457-92）表3中肉制品加工三级标准；氨氮、总磷、总氮执行《污水排入城镇下水道水质标准》（GB/T 31962-2015）B级标准</w:t>
            </w:r>
            <w:r>
              <w:rPr>
                <w:rFonts w:hint="eastAsia" w:ascii="宋体" w:hAnsi="宋体" w:eastAsia="宋体" w:cs="宋体"/>
                <w:color w:val="000000" w:themeColor="text1"/>
                <w:spacing w:val="0"/>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LAS执行《污水综合排放标准》（GB8978-96）中三级标准</w:t>
            </w:r>
          </w:p>
        </w:tc>
      </w:tr>
      <w:tr w14:paraId="021B9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3" w:type="pct"/>
            <w:vAlign w:val="center"/>
          </w:tcPr>
          <w:p w14:paraId="7DA6663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声环境</w:t>
            </w:r>
          </w:p>
        </w:tc>
        <w:tc>
          <w:tcPr>
            <w:tcW w:w="801" w:type="pct"/>
            <w:vAlign w:val="center"/>
          </w:tcPr>
          <w:p w14:paraId="77D4FA3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生产设备</w:t>
            </w:r>
          </w:p>
        </w:tc>
        <w:tc>
          <w:tcPr>
            <w:tcW w:w="947" w:type="pct"/>
            <w:vAlign w:val="center"/>
          </w:tcPr>
          <w:p w14:paraId="7235AB1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等效声级</w:t>
            </w:r>
          </w:p>
        </w:tc>
        <w:tc>
          <w:tcPr>
            <w:tcW w:w="1165" w:type="pct"/>
            <w:vAlign w:val="center"/>
          </w:tcPr>
          <w:p w14:paraId="13BDA80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建筑隔声、距离衰减、厂区绿化</w:t>
            </w:r>
          </w:p>
        </w:tc>
        <w:tc>
          <w:tcPr>
            <w:tcW w:w="1363" w:type="pct"/>
            <w:vAlign w:val="center"/>
          </w:tcPr>
          <w:p w14:paraId="62356CB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《工业企业厂界环境噪声排放标准》（GB12348-2008）中3类</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4类</w:t>
            </w:r>
            <w:r>
              <w:rPr>
                <w:rFonts w:hint="default" w:ascii="Times New Roman" w:hAnsi="Times New Roman" w:cs="Times New Roman"/>
                <w:color w:val="000000" w:themeColor="text1"/>
                <w:kern w:val="0"/>
                <w:sz w:val="21"/>
                <w:szCs w:val="21"/>
                <w:highlight w:val="none"/>
                <w14:textFill>
                  <w14:solidFill>
                    <w14:schemeClr w14:val="tx1"/>
                  </w14:solidFill>
                </w14:textFill>
              </w:rPr>
              <w:t>标准</w:t>
            </w:r>
          </w:p>
        </w:tc>
      </w:tr>
      <w:tr w14:paraId="70C6C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pct"/>
            <w:vAlign w:val="center"/>
          </w:tcPr>
          <w:p w14:paraId="321D280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固体废物</w:t>
            </w:r>
          </w:p>
        </w:tc>
        <w:tc>
          <w:tcPr>
            <w:tcW w:w="4276" w:type="pct"/>
            <w:gridSpan w:val="4"/>
            <w:vAlign w:val="center"/>
          </w:tcPr>
          <w:p w14:paraId="28228FAC">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一般固废：污水处理站东侧设一处一般固废暂存点（建筑面积约20m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），产生的各类一般固废分类收集后，定期委外处理。</w:t>
            </w:r>
          </w:p>
          <w:p w14:paraId="44F02831">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危险废物：污水处理站东侧设1处危险废物贮存点（建筑面积约8m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），采取“六防”措施，产生的各类危险废物分类分开收集后，定期委外交有危险废物处理资质的单位处理。</w:t>
            </w:r>
          </w:p>
          <w:p w14:paraId="536D32DF">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生活垃圾：集中收集后由环卫部门统一处理。</w:t>
            </w:r>
          </w:p>
          <w:p w14:paraId="5A521F7B">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原料边角料、食材边角料、不合格产品、餐厨垃圾、抽检样品收集后交餐厨垃圾回收单位。</w:t>
            </w:r>
          </w:p>
        </w:tc>
      </w:tr>
      <w:tr w14:paraId="2C399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3" w:type="pct"/>
            <w:vAlign w:val="center"/>
          </w:tcPr>
          <w:p w14:paraId="231C086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土壤及地下水污染防治措施</w:t>
            </w:r>
          </w:p>
        </w:tc>
        <w:tc>
          <w:tcPr>
            <w:tcW w:w="4276" w:type="pct"/>
            <w:gridSpan w:val="4"/>
            <w:vAlign w:val="center"/>
          </w:tcPr>
          <w:p w14:paraId="2C4A9259">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①废水处理站</w:t>
            </w:r>
            <w:r>
              <w:rPr>
                <w:rFonts w:hint="eastAsia" w:cs="Times New Roman"/>
                <w:bCs/>
                <w:color w:val="000000" w:themeColor="text1"/>
                <w:sz w:val="21"/>
                <w:szCs w:val="21"/>
                <w:highlight w:val="none"/>
                <w:lang w:eastAsia="zh-CN"/>
                <w14:textFill>
                  <w14:solidFill>
                    <w14:schemeClr w14:val="tx1"/>
                  </w14:solidFill>
                </w14:textFill>
              </w:rPr>
              <w:t>、危废</w:t>
            </w:r>
            <w:r>
              <w:rPr>
                <w:rFonts w:hint="eastAsia" w:cs="Times New Roman"/>
                <w:bCs/>
                <w:color w:val="000000" w:themeColor="text1"/>
                <w:sz w:val="21"/>
                <w:szCs w:val="21"/>
                <w:highlight w:val="none"/>
                <w:lang w:val="en-US" w:eastAsia="zh-CN"/>
                <w14:textFill>
                  <w14:solidFill>
                    <w14:schemeClr w14:val="tx1"/>
                  </w14:solidFill>
                </w14:textFill>
              </w:rPr>
              <w:t>贮存点</w:t>
            </w:r>
            <w:r>
              <w:rPr>
                <w:rFonts w:hint="default" w:cs="Times New Roman"/>
                <w:bCs/>
                <w:color w:val="000000" w:themeColor="text1"/>
                <w:sz w:val="21"/>
                <w:szCs w:val="21"/>
                <w:highlight w:val="none"/>
                <w:lang w:eastAsia="zh-CN"/>
                <w14:textFill>
                  <w14:solidFill>
                    <w14:schemeClr w14:val="tx1"/>
                  </w14:solidFill>
                </w14:textFill>
              </w:rPr>
              <w:t>进行</w:t>
            </w:r>
            <w:r>
              <w:rPr>
                <w:rFonts w:hint="default" w:ascii="Times New Roman" w:hAnsi="Times New Roman" w:cs="Times New Roman"/>
                <w:bCs/>
                <w:color w:val="000000" w:themeColor="text1"/>
                <w:sz w:val="21"/>
                <w:szCs w:val="21"/>
                <w:highlight w:val="none"/>
                <w14:textFill>
                  <w14:solidFill>
                    <w14:schemeClr w14:val="tx1"/>
                  </w14:solidFill>
                </w14:textFill>
              </w:rPr>
              <w:t>了重点防渗处理，防渗层的渗透系数≤10</w:t>
            </w:r>
            <w:r>
              <w:rPr>
                <w:rFonts w:hint="default" w:ascii="Times New Roman" w:hAnsi="Times New Roman" w:cs="Times New Roman"/>
                <w:bCs/>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bCs/>
                <w:color w:val="000000" w:themeColor="text1"/>
                <w:sz w:val="21"/>
                <w:szCs w:val="21"/>
                <w:highlight w:val="none"/>
                <w14:textFill>
                  <w14:solidFill>
                    <w14:schemeClr w14:val="tx1"/>
                  </w14:solidFill>
                </w14:textFill>
              </w:rPr>
              <w:t>cm/s；</w:t>
            </w:r>
          </w:p>
          <w:p w14:paraId="7D9CEACD">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②餐厨垃圾用密闭桶包装暂存，在食堂外设置暂存点，放置点地面做防渗处理，周围设置围堰。</w:t>
            </w:r>
          </w:p>
          <w:p w14:paraId="5678D2AC">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eastAsia="zh-CN"/>
                <w14:textFill>
                  <w14:solidFill>
                    <w14:schemeClr w14:val="tx1"/>
                  </w14:solidFill>
                </w14:textFill>
              </w:rPr>
              <w:t>③</w:t>
            </w:r>
            <w:r>
              <w:rPr>
                <w:rFonts w:hint="default" w:ascii="Times New Roman" w:hAnsi="Times New Roman" w:cs="Times New Roman"/>
                <w:bCs/>
                <w:color w:val="000000" w:themeColor="text1"/>
                <w:sz w:val="21"/>
                <w:szCs w:val="21"/>
                <w:highlight w:val="none"/>
                <w14:textFill>
                  <w14:solidFill>
                    <w14:schemeClr w14:val="tx1"/>
                  </w14:solidFill>
                </w14:textFill>
              </w:rPr>
              <w:t>生产过程中各物料及污染物均与天然土壤隔离，不会通过裸露区</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渗入</w:t>
            </w:r>
            <w:r>
              <w:rPr>
                <w:rFonts w:hint="default" w:ascii="Times New Roman" w:hAnsi="Times New Roman" w:cs="Times New Roman"/>
                <w:bCs/>
                <w:color w:val="000000" w:themeColor="text1"/>
                <w:sz w:val="21"/>
                <w:szCs w:val="21"/>
                <w:highlight w:val="none"/>
                <w14:textFill>
                  <w14:solidFill>
                    <w14:schemeClr w14:val="tx1"/>
                  </w14:solidFill>
                </w14:textFill>
              </w:rPr>
              <w:t>地面，对土壤、地下水环境影响较小。</w:t>
            </w:r>
          </w:p>
          <w:p w14:paraId="2E1630FE">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eastAsia="zh-CN"/>
                <w14:textFill>
                  <w14:solidFill>
                    <w14:schemeClr w14:val="tx1"/>
                  </w14:solidFill>
                </w14:textFill>
              </w:rPr>
              <w:t>④</w:t>
            </w:r>
            <w:r>
              <w:rPr>
                <w:rFonts w:hint="default" w:ascii="Times New Roman" w:hAnsi="Times New Roman" w:cs="Times New Roman"/>
                <w:bCs/>
                <w:color w:val="000000" w:themeColor="text1"/>
                <w:sz w:val="21"/>
                <w:szCs w:val="21"/>
                <w:highlight w:val="none"/>
                <w14:textFill>
                  <w14:solidFill>
                    <w14:schemeClr w14:val="tx1"/>
                  </w14:solidFill>
                </w14:textFill>
              </w:rPr>
              <w:t>风险事故应急响应：发现渗漏时应立即停止运营，组织人员查明渗漏源头，采取补救措施。</w:t>
            </w:r>
          </w:p>
        </w:tc>
      </w:tr>
      <w:tr w14:paraId="05C87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3" w:type="pct"/>
            <w:vAlign w:val="center"/>
          </w:tcPr>
          <w:p w14:paraId="5CE4435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生态保护措施</w:t>
            </w:r>
          </w:p>
        </w:tc>
        <w:tc>
          <w:tcPr>
            <w:tcW w:w="4276" w:type="pct"/>
            <w:gridSpan w:val="4"/>
            <w:vAlign w:val="center"/>
          </w:tcPr>
          <w:p w14:paraId="13CAD7F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5AFDB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723" w:type="pct"/>
            <w:vAlign w:val="center"/>
          </w:tcPr>
          <w:p w14:paraId="328CA73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pacing w:val="-8"/>
                <w:sz w:val="21"/>
                <w:szCs w:val="21"/>
                <w:highlight w:val="none"/>
                <w14:textFill>
                  <w14:solidFill>
                    <w14:schemeClr w14:val="tx1"/>
                  </w14:solidFill>
                </w14:textFill>
              </w:rPr>
            </w:pPr>
            <w:r>
              <w:rPr>
                <w:rFonts w:hint="default" w:ascii="Times New Roman" w:hAnsi="Times New Roman" w:cs="Times New Roman"/>
                <w:color w:val="000000" w:themeColor="text1"/>
                <w:spacing w:val="-8"/>
                <w:sz w:val="21"/>
                <w:szCs w:val="21"/>
                <w:highlight w:val="none"/>
                <w14:textFill>
                  <w14:solidFill>
                    <w14:schemeClr w14:val="tx1"/>
                  </w14:solidFill>
                </w14:textFill>
              </w:rPr>
              <w:t>环境风险</w:t>
            </w:r>
          </w:p>
          <w:p w14:paraId="0EA1B47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pacing w:val="-8"/>
                <w:sz w:val="21"/>
                <w:szCs w:val="21"/>
                <w:highlight w:val="none"/>
                <w14:textFill>
                  <w14:solidFill>
                    <w14:schemeClr w14:val="tx1"/>
                  </w14:solidFill>
                </w14:textFill>
              </w:rPr>
            </w:pPr>
            <w:r>
              <w:rPr>
                <w:rFonts w:hint="default" w:ascii="Times New Roman" w:hAnsi="Times New Roman" w:cs="Times New Roman"/>
                <w:color w:val="000000" w:themeColor="text1"/>
                <w:spacing w:val="-8"/>
                <w:sz w:val="21"/>
                <w:szCs w:val="21"/>
                <w:highlight w:val="none"/>
                <w14:textFill>
                  <w14:solidFill>
                    <w14:schemeClr w14:val="tx1"/>
                  </w14:solidFill>
                </w14:textFill>
              </w:rPr>
              <w:t>防范措施</w:t>
            </w:r>
          </w:p>
        </w:tc>
        <w:tc>
          <w:tcPr>
            <w:tcW w:w="4276" w:type="pct"/>
            <w:gridSpan w:val="4"/>
            <w:vAlign w:val="center"/>
          </w:tcPr>
          <w:p w14:paraId="3ACFC778">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①废水处理站</w:t>
            </w:r>
            <w:r>
              <w:rPr>
                <w:rFonts w:hint="eastAsia"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危废贮存点</w:t>
            </w:r>
            <w:r>
              <w:rPr>
                <w:rFonts w:hint="default" w:ascii="Times New Roman" w:hAnsi="Times New Roman" w:cs="Times New Roman"/>
                <w:bCs/>
                <w:color w:val="000000" w:themeColor="text1"/>
                <w:sz w:val="21"/>
                <w:szCs w:val="21"/>
                <w:highlight w:val="none"/>
                <w14:textFill>
                  <w14:solidFill>
                    <w14:schemeClr w14:val="tx1"/>
                  </w14:solidFill>
                </w14:textFill>
              </w:rPr>
              <w:t>进行了重点防渗处理，防渗层的渗透系数≤10</w:t>
            </w:r>
            <w:r>
              <w:rPr>
                <w:rFonts w:hint="default" w:ascii="Times New Roman" w:hAnsi="Times New Roman" w:cs="Times New Roman"/>
                <w:bCs/>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bCs/>
                <w:color w:val="000000" w:themeColor="text1"/>
                <w:sz w:val="21"/>
                <w:szCs w:val="21"/>
                <w:highlight w:val="none"/>
                <w14:textFill>
                  <w14:solidFill>
                    <w14:schemeClr w14:val="tx1"/>
                  </w14:solidFill>
                </w14:textFill>
              </w:rPr>
              <w:t>cm/s；</w:t>
            </w:r>
          </w:p>
          <w:p w14:paraId="27FB938A">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②餐厨垃圾用密闭桶包装暂存，在食堂外设置暂存点，放置点地面做防渗处理，周围设置围堰；</w:t>
            </w:r>
          </w:p>
          <w:p w14:paraId="689C4B62">
            <w:pPr>
              <w:pStyle w:val="14"/>
              <w:keepNext w:val="0"/>
              <w:keepLines w:val="0"/>
              <w:pageBreakBefore w:val="0"/>
              <w:widowControl w:val="0"/>
              <w:tabs>
                <w:tab w:val="left" w:pos="540"/>
                <w:tab w:val="left" w:pos="1080"/>
                <w:tab w:val="left" w:pos="1800"/>
                <w:tab w:val="clear" w:pos="2087"/>
              </w:tabs>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③</w:t>
            </w: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危废贮存点</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应符合《危险废物贮存污染控制标准》（GB18597-20</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），满足</w:t>
            </w: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防风、防雨、防晒、防渗</w:t>
            </w: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、防</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漏</w:t>
            </w: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、防腐”</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要求。储存容器须完好无损，</w:t>
            </w: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危废贮存点</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地面采取基础防渗，液态物质储存区设置堵截泄漏的裙脚，不同种类危险废物采用专用容器分类存放，不能混合贮存。</w:t>
            </w:r>
          </w:p>
          <w:p w14:paraId="1D7BF4B3">
            <w:pPr>
              <w:pStyle w:val="14"/>
              <w:keepNext w:val="0"/>
              <w:keepLines w:val="0"/>
              <w:pageBreakBefore w:val="0"/>
              <w:widowControl w:val="0"/>
              <w:tabs>
                <w:tab w:val="left" w:pos="540"/>
                <w:tab w:val="left" w:pos="1080"/>
                <w:tab w:val="left" w:pos="1800"/>
                <w:tab w:val="clear" w:pos="2087"/>
              </w:tabs>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lang w:eastAsia="zh-CN"/>
                <w14:textFill>
                  <w14:solidFill>
                    <w14:schemeClr w14:val="tx1"/>
                  </w14:solidFill>
                </w14:textFill>
              </w:rPr>
              <w:t>④</w:t>
            </w:r>
            <w:r>
              <w:rPr>
                <w:rFonts w:hint="default" w:ascii="Times New Roman" w:hAnsi="Times New Roman" w:cs="Times New Roman"/>
                <w:bCs/>
                <w:color w:val="000000" w:themeColor="text1"/>
                <w:sz w:val="21"/>
                <w:szCs w:val="21"/>
                <w:highlight w:val="none"/>
                <w14:textFill>
                  <w14:solidFill>
                    <w14:schemeClr w14:val="tx1"/>
                  </w14:solidFill>
                </w14:textFill>
              </w:rPr>
              <w:t>加强对物料储存、使用的安全管理和检查，避免物料出现泄漏；</w:t>
            </w:r>
          </w:p>
          <w:p w14:paraId="60CD1837">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lang w:eastAsia="zh-CN"/>
                <w14:textFill>
                  <w14:solidFill>
                    <w14:schemeClr w14:val="tx1"/>
                  </w14:solidFill>
                </w14:textFill>
              </w:rPr>
              <w:t>⑤</w:t>
            </w:r>
            <w:r>
              <w:rPr>
                <w:rFonts w:hint="default" w:ascii="Times New Roman" w:hAnsi="Times New Roman" w:cs="Times New Roman"/>
                <w:bCs/>
                <w:color w:val="000000" w:themeColor="text1"/>
                <w:sz w:val="21"/>
                <w:szCs w:val="21"/>
                <w:highlight w:val="none"/>
                <w14:textFill>
                  <w14:solidFill>
                    <w14:schemeClr w14:val="tx1"/>
                  </w14:solidFill>
                </w14:textFill>
              </w:rPr>
              <w:t>落实安全检查制度，定期检查，排除火灾隐患；加强厂区消防检查和管理，在厂区按照消防要求设置灭火器材；</w:t>
            </w:r>
          </w:p>
          <w:p w14:paraId="0EA6EC62">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⑥</w:t>
            </w:r>
            <w:r>
              <w:rPr>
                <w:rFonts w:hint="default" w:ascii="Times New Roman" w:hAnsi="Times New Roman" w:cs="Times New Roman"/>
                <w:bCs/>
                <w:color w:val="000000" w:themeColor="text1"/>
                <w:sz w:val="21"/>
                <w:szCs w:val="21"/>
                <w:highlight w:val="none"/>
                <w14:textFill>
                  <w14:solidFill>
                    <w14:schemeClr w14:val="tx1"/>
                  </w14:solidFill>
                </w14:textFill>
              </w:rPr>
              <w:t>要加强对各岗位员工进行风险意识、风险知识、安全技能、规章制度、应变能力等素质等各方面的培训和教育。</w:t>
            </w:r>
          </w:p>
        </w:tc>
      </w:tr>
      <w:tr w14:paraId="7E819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723" w:type="pct"/>
            <w:vAlign w:val="center"/>
          </w:tcPr>
          <w:p w14:paraId="714ADF7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pacing w:val="-8"/>
                <w:sz w:val="21"/>
                <w:szCs w:val="21"/>
                <w:highlight w:val="none"/>
                <w14:textFill>
                  <w14:solidFill>
                    <w14:schemeClr w14:val="tx1"/>
                  </w14:solidFill>
                </w14:textFill>
              </w:rPr>
            </w:pPr>
            <w:r>
              <w:rPr>
                <w:rFonts w:hint="default" w:ascii="Times New Roman" w:hAnsi="Times New Roman" w:cs="Times New Roman"/>
                <w:color w:val="000000" w:themeColor="text1"/>
                <w:spacing w:val="-8"/>
                <w:sz w:val="21"/>
                <w:szCs w:val="21"/>
                <w:highlight w:val="none"/>
                <w14:textFill>
                  <w14:solidFill>
                    <w14:schemeClr w14:val="tx1"/>
                  </w14:solidFill>
                </w14:textFill>
              </w:rPr>
              <w:t>其他环境</w:t>
            </w:r>
          </w:p>
          <w:p w14:paraId="1004BB3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pacing w:val="-8"/>
                <w:sz w:val="21"/>
                <w:szCs w:val="21"/>
                <w:highlight w:val="none"/>
                <w14:textFill>
                  <w14:solidFill>
                    <w14:schemeClr w14:val="tx1"/>
                  </w14:solidFill>
                </w14:textFill>
              </w:rPr>
            </w:pPr>
            <w:r>
              <w:rPr>
                <w:rFonts w:hint="default" w:ascii="Times New Roman" w:hAnsi="Times New Roman" w:cs="Times New Roman"/>
                <w:color w:val="000000" w:themeColor="text1"/>
                <w:spacing w:val="-8"/>
                <w:sz w:val="21"/>
                <w:szCs w:val="21"/>
                <w:highlight w:val="none"/>
                <w14:textFill>
                  <w14:solidFill>
                    <w14:schemeClr w14:val="tx1"/>
                  </w14:solidFill>
                </w14:textFill>
              </w:rPr>
              <w:t>管理要求</w:t>
            </w:r>
          </w:p>
        </w:tc>
        <w:tc>
          <w:tcPr>
            <w:tcW w:w="4276" w:type="pct"/>
            <w:gridSpan w:val="4"/>
            <w:vAlign w:val="center"/>
          </w:tcPr>
          <w:p w14:paraId="7A33F1F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b w:val="0"/>
                <w:bCs w:val="0"/>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spacing w:val="0"/>
                <w:kern w:val="0"/>
                <w:sz w:val="21"/>
                <w:szCs w:val="21"/>
                <w:highlight w:val="none"/>
                <w14:textFill>
                  <w14:solidFill>
                    <w14:schemeClr w14:val="tx1"/>
                  </w14:solidFill>
                </w14:textFill>
              </w:rPr>
              <w:t>环境管理</w:t>
            </w:r>
          </w:p>
          <w:p w14:paraId="0D97FC7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为了执行国家有关环境保护的</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法律法规</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，做好本工程区域的环境保护工作，项目环境管理依托现有项目环保部门，负责组织、协调和监督工程区的环境保护工作，加强与环保部门的联系。</w:t>
            </w:r>
          </w:p>
          <w:p w14:paraId="08DB50C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（1）环境管理机构设置</w:t>
            </w:r>
          </w:p>
          <w:p w14:paraId="040553E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为加强工程的环境保护管理工作，根据工程性质确定运行期的环境管理任务。营运期配管理</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人员</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1人，统一负责厂区环境保护监督管理工作。</w:t>
            </w:r>
          </w:p>
          <w:p w14:paraId="113B38A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（2）环境管理职责</w:t>
            </w:r>
          </w:p>
          <w:p w14:paraId="4A7EED0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项目环保责任主体为项目建设单位，为加强厂区的环境保护管理工作，发挥环境保护管理机构的作用，其主要的职责为：</w:t>
            </w:r>
          </w:p>
          <w:p w14:paraId="7598254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①贯彻落实建设项目的</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三同时</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，切实按照设计要求予以实施，以确保环保设施的建设，使工程达到预期的效果。</w:t>
            </w:r>
          </w:p>
          <w:p w14:paraId="54B47C9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②加强对施工过程中噪声、固体废物、废水等管理。</w:t>
            </w:r>
          </w:p>
          <w:p w14:paraId="316606D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③建立完善的环境保护规章制度（岗位责任制度、操作规程、安全制度、绿化、卫生管理规程等）并实施，落实环境监测制度。</w:t>
            </w:r>
          </w:p>
          <w:p w14:paraId="316C51F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④对工程的各种运行设备、器具的正常工作进行监督管理，确保设备正常并高效运行。</w:t>
            </w:r>
          </w:p>
          <w:p w14:paraId="5945661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⑤根据污染物监测结果、设备运行指标等，做好统计工作，并建立环境档案库；编制环境保护年度计划和环境保护统计报表。</w:t>
            </w:r>
          </w:p>
          <w:p w14:paraId="027A8B0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⑥定期向环境监测单位和环境保护局报送有关数据（监测统计、设备运行指标等）。</w:t>
            </w:r>
          </w:p>
          <w:p w14:paraId="6BF189A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⑦搞好环境保护宣传和职工环保意识教育及技术培训等工作。</w:t>
            </w:r>
          </w:p>
          <w:p w14:paraId="1E0ECA7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⑧负责组织突发事故的应急处理和善后事宜，维护好公众的利益。</w:t>
            </w:r>
          </w:p>
          <w:p w14:paraId="351597C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⑨推广应用环境保护先进技术。</w:t>
            </w:r>
          </w:p>
          <w:p w14:paraId="69AD4DC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（3）环境信息公开</w:t>
            </w:r>
          </w:p>
          <w:p w14:paraId="6B43D04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根据《企业事业单位环境信息公开办法》（环境保护部令第31号），排污单位应当通过其网站、企业事业单位环境信息公开平台或者当地报刊等便于公众知晓的方式公开环境信息。</w:t>
            </w:r>
          </w:p>
          <w:p w14:paraId="1E9EEEB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排污口设置及规范化</w:t>
            </w:r>
          </w:p>
          <w:p w14:paraId="53D004D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排污口设置规范</w:t>
            </w:r>
          </w:p>
          <w:p w14:paraId="6BA5517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①噪声</w:t>
            </w:r>
          </w:p>
          <w:p w14:paraId="1A17AB27">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工业企业厂界噪声监测点应在法定厂界外1米，高度1.2米以上的噪声敏感</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点</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处。</w:t>
            </w:r>
          </w:p>
          <w:p w14:paraId="0E08DDEC">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固定噪声源厂界噪声敏感</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且</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对外界影响最大处设置该噪声源的监测点。</w:t>
            </w:r>
          </w:p>
          <w:p w14:paraId="39E464C8">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建筑施工噪声的测点，确定在施工场地的边界线上。</w:t>
            </w:r>
          </w:p>
          <w:p w14:paraId="78961C55">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噪声标志牌立于测点处。</w:t>
            </w:r>
          </w:p>
          <w:p w14:paraId="12D4566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②</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废气</w:t>
            </w:r>
          </w:p>
          <w:p w14:paraId="194822B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a</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）有组织排放的废气。对其排气筒数量、高度和</w:t>
            </w:r>
            <w:r>
              <w:rPr>
                <w:rFonts w:hint="eastAsia" w:cs="Times New Roman"/>
                <w:color w:val="000000" w:themeColor="text1"/>
                <w:spacing w:val="0"/>
                <w:kern w:val="0"/>
                <w:sz w:val="21"/>
                <w:szCs w:val="21"/>
                <w:highlight w:val="none"/>
                <w:lang w:eastAsia="zh-CN"/>
                <w14:textFill>
                  <w14:solidFill>
                    <w14:schemeClr w14:val="tx1"/>
                  </w14:solidFill>
                </w14:textFill>
              </w:rPr>
              <w:t>泄露</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情况进行整治，进行编号并设置标志。</w:t>
            </w:r>
          </w:p>
          <w:p w14:paraId="725ED86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b</w:t>
            </w: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排气筒应设置便于人工采样、监测的采样口，采样口的设置应符合《污染源监测技术规范》要求。根据《固定污染源排气中颗粒物测定与气态污染源采样方法》（GB/T16157-1996），废气排污口采样孔设置的位置应该是“距弯头、阀门、变径下游方向不小于6倍直径，上游方向不小于3倍直径”。如果是矩形烟道的，其当量直径D=2AB/（A+B），式中A、B为边长。采样口位置无法满足规范要求的，其位置由当地环境监测部门确认。采样口必须设置常备电源。</w:t>
            </w:r>
          </w:p>
          <w:p w14:paraId="22F95FC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eastAsia="zh-CN"/>
                <w14:textFill>
                  <w14:solidFill>
                    <w14:schemeClr w14:val="tx1"/>
                  </w14:solidFill>
                </w14:textFill>
              </w:rPr>
              <w:t>③</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固体废弃物</w:t>
            </w:r>
          </w:p>
          <w:p w14:paraId="5816013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企业应按照以下要求对固废暂存点进行完善：</w:t>
            </w:r>
          </w:p>
          <w:p w14:paraId="0C19C2FF">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一般固体废弃物应设置专用贮存、堆放场地。</w:t>
            </w:r>
          </w:p>
          <w:p w14:paraId="498A431A">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危险废物设置专用收集贮存装置、暂存场地。暂存间需防渗漏、防逸散、防流失等措施。</w:t>
            </w:r>
          </w:p>
          <w:p w14:paraId="15D093D5">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除综合利用外，固体废物的处置、贮存、堆放场应分别立标。标志牌立于边界线上。本项目一般固废堆放场和危险废物堆放场分别设1个标志牌。</w:t>
            </w:r>
          </w:p>
          <w:p w14:paraId="5FAEBC9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t>（</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t>）排污规范化管理</w:t>
            </w:r>
          </w:p>
          <w:p w14:paraId="363E243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①</w:t>
            </w:r>
            <w:r>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t>该项目投产后，企业应如实向环境管理部门申报排污口数量、位置及所排放的主要污染物（或产生公害）的种类、数量、浓度、排放去向等情况。</w:t>
            </w:r>
          </w:p>
          <w:p w14:paraId="616D45B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②</w:t>
            </w:r>
            <w:r>
              <w:rPr>
                <w:rFonts w:hint="default" w:ascii="Times New Roman" w:hAnsi="Times New Roman" w:cs="Times New Roman"/>
                <w:color w:val="000000" w:themeColor="text1"/>
                <w:kern w:val="0"/>
                <w:sz w:val="21"/>
                <w:szCs w:val="21"/>
                <w:highlight w:val="none"/>
                <w:lang w:val="zh-CN"/>
                <w14:textFill>
                  <w14:solidFill>
                    <w14:schemeClr w14:val="tx1"/>
                  </w14:solidFill>
                </w14:textFill>
              </w:rPr>
              <w:t>该项目的废水排放实现清污分流，雨水设置雨水排放口，污水设置污水排放口</w:t>
            </w:r>
            <w:r>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t>。</w:t>
            </w:r>
          </w:p>
          <w:p w14:paraId="2FD1B78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③</w:t>
            </w:r>
            <w:r>
              <w:rPr>
                <w:rFonts w:hint="default" w:ascii="Times New Roman" w:hAnsi="Times New Roman" w:cs="Times New Roman"/>
                <w:color w:val="000000" w:themeColor="text1"/>
                <w:spacing w:val="0"/>
                <w:kern w:val="0"/>
                <w:sz w:val="21"/>
                <w:szCs w:val="21"/>
                <w:highlight w:val="none"/>
                <w:lang w:val="zh-CN"/>
                <w14:textFill>
                  <w14:solidFill>
                    <w14:schemeClr w14:val="tx1"/>
                  </w14:solidFill>
                </w14:textFill>
              </w:rPr>
              <w:t>废气排气筒设置便于采样，附近设置环境保护标志。</w:t>
            </w:r>
          </w:p>
          <w:p w14:paraId="6D39B5D1">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bl>
    <w:p w14:paraId="64C1A8DE">
      <w:pPr>
        <w:ind w:firstLine="480"/>
        <w:jc w:val="center"/>
        <w:outlineLvl w:val="0"/>
        <w:rPr>
          <w:b/>
          <w:bCs/>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r>
        <w:rPr>
          <w:b/>
          <w:bCs/>
          <w:snapToGrid w:val="0"/>
          <w:color w:val="000000" w:themeColor="text1"/>
          <w:sz w:val="30"/>
          <w:szCs w:val="30"/>
          <w:highlight w:val="none"/>
          <w14:textFill>
            <w14:solidFill>
              <w14:schemeClr w14:val="tx1"/>
            </w14:solidFill>
          </w14:textFill>
        </w:rPr>
        <w:t>六、结论</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7FDDD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4683C3DF">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综上所述，本项目符合国家产业政策，符合工程所在区域产业发展规划；采取污染防治和控制措施后，外排污染物可达标排放，环境影响在可接受范围内，环境功能区质量能够满足相应标准要求。评价认为，只要建设单位严格执行</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三同时</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等环保制度，认真实施本环评提出的废气、废水、噪声、固体废物治理措施，落实各项环保投资，强化管理的前提下，从环保角度来看，建设项目环境影响可行。</w:t>
            </w:r>
          </w:p>
          <w:p w14:paraId="6DAEC69D">
            <w:pPr>
              <w:ind w:firstLine="480"/>
              <w:rPr>
                <w:snapToGrid w:val="0"/>
                <w:color w:val="000000" w:themeColor="text1"/>
                <w:highlight w:val="none"/>
                <w14:textFill>
                  <w14:solidFill>
                    <w14:schemeClr w14:val="tx1"/>
                  </w14:solidFill>
                </w14:textFill>
              </w:rPr>
            </w:pPr>
          </w:p>
          <w:p w14:paraId="579A1831">
            <w:pPr>
              <w:ind w:firstLine="480"/>
              <w:rPr>
                <w:snapToGrid w:val="0"/>
                <w:color w:val="000000" w:themeColor="text1"/>
                <w:highlight w:val="none"/>
                <w14:textFill>
                  <w14:solidFill>
                    <w14:schemeClr w14:val="tx1"/>
                  </w14:solidFill>
                </w14:textFill>
              </w:rPr>
            </w:pPr>
          </w:p>
          <w:p w14:paraId="67B1BE75">
            <w:pPr>
              <w:ind w:firstLine="480"/>
              <w:rPr>
                <w:color w:val="000000" w:themeColor="text1"/>
                <w:highlight w:val="none"/>
                <w14:textFill>
                  <w14:solidFill>
                    <w14:schemeClr w14:val="tx1"/>
                  </w14:solidFill>
                </w14:textFill>
              </w:rPr>
            </w:pPr>
          </w:p>
        </w:tc>
      </w:tr>
    </w:tbl>
    <w:p w14:paraId="5B54293D">
      <w:pPr>
        <w:ind w:firstLine="480"/>
        <w:rPr>
          <w:color w:val="000000" w:themeColor="text1"/>
          <w:highlight w:val="none"/>
          <w14:textFill>
            <w14:solidFill>
              <w14:schemeClr w14:val="tx1"/>
            </w14:solidFill>
          </w14:textFill>
        </w:rPr>
        <w:sectPr>
          <w:type w:val="continuous"/>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601BCE19">
      <w:pPr>
        <w:adjustRightInd w:val="0"/>
        <w:snapToGrid w:val="0"/>
        <w:spacing w:line="240" w:lineRule="auto"/>
        <w:ind w:firstLine="640"/>
        <w:outlineLvl w:val="0"/>
        <w:rPr>
          <w:snapToGrid w:val="0"/>
          <w:color w:val="000000" w:themeColor="text1"/>
          <w:sz w:val="32"/>
          <w:szCs w:val="32"/>
          <w:highlight w:val="none"/>
          <w14:textFill>
            <w14:solidFill>
              <w14:schemeClr w14:val="tx1"/>
            </w14:solidFill>
          </w14:textFill>
        </w:rPr>
      </w:pPr>
      <w:r>
        <w:rPr>
          <w:snapToGrid w:val="0"/>
          <w:color w:val="000000" w:themeColor="text1"/>
          <w:sz w:val="32"/>
          <w:szCs w:val="32"/>
          <w:highlight w:val="none"/>
          <w14:textFill>
            <w14:solidFill>
              <w14:schemeClr w14:val="tx1"/>
            </w14:solidFill>
          </w14:textFill>
        </w:rPr>
        <w:t>附表</w:t>
      </w:r>
    </w:p>
    <w:p w14:paraId="4F08B4ED">
      <w:pPr>
        <w:pStyle w:val="44"/>
        <w:spacing w:before="12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建设项目污染物排放量汇总表</w:t>
      </w:r>
    </w:p>
    <w:tbl>
      <w:tblPr>
        <w:tblStyle w:val="28"/>
        <w:tblpPr w:leftFromText="180" w:rightFromText="180" w:vertAnchor="text"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45"/>
        <w:gridCol w:w="1040"/>
      </w:tblGrid>
      <w:tr w14:paraId="69BA4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530D08CA">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项目</w:t>
            </w:r>
          </w:p>
          <w:p w14:paraId="198487FA">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分类</w:t>
            </w:r>
          </w:p>
        </w:tc>
        <w:tc>
          <w:tcPr>
            <w:tcW w:w="1417" w:type="dxa"/>
            <w:tcMar>
              <w:left w:w="28" w:type="dxa"/>
              <w:right w:w="28" w:type="dxa"/>
            </w:tcMar>
            <w:vAlign w:val="center"/>
          </w:tcPr>
          <w:p w14:paraId="637DCB2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污染物名称</w:t>
            </w:r>
          </w:p>
        </w:tc>
        <w:tc>
          <w:tcPr>
            <w:tcW w:w="1701" w:type="dxa"/>
            <w:tcMar>
              <w:left w:w="28" w:type="dxa"/>
              <w:right w:w="28" w:type="dxa"/>
            </w:tcMar>
            <w:vAlign w:val="center"/>
          </w:tcPr>
          <w:p w14:paraId="41BEF08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现有工程</w:t>
            </w:r>
          </w:p>
          <w:p w14:paraId="18E8C00F">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排放量（固体废物产生量）</w:t>
            </w:r>
            <w:r>
              <w:rPr>
                <w:snapToGrid w:val="0"/>
                <w:color w:val="000000" w:themeColor="text1"/>
                <w:highlight w:val="none"/>
                <w14:textFill>
                  <w14:solidFill>
                    <w14:schemeClr w14:val="tx1"/>
                  </w14:solidFill>
                </w14:textFill>
              </w:rPr>
              <w:fldChar w:fldCharType="begin"/>
            </w:r>
            <w:r>
              <w:rPr>
                <w:snapToGrid w:val="0"/>
                <w:color w:val="000000" w:themeColor="text1"/>
                <w:highlight w:val="none"/>
                <w14:textFill>
                  <w14:solidFill>
                    <w14:schemeClr w14:val="tx1"/>
                  </w14:solidFill>
                </w14:textFill>
              </w:rPr>
              <w:instrText xml:space="preserve"> = 1 \* GB3 \* MERGEFORMAT </w:instrText>
            </w:r>
            <w:r>
              <w:rPr>
                <w:snapToGrid w:val="0"/>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①</w:t>
            </w:r>
            <w:r>
              <w:rPr>
                <w:snapToGrid w:val="0"/>
                <w:color w:val="000000" w:themeColor="text1"/>
                <w:highlight w:val="none"/>
                <w14:textFill>
                  <w14:solidFill>
                    <w14:schemeClr w14:val="tx1"/>
                  </w14:solidFill>
                </w14:textFill>
              </w:rPr>
              <w:fldChar w:fldCharType="end"/>
            </w:r>
          </w:p>
        </w:tc>
        <w:tc>
          <w:tcPr>
            <w:tcW w:w="1276" w:type="dxa"/>
            <w:tcMar>
              <w:left w:w="28" w:type="dxa"/>
              <w:right w:w="28" w:type="dxa"/>
            </w:tcMar>
            <w:vAlign w:val="center"/>
          </w:tcPr>
          <w:p w14:paraId="4BCCC69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现有工程</w:t>
            </w:r>
          </w:p>
          <w:p w14:paraId="0DAA79B8">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许可排放量</w:t>
            </w:r>
          </w:p>
          <w:p w14:paraId="50113C7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fldChar w:fldCharType="begin"/>
            </w:r>
            <w:r>
              <w:rPr>
                <w:snapToGrid w:val="0"/>
                <w:color w:val="000000" w:themeColor="text1"/>
                <w:highlight w:val="none"/>
                <w14:textFill>
                  <w14:solidFill>
                    <w14:schemeClr w14:val="tx1"/>
                  </w14:solidFill>
                </w14:textFill>
              </w:rPr>
              <w:instrText xml:space="preserve"> = 2 \* GB3 \* MERGEFORMAT </w:instrText>
            </w:r>
            <w:r>
              <w:rPr>
                <w:snapToGrid w:val="0"/>
                <w:color w:val="000000" w:themeColor="text1"/>
                <w:highlight w:val="none"/>
                <w14:textFill>
                  <w14:solidFill>
                    <w14:schemeClr w14:val="tx1"/>
                  </w14:solidFill>
                </w14:textFill>
              </w:rPr>
              <w:fldChar w:fldCharType="separate"/>
            </w:r>
            <w:r>
              <w:rPr>
                <w:rFonts w:hint="eastAsia" w:ascii="宋体" w:hAnsi="宋体" w:cs="宋体"/>
                <w:snapToGrid w:val="0"/>
                <w:color w:val="000000" w:themeColor="text1"/>
                <w:highlight w:val="none"/>
                <w14:textFill>
                  <w14:solidFill>
                    <w14:schemeClr w14:val="tx1"/>
                  </w14:solidFill>
                </w14:textFill>
              </w:rPr>
              <w:t>②</w:t>
            </w:r>
            <w:r>
              <w:rPr>
                <w:snapToGrid w:val="0"/>
                <w:color w:val="000000" w:themeColor="text1"/>
                <w:highlight w:val="none"/>
                <w14:textFill>
                  <w14:solidFill>
                    <w14:schemeClr w14:val="tx1"/>
                  </w14:solidFill>
                </w14:textFill>
              </w:rPr>
              <w:fldChar w:fldCharType="end"/>
            </w:r>
          </w:p>
        </w:tc>
        <w:tc>
          <w:tcPr>
            <w:tcW w:w="1701" w:type="dxa"/>
            <w:tcMar>
              <w:left w:w="28" w:type="dxa"/>
              <w:right w:w="28" w:type="dxa"/>
            </w:tcMar>
            <w:vAlign w:val="center"/>
          </w:tcPr>
          <w:p w14:paraId="234443E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在建工程</w:t>
            </w:r>
          </w:p>
          <w:p w14:paraId="0470BDF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排放量（固体废物产生量）</w:t>
            </w:r>
            <w:r>
              <w:rPr>
                <w:snapToGrid w:val="0"/>
                <w:color w:val="000000" w:themeColor="text1"/>
                <w:highlight w:val="none"/>
                <w14:textFill>
                  <w14:solidFill>
                    <w14:schemeClr w14:val="tx1"/>
                  </w14:solidFill>
                </w14:textFill>
              </w:rPr>
              <w:fldChar w:fldCharType="begin"/>
            </w:r>
            <w:r>
              <w:rPr>
                <w:snapToGrid w:val="0"/>
                <w:color w:val="000000" w:themeColor="text1"/>
                <w:highlight w:val="none"/>
                <w14:textFill>
                  <w14:solidFill>
                    <w14:schemeClr w14:val="tx1"/>
                  </w14:solidFill>
                </w14:textFill>
              </w:rPr>
              <w:instrText xml:space="preserve"> = 3 \* GB3 \* MERGEFORMAT </w:instrText>
            </w:r>
            <w:r>
              <w:rPr>
                <w:snapToGrid w:val="0"/>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③</w:t>
            </w:r>
            <w:r>
              <w:rPr>
                <w:snapToGrid w:val="0"/>
                <w:color w:val="000000" w:themeColor="text1"/>
                <w:highlight w:val="none"/>
                <w14:textFill>
                  <w14:solidFill>
                    <w14:schemeClr w14:val="tx1"/>
                  </w14:solidFill>
                </w14:textFill>
              </w:rPr>
              <w:fldChar w:fldCharType="end"/>
            </w:r>
          </w:p>
        </w:tc>
        <w:tc>
          <w:tcPr>
            <w:tcW w:w="1559" w:type="dxa"/>
            <w:tcMar>
              <w:left w:w="28" w:type="dxa"/>
              <w:right w:w="28" w:type="dxa"/>
            </w:tcMar>
            <w:vAlign w:val="center"/>
          </w:tcPr>
          <w:p w14:paraId="1AF9097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本项目</w:t>
            </w:r>
          </w:p>
          <w:p w14:paraId="552B1E2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排放量（固体废物产生量）</w:t>
            </w:r>
            <w:r>
              <w:rPr>
                <w:snapToGrid w:val="0"/>
                <w:color w:val="000000" w:themeColor="text1"/>
                <w:highlight w:val="none"/>
                <w14:textFill>
                  <w14:solidFill>
                    <w14:schemeClr w14:val="tx1"/>
                  </w14:solidFill>
                </w14:textFill>
              </w:rPr>
              <w:fldChar w:fldCharType="begin"/>
            </w:r>
            <w:r>
              <w:rPr>
                <w:snapToGrid w:val="0"/>
                <w:color w:val="000000" w:themeColor="text1"/>
                <w:highlight w:val="none"/>
                <w14:textFill>
                  <w14:solidFill>
                    <w14:schemeClr w14:val="tx1"/>
                  </w14:solidFill>
                </w14:textFill>
              </w:rPr>
              <w:instrText xml:space="preserve"> = 4 \* GB3 \* MERGEFORMAT </w:instrText>
            </w:r>
            <w:r>
              <w:rPr>
                <w:snapToGrid w:val="0"/>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④</w:t>
            </w:r>
            <w:r>
              <w:rPr>
                <w:snapToGrid w:val="0"/>
                <w:color w:val="000000" w:themeColor="text1"/>
                <w:highlight w:val="none"/>
                <w14:textFill>
                  <w14:solidFill>
                    <w14:schemeClr w14:val="tx1"/>
                  </w14:solidFill>
                </w14:textFill>
              </w:rPr>
              <w:fldChar w:fldCharType="end"/>
            </w:r>
          </w:p>
        </w:tc>
        <w:tc>
          <w:tcPr>
            <w:tcW w:w="1761" w:type="dxa"/>
            <w:tcMar>
              <w:left w:w="28" w:type="dxa"/>
              <w:right w:w="28" w:type="dxa"/>
            </w:tcMar>
            <w:vAlign w:val="center"/>
          </w:tcPr>
          <w:p w14:paraId="31FAC22E">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spacing w:val="-16"/>
                <w:highlight w:val="none"/>
                <w14:textFill>
                  <w14:solidFill>
                    <w14:schemeClr w14:val="tx1"/>
                  </w14:solidFill>
                </w14:textFill>
              </w:rPr>
            </w:pPr>
            <w:r>
              <w:rPr>
                <w:snapToGrid w:val="0"/>
                <w:color w:val="000000" w:themeColor="text1"/>
                <w:spacing w:val="-16"/>
                <w:highlight w:val="none"/>
                <w14:textFill>
                  <w14:solidFill>
                    <w14:schemeClr w14:val="tx1"/>
                  </w14:solidFill>
                </w14:textFill>
              </w:rPr>
              <w:t>以新带老削减量</w:t>
            </w:r>
          </w:p>
          <w:p w14:paraId="2D3151EA">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spacing w:val="-16"/>
                <w:highlight w:val="none"/>
                <w14:textFill>
                  <w14:solidFill>
                    <w14:schemeClr w14:val="tx1"/>
                  </w14:solidFill>
                </w14:textFill>
              </w:rPr>
            </w:pPr>
            <w:r>
              <w:rPr>
                <w:snapToGrid w:val="0"/>
                <w:color w:val="000000" w:themeColor="text1"/>
                <w:spacing w:val="-16"/>
                <w:highlight w:val="none"/>
                <w14:textFill>
                  <w14:solidFill>
                    <w14:schemeClr w14:val="tx1"/>
                  </w14:solidFill>
                </w14:textFill>
              </w:rPr>
              <w:t>（新建项目不填）</w:t>
            </w:r>
            <w:r>
              <w:rPr>
                <w:snapToGrid w:val="0"/>
                <w:color w:val="000000" w:themeColor="text1"/>
                <w:spacing w:val="-16"/>
                <w:highlight w:val="none"/>
                <w14:textFill>
                  <w14:solidFill>
                    <w14:schemeClr w14:val="tx1"/>
                  </w14:solidFill>
                </w14:textFill>
              </w:rPr>
              <w:fldChar w:fldCharType="begin"/>
            </w:r>
            <w:r>
              <w:rPr>
                <w:snapToGrid w:val="0"/>
                <w:color w:val="000000" w:themeColor="text1"/>
                <w:spacing w:val="-16"/>
                <w:highlight w:val="none"/>
                <w14:textFill>
                  <w14:solidFill>
                    <w14:schemeClr w14:val="tx1"/>
                  </w14:solidFill>
                </w14:textFill>
              </w:rPr>
              <w:instrText xml:space="preserve"> = 5 \* GB3 \* MERGEFORMAT </w:instrText>
            </w:r>
            <w:r>
              <w:rPr>
                <w:snapToGrid w:val="0"/>
                <w:color w:val="000000" w:themeColor="text1"/>
                <w:spacing w:val="-16"/>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⑤</w:t>
            </w:r>
            <w:r>
              <w:rPr>
                <w:snapToGrid w:val="0"/>
                <w:color w:val="000000" w:themeColor="text1"/>
                <w:spacing w:val="-16"/>
                <w:highlight w:val="none"/>
                <w14:textFill>
                  <w14:solidFill>
                    <w14:schemeClr w14:val="tx1"/>
                  </w14:solidFill>
                </w14:textFill>
              </w:rPr>
              <w:fldChar w:fldCharType="end"/>
            </w:r>
          </w:p>
        </w:tc>
        <w:tc>
          <w:tcPr>
            <w:tcW w:w="1745" w:type="dxa"/>
            <w:tcMar>
              <w:left w:w="28" w:type="dxa"/>
              <w:right w:w="28" w:type="dxa"/>
            </w:tcMar>
            <w:vAlign w:val="center"/>
          </w:tcPr>
          <w:p w14:paraId="721F0B8E">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spacing w:val="-16"/>
                <w:highlight w:val="none"/>
                <w14:textFill>
                  <w14:solidFill>
                    <w14:schemeClr w14:val="tx1"/>
                  </w14:solidFill>
                </w14:textFill>
              </w:rPr>
            </w:pPr>
            <w:r>
              <w:rPr>
                <w:snapToGrid w:val="0"/>
                <w:color w:val="000000" w:themeColor="text1"/>
                <w:spacing w:val="-16"/>
                <w:highlight w:val="none"/>
                <w14:textFill>
                  <w14:solidFill>
                    <w14:schemeClr w14:val="tx1"/>
                  </w14:solidFill>
                </w14:textFill>
              </w:rPr>
              <w:t>本项目建成后</w:t>
            </w:r>
          </w:p>
          <w:p w14:paraId="470F59DC">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spacing w:val="-16"/>
                <w:highlight w:val="none"/>
                <w14:textFill>
                  <w14:solidFill>
                    <w14:schemeClr w14:val="tx1"/>
                  </w14:solidFill>
                </w14:textFill>
              </w:rPr>
            </w:pPr>
            <w:r>
              <w:rPr>
                <w:snapToGrid w:val="0"/>
                <w:color w:val="000000" w:themeColor="text1"/>
                <w:spacing w:val="-16"/>
                <w:highlight w:val="none"/>
                <w14:textFill>
                  <w14:solidFill>
                    <w14:schemeClr w14:val="tx1"/>
                  </w14:solidFill>
                </w14:textFill>
              </w:rPr>
              <w:t>全厂排放量（固体废物产生量）</w:t>
            </w:r>
            <w:r>
              <w:rPr>
                <w:snapToGrid w:val="0"/>
                <w:color w:val="000000" w:themeColor="text1"/>
                <w:spacing w:val="-16"/>
                <w:highlight w:val="none"/>
                <w14:textFill>
                  <w14:solidFill>
                    <w14:schemeClr w14:val="tx1"/>
                  </w14:solidFill>
                </w14:textFill>
              </w:rPr>
              <w:fldChar w:fldCharType="begin"/>
            </w:r>
            <w:r>
              <w:rPr>
                <w:snapToGrid w:val="0"/>
                <w:color w:val="000000" w:themeColor="text1"/>
                <w:spacing w:val="-16"/>
                <w:highlight w:val="none"/>
                <w14:textFill>
                  <w14:solidFill>
                    <w14:schemeClr w14:val="tx1"/>
                  </w14:solidFill>
                </w14:textFill>
              </w:rPr>
              <w:instrText xml:space="preserve"> = 6 \* GB3 \* MERGEFORMAT </w:instrText>
            </w:r>
            <w:r>
              <w:rPr>
                <w:snapToGrid w:val="0"/>
                <w:color w:val="000000" w:themeColor="text1"/>
                <w:spacing w:val="-16"/>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⑥</w:t>
            </w:r>
            <w:r>
              <w:rPr>
                <w:snapToGrid w:val="0"/>
                <w:color w:val="000000" w:themeColor="text1"/>
                <w:spacing w:val="-16"/>
                <w:highlight w:val="none"/>
                <w14:textFill>
                  <w14:solidFill>
                    <w14:schemeClr w14:val="tx1"/>
                  </w14:solidFill>
                </w14:textFill>
              </w:rPr>
              <w:fldChar w:fldCharType="end"/>
            </w:r>
          </w:p>
        </w:tc>
        <w:tc>
          <w:tcPr>
            <w:tcW w:w="1040" w:type="dxa"/>
            <w:tcMar>
              <w:left w:w="28" w:type="dxa"/>
              <w:right w:w="28" w:type="dxa"/>
            </w:tcMar>
            <w:vAlign w:val="center"/>
          </w:tcPr>
          <w:p w14:paraId="212227A7">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变化量</w:t>
            </w:r>
          </w:p>
          <w:p w14:paraId="0973511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fldChar w:fldCharType="begin"/>
            </w:r>
            <w:r>
              <w:rPr>
                <w:snapToGrid w:val="0"/>
                <w:color w:val="000000" w:themeColor="text1"/>
                <w:highlight w:val="none"/>
                <w14:textFill>
                  <w14:solidFill>
                    <w14:schemeClr w14:val="tx1"/>
                  </w14:solidFill>
                </w14:textFill>
              </w:rPr>
              <w:instrText xml:space="preserve"> = 7 \* GB3 \* MERGEFORMAT </w:instrText>
            </w:r>
            <w:r>
              <w:rPr>
                <w:snapToGrid w:val="0"/>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⑦</w:t>
            </w:r>
            <w:r>
              <w:rPr>
                <w:snapToGrid w:val="0"/>
                <w:color w:val="000000" w:themeColor="text1"/>
                <w:highlight w:val="none"/>
                <w14:textFill>
                  <w14:solidFill>
                    <w14:schemeClr w14:val="tx1"/>
                  </w14:solidFill>
                </w14:textFill>
              </w:rPr>
              <w:fldChar w:fldCharType="end"/>
            </w:r>
          </w:p>
        </w:tc>
      </w:tr>
      <w:tr w14:paraId="25A1E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6B1B00E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废气</w:t>
            </w:r>
          </w:p>
        </w:tc>
        <w:tc>
          <w:tcPr>
            <w:tcW w:w="1417" w:type="dxa"/>
            <w:vAlign w:val="center"/>
          </w:tcPr>
          <w:p w14:paraId="31738EF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SO</w:t>
            </w:r>
            <w:r>
              <w:rPr>
                <w:rFonts w:hint="eastAsia"/>
                <w:color w:val="000000" w:themeColor="text1"/>
                <w:kern w:val="0"/>
                <w:szCs w:val="21"/>
                <w:highlight w:val="none"/>
                <w:vertAlign w:val="subscript"/>
                <w14:textFill>
                  <w14:solidFill>
                    <w14:schemeClr w14:val="tx1"/>
                  </w14:solidFill>
                </w14:textFill>
              </w:rPr>
              <w:t>2</w:t>
            </w:r>
          </w:p>
        </w:tc>
        <w:tc>
          <w:tcPr>
            <w:tcW w:w="1701" w:type="dxa"/>
            <w:vAlign w:val="center"/>
          </w:tcPr>
          <w:p w14:paraId="1A962AD8">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6F75669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3AF646CC">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vAlign w:val="center"/>
          </w:tcPr>
          <w:p w14:paraId="2C16E4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napToGrid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c>
          <w:tcPr>
            <w:tcW w:w="1761" w:type="dxa"/>
            <w:vAlign w:val="center"/>
          </w:tcPr>
          <w:p w14:paraId="5CE1093E">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6AD0E3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c>
          <w:tcPr>
            <w:tcW w:w="1040" w:type="dxa"/>
            <w:shd w:val="clear" w:color="auto" w:fill="auto"/>
            <w:vAlign w:val="center"/>
          </w:tcPr>
          <w:p w14:paraId="5EAD36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r>
      <w:tr w14:paraId="7928D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9826BFE">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588802CF">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NO</w:t>
            </w:r>
            <w:r>
              <w:rPr>
                <w:rFonts w:hint="eastAsia"/>
                <w:color w:val="000000" w:themeColor="text1"/>
                <w:kern w:val="0"/>
                <w:szCs w:val="21"/>
                <w:highlight w:val="none"/>
                <w:vertAlign w:val="subscript"/>
                <w14:textFill>
                  <w14:solidFill>
                    <w14:schemeClr w14:val="tx1"/>
                  </w14:solidFill>
                </w14:textFill>
              </w:rPr>
              <w:t>x</w:t>
            </w:r>
          </w:p>
        </w:tc>
        <w:tc>
          <w:tcPr>
            <w:tcW w:w="1701" w:type="dxa"/>
            <w:vAlign w:val="center"/>
          </w:tcPr>
          <w:p w14:paraId="268D893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276" w:type="dxa"/>
            <w:vAlign w:val="center"/>
          </w:tcPr>
          <w:p w14:paraId="7F557CA7">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01" w:type="dxa"/>
            <w:vAlign w:val="center"/>
          </w:tcPr>
          <w:p w14:paraId="070F104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559" w:type="dxa"/>
            <w:vAlign w:val="center"/>
          </w:tcPr>
          <w:p w14:paraId="368E76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napToGrid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c>
          <w:tcPr>
            <w:tcW w:w="1761" w:type="dxa"/>
            <w:vAlign w:val="center"/>
          </w:tcPr>
          <w:p w14:paraId="65488DA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45" w:type="dxa"/>
            <w:shd w:val="clear" w:color="auto" w:fill="auto"/>
            <w:vAlign w:val="center"/>
          </w:tcPr>
          <w:p w14:paraId="6E23BB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c>
          <w:tcPr>
            <w:tcW w:w="1040" w:type="dxa"/>
            <w:shd w:val="clear" w:color="auto" w:fill="auto"/>
            <w:vAlign w:val="center"/>
          </w:tcPr>
          <w:p w14:paraId="6637AB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0.072</w:t>
            </w:r>
          </w:p>
        </w:tc>
      </w:tr>
      <w:tr w14:paraId="5B24C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A9362D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4FF8553C">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颗粒物</w:t>
            </w:r>
          </w:p>
        </w:tc>
        <w:tc>
          <w:tcPr>
            <w:tcW w:w="1701" w:type="dxa"/>
            <w:vAlign w:val="center"/>
          </w:tcPr>
          <w:p w14:paraId="2DE16708">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276" w:type="dxa"/>
            <w:vAlign w:val="center"/>
          </w:tcPr>
          <w:p w14:paraId="31CD2638">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01" w:type="dxa"/>
            <w:vAlign w:val="center"/>
          </w:tcPr>
          <w:p w14:paraId="62B10E2C">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559" w:type="dxa"/>
            <w:vAlign w:val="center"/>
          </w:tcPr>
          <w:p w14:paraId="766500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snapToGrid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c>
          <w:tcPr>
            <w:tcW w:w="1761" w:type="dxa"/>
            <w:vAlign w:val="center"/>
          </w:tcPr>
          <w:p w14:paraId="4B3AE17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5CC775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c>
          <w:tcPr>
            <w:tcW w:w="1040" w:type="dxa"/>
            <w:shd w:val="clear" w:color="auto" w:fill="auto"/>
            <w:vAlign w:val="center"/>
          </w:tcPr>
          <w:p w14:paraId="44F33F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0.217</w:t>
            </w:r>
          </w:p>
        </w:tc>
      </w:tr>
      <w:tr w14:paraId="138C3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0D0215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76B2D0C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非甲烷总烃</w:t>
            </w:r>
          </w:p>
        </w:tc>
        <w:tc>
          <w:tcPr>
            <w:tcW w:w="1701" w:type="dxa"/>
            <w:vAlign w:val="center"/>
          </w:tcPr>
          <w:p w14:paraId="2C2DE403">
            <w:pPr>
              <w:pStyle w:val="45"/>
              <w:keepNext w:val="0"/>
              <w:keepLines w:val="0"/>
              <w:pageBreakBefore w:val="0"/>
              <w:kinsoku/>
              <w:wordWrap/>
              <w:overflowPunct/>
              <w:topLinePunct w:val="0"/>
              <w:autoSpaceDE/>
              <w:autoSpaceDN/>
              <w:bidi w:val="0"/>
              <w:spacing w:line="240" w:lineRule="auto"/>
              <w:ind w:firstLine="0" w:firstLineChars="0"/>
              <w:jc w:val="center"/>
              <w:rPr>
                <w:rFonts w:hint="eastAsia"/>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7062CE48">
            <w:pPr>
              <w:pStyle w:val="45"/>
              <w:keepNext w:val="0"/>
              <w:keepLines w:val="0"/>
              <w:pageBreakBefore w:val="0"/>
              <w:kinsoku/>
              <w:wordWrap/>
              <w:overflowPunct/>
              <w:topLinePunct w:val="0"/>
              <w:autoSpaceDE/>
              <w:autoSpaceDN/>
              <w:bidi w:val="0"/>
              <w:spacing w:line="240" w:lineRule="auto"/>
              <w:ind w:firstLine="0" w:firstLineChars="0"/>
              <w:jc w:val="center"/>
              <w:rPr>
                <w:rFonts w:hint="eastAsia"/>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5631D9F0">
            <w:pPr>
              <w:pStyle w:val="45"/>
              <w:keepNext w:val="0"/>
              <w:keepLines w:val="0"/>
              <w:pageBreakBefore w:val="0"/>
              <w:kinsoku/>
              <w:wordWrap/>
              <w:overflowPunct/>
              <w:topLinePunct w:val="0"/>
              <w:autoSpaceDE/>
              <w:autoSpaceDN/>
              <w:bidi w:val="0"/>
              <w:spacing w:line="240" w:lineRule="auto"/>
              <w:ind w:firstLine="0" w:firstLineChars="0"/>
              <w:jc w:val="center"/>
              <w:rPr>
                <w:rFonts w:hint="eastAsia"/>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2D019E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18</w:t>
            </w:r>
          </w:p>
        </w:tc>
        <w:tc>
          <w:tcPr>
            <w:tcW w:w="1761" w:type="dxa"/>
            <w:vAlign w:val="center"/>
          </w:tcPr>
          <w:p w14:paraId="30543294">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1DA430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18</w:t>
            </w:r>
          </w:p>
        </w:tc>
        <w:tc>
          <w:tcPr>
            <w:tcW w:w="1040" w:type="dxa"/>
            <w:shd w:val="clear" w:color="auto" w:fill="auto"/>
            <w:vAlign w:val="center"/>
          </w:tcPr>
          <w:p w14:paraId="5AA8EF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18</w:t>
            </w:r>
          </w:p>
        </w:tc>
      </w:tr>
      <w:tr w14:paraId="067BB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9DF9FF6">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4A0148F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油烟</w:t>
            </w:r>
          </w:p>
        </w:tc>
        <w:tc>
          <w:tcPr>
            <w:tcW w:w="1701" w:type="dxa"/>
            <w:vAlign w:val="center"/>
          </w:tcPr>
          <w:p w14:paraId="7C34661B">
            <w:pPr>
              <w:pStyle w:val="45"/>
              <w:keepNext w:val="0"/>
              <w:keepLines w:val="0"/>
              <w:pageBreakBefore w:val="0"/>
              <w:kinsoku/>
              <w:wordWrap/>
              <w:overflowPunct/>
              <w:topLinePunct w:val="0"/>
              <w:autoSpaceDE/>
              <w:autoSpaceDN/>
              <w:bidi w:val="0"/>
              <w:spacing w:line="240" w:lineRule="auto"/>
              <w:ind w:firstLine="0" w:firstLineChars="0"/>
              <w:jc w:val="center"/>
              <w:rPr>
                <w:rFonts w:hint="eastAsia"/>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276" w:type="dxa"/>
            <w:vAlign w:val="center"/>
          </w:tcPr>
          <w:p w14:paraId="08C5229C">
            <w:pPr>
              <w:pStyle w:val="45"/>
              <w:keepNext w:val="0"/>
              <w:keepLines w:val="0"/>
              <w:pageBreakBefore w:val="0"/>
              <w:kinsoku/>
              <w:wordWrap/>
              <w:overflowPunct/>
              <w:topLinePunct w:val="0"/>
              <w:autoSpaceDE/>
              <w:autoSpaceDN/>
              <w:bidi w:val="0"/>
              <w:spacing w:line="240" w:lineRule="auto"/>
              <w:ind w:firstLine="0" w:firstLineChars="0"/>
              <w:jc w:val="center"/>
              <w:rPr>
                <w:rFonts w:hint="eastAsia"/>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01" w:type="dxa"/>
            <w:vAlign w:val="center"/>
          </w:tcPr>
          <w:p w14:paraId="42B6C1C5">
            <w:pPr>
              <w:pStyle w:val="45"/>
              <w:keepNext w:val="0"/>
              <w:keepLines w:val="0"/>
              <w:pageBreakBefore w:val="0"/>
              <w:kinsoku/>
              <w:wordWrap/>
              <w:overflowPunct/>
              <w:topLinePunct w:val="0"/>
              <w:autoSpaceDE/>
              <w:autoSpaceDN/>
              <w:bidi w:val="0"/>
              <w:spacing w:line="240" w:lineRule="auto"/>
              <w:ind w:firstLine="0" w:firstLineChars="0"/>
              <w:jc w:val="center"/>
              <w:rPr>
                <w:rFonts w:hint="eastAsia"/>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559" w:type="dxa"/>
            <w:shd w:val="clear" w:color="auto" w:fill="auto"/>
            <w:vAlign w:val="center"/>
          </w:tcPr>
          <w:p w14:paraId="6CBB92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0036</w:t>
            </w:r>
          </w:p>
        </w:tc>
        <w:tc>
          <w:tcPr>
            <w:tcW w:w="1761" w:type="dxa"/>
            <w:vAlign w:val="center"/>
          </w:tcPr>
          <w:p w14:paraId="11A870A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45" w:type="dxa"/>
            <w:shd w:val="clear" w:color="auto" w:fill="auto"/>
            <w:vAlign w:val="center"/>
          </w:tcPr>
          <w:p w14:paraId="564855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0036</w:t>
            </w:r>
          </w:p>
        </w:tc>
        <w:tc>
          <w:tcPr>
            <w:tcW w:w="1040" w:type="dxa"/>
            <w:shd w:val="clear" w:color="auto" w:fill="auto"/>
            <w:vAlign w:val="center"/>
          </w:tcPr>
          <w:p w14:paraId="108AA9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0036</w:t>
            </w:r>
          </w:p>
        </w:tc>
      </w:tr>
      <w:tr w14:paraId="090EE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1D9E5B3C">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废水</w:t>
            </w:r>
          </w:p>
        </w:tc>
        <w:tc>
          <w:tcPr>
            <w:tcW w:w="1417" w:type="dxa"/>
            <w:vAlign w:val="center"/>
          </w:tcPr>
          <w:p w14:paraId="462C1B13">
            <w:pPr>
              <w:pStyle w:val="45"/>
              <w:keepNext w:val="0"/>
              <w:keepLines w:val="0"/>
              <w:pageBreakBefore w:val="0"/>
              <w:kinsoku/>
              <w:wordWrap/>
              <w:overflowPunct/>
              <w:topLinePunct w:val="0"/>
              <w:autoSpaceDE/>
              <w:autoSpaceDN/>
              <w:bidi w:val="0"/>
              <w:spacing w:line="240" w:lineRule="auto"/>
              <w:ind w:firstLine="0" w:firstLineChars="0"/>
              <w:jc w:val="cente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COD</w:t>
            </w:r>
          </w:p>
        </w:tc>
        <w:tc>
          <w:tcPr>
            <w:tcW w:w="1701" w:type="dxa"/>
            <w:vAlign w:val="center"/>
          </w:tcPr>
          <w:p w14:paraId="740F1ED1">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3400C0A8">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0BBB10BA">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vAlign w:val="center"/>
          </w:tcPr>
          <w:p w14:paraId="4B7C6F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lang w:val="zh-CN"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3.62 </w:t>
            </w:r>
          </w:p>
        </w:tc>
        <w:tc>
          <w:tcPr>
            <w:tcW w:w="1761" w:type="dxa"/>
            <w:vAlign w:val="center"/>
          </w:tcPr>
          <w:p w14:paraId="5BB628EA">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345E10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3.62 </w:t>
            </w:r>
          </w:p>
        </w:tc>
        <w:tc>
          <w:tcPr>
            <w:tcW w:w="1040" w:type="dxa"/>
            <w:shd w:val="clear" w:color="auto" w:fill="auto"/>
            <w:vAlign w:val="center"/>
          </w:tcPr>
          <w:p w14:paraId="44BA5A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 xml:space="preserve">3.62 </w:t>
            </w:r>
          </w:p>
        </w:tc>
      </w:tr>
      <w:tr w14:paraId="50FDE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5ADBDA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40A71F41">
            <w:pPr>
              <w:pStyle w:val="45"/>
              <w:keepNext w:val="0"/>
              <w:keepLines w:val="0"/>
              <w:pageBreakBefore w:val="0"/>
              <w:kinsoku/>
              <w:wordWrap/>
              <w:overflowPunct/>
              <w:topLinePunct w:val="0"/>
              <w:autoSpaceDE/>
              <w:autoSpaceDN/>
              <w:bidi w:val="0"/>
              <w:spacing w:line="240" w:lineRule="auto"/>
              <w:ind w:firstLine="0" w:firstLineChars="0"/>
              <w:jc w:val="cente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BOD</w:t>
            </w:r>
            <w:r>
              <w:rPr>
                <w:color w:val="000000" w:themeColor="text1"/>
                <w:highlight w:val="none"/>
                <w:vertAlign w:val="subscript"/>
                <w:lang w:val="zh-CN"/>
                <w14:textFill>
                  <w14:solidFill>
                    <w14:schemeClr w14:val="tx1"/>
                  </w14:solidFill>
                </w14:textFill>
              </w:rPr>
              <w:t>5</w:t>
            </w:r>
          </w:p>
        </w:tc>
        <w:tc>
          <w:tcPr>
            <w:tcW w:w="1701" w:type="dxa"/>
            <w:vAlign w:val="center"/>
          </w:tcPr>
          <w:p w14:paraId="461542A1">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6A6F0280">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4B617FD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vAlign w:val="center"/>
          </w:tcPr>
          <w:p w14:paraId="53DC2B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lang w:val="zh-CN"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1.20 </w:t>
            </w:r>
          </w:p>
        </w:tc>
        <w:tc>
          <w:tcPr>
            <w:tcW w:w="1761" w:type="dxa"/>
            <w:vAlign w:val="center"/>
          </w:tcPr>
          <w:p w14:paraId="46F0726C">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6F0D29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1.20 </w:t>
            </w:r>
          </w:p>
        </w:tc>
        <w:tc>
          <w:tcPr>
            <w:tcW w:w="1040" w:type="dxa"/>
            <w:shd w:val="clear" w:color="auto" w:fill="auto"/>
            <w:vAlign w:val="center"/>
          </w:tcPr>
          <w:p w14:paraId="4DF59C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 xml:space="preserve">1.20 </w:t>
            </w:r>
          </w:p>
        </w:tc>
      </w:tr>
      <w:tr w14:paraId="73483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64DC5AE">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231E5281">
            <w:pPr>
              <w:pStyle w:val="45"/>
              <w:keepNext w:val="0"/>
              <w:keepLines w:val="0"/>
              <w:pageBreakBefore w:val="0"/>
              <w:kinsoku/>
              <w:wordWrap/>
              <w:overflowPunct/>
              <w:topLinePunct w:val="0"/>
              <w:autoSpaceDE/>
              <w:autoSpaceDN/>
              <w:bidi w:val="0"/>
              <w:spacing w:line="240" w:lineRule="auto"/>
              <w:ind w:firstLine="0" w:firstLineChars="0"/>
              <w:jc w:val="cente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SS</w:t>
            </w:r>
          </w:p>
        </w:tc>
        <w:tc>
          <w:tcPr>
            <w:tcW w:w="1701" w:type="dxa"/>
            <w:vAlign w:val="center"/>
          </w:tcPr>
          <w:p w14:paraId="4E4ED81C">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79B4F891">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1A0C2EA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vAlign w:val="center"/>
          </w:tcPr>
          <w:p w14:paraId="59B882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lang w:val="zh-CN"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1.21 </w:t>
            </w:r>
          </w:p>
        </w:tc>
        <w:tc>
          <w:tcPr>
            <w:tcW w:w="1761" w:type="dxa"/>
            <w:vAlign w:val="center"/>
          </w:tcPr>
          <w:p w14:paraId="4C9EB7B6">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0A9728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1.21 </w:t>
            </w:r>
          </w:p>
        </w:tc>
        <w:tc>
          <w:tcPr>
            <w:tcW w:w="1040" w:type="dxa"/>
            <w:shd w:val="clear" w:color="auto" w:fill="auto"/>
            <w:vAlign w:val="center"/>
          </w:tcPr>
          <w:p w14:paraId="6285A7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 xml:space="preserve">1.21 </w:t>
            </w:r>
          </w:p>
        </w:tc>
      </w:tr>
      <w:tr w14:paraId="7BEA9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83EADF6">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6DA24FD8">
            <w:pPr>
              <w:pStyle w:val="45"/>
              <w:keepNext w:val="0"/>
              <w:keepLines w:val="0"/>
              <w:pageBreakBefore w:val="0"/>
              <w:kinsoku/>
              <w:wordWrap/>
              <w:overflowPunct/>
              <w:topLinePunct w:val="0"/>
              <w:autoSpaceDE/>
              <w:autoSpaceDN/>
              <w:bidi w:val="0"/>
              <w:spacing w:line="240" w:lineRule="auto"/>
              <w:ind w:firstLine="0" w:firstLineChars="0"/>
              <w:jc w:val="cente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NH</w:t>
            </w:r>
            <w:r>
              <w:rPr>
                <w:color w:val="000000" w:themeColor="text1"/>
                <w:highlight w:val="none"/>
                <w:vertAlign w:val="subscript"/>
                <w:lang w:val="zh-CN"/>
                <w14:textFill>
                  <w14:solidFill>
                    <w14:schemeClr w14:val="tx1"/>
                  </w14:solidFill>
                </w14:textFill>
              </w:rPr>
              <w:t>3</w:t>
            </w:r>
            <w:r>
              <w:rPr>
                <w:color w:val="000000" w:themeColor="text1"/>
                <w:highlight w:val="none"/>
                <w:lang w:val="zh-CN"/>
                <w14:textFill>
                  <w14:solidFill>
                    <w14:schemeClr w14:val="tx1"/>
                  </w14:solidFill>
                </w14:textFill>
              </w:rPr>
              <w:t>-N</w:t>
            </w:r>
          </w:p>
        </w:tc>
        <w:tc>
          <w:tcPr>
            <w:tcW w:w="1701" w:type="dxa"/>
            <w:vAlign w:val="center"/>
          </w:tcPr>
          <w:p w14:paraId="08F2C664">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68310D0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389423E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vAlign w:val="center"/>
          </w:tcPr>
          <w:p w14:paraId="4E649B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lang w:val="zh-CN"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0.48 </w:t>
            </w:r>
          </w:p>
        </w:tc>
        <w:tc>
          <w:tcPr>
            <w:tcW w:w="1761" w:type="dxa"/>
            <w:vAlign w:val="center"/>
          </w:tcPr>
          <w:p w14:paraId="60DEBA0C">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13491F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0.48 </w:t>
            </w:r>
          </w:p>
        </w:tc>
        <w:tc>
          <w:tcPr>
            <w:tcW w:w="1040" w:type="dxa"/>
            <w:shd w:val="clear" w:color="auto" w:fill="auto"/>
            <w:vAlign w:val="center"/>
          </w:tcPr>
          <w:p w14:paraId="727590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 xml:space="preserve">0.48 </w:t>
            </w:r>
          </w:p>
        </w:tc>
      </w:tr>
      <w:tr w14:paraId="48FA5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8A6D90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5AC2A957">
            <w:pPr>
              <w:pStyle w:val="45"/>
              <w:keepNext w:val="0"/>
              <w:keepLines w:val="0"/>
              <w:pageBreakBefore w:val="0"/>
              <w:kinsoku/>
              <w:wordWrap/>
              <w:overflowPunct/>
              <w:topLinePunct w:val="0"/>
              <w:autoSpaceDE/>
              <w:autoSpaceDN/>
              <w:bidi w:val="0"/>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动植物油</w:t>
            </w:r>
          </w:p>
        </w:tc>
        <w:tc>
          <w:tcPr>
            <w:tcW w:w="1701" w:type="dxa"/>
            <w:vAlign w:val="center"/>
          </w:tcPr>
          <w:p w14:paraId="0E7C3E01">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0DD145B4">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581BE86D">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vAlign w:val="center"/>
          </w:tcPr>
          <w:p w14:paraId="3425E9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lang w:val="zh-CN"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0.16 </w:t>
            </w:r>
          </w:p>
        </w:tc>
        <w:tc>
          <w:tcPr>
            <w:tcW w:w="1761" w:type="dxa"/>
            <w:vAlign w:val="center"/>
          </w:tcPr>
          <w:p w14:paraId="0E45E96D">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1FC900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0.16 </w:t>
            </w:r>
          </w:p>
        </w:tc>
        <w:tc>
          <w:tcPr>
            <w:tcW w:w="1040" w:type="dxa"/>
            <w:shd w:val="clear" w:color="auto" w:fill="auto"/>
            <w:vAlign w:val="center"/>
          </w:tcPr>
          <w:p w14:paraId="36D137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 xml:space="preserve">0.16 </w:t>
            </w:r>
          </w:p>
        </w:tc>
      </w:tr>
      <w:tr w14:paraId="5DD06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8FE7B2F">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20EF75B7">
            <w:pPr>
              <w:pStyle w:val="45"/>
              <w:keepNext w:val="0"/>
              <w:keepLines w:val="0"/>
              <w:pageBreakBefore w:val="0"/>
              <w:kinsoku/>
              <w:wordWrap/>
              <w:overflowPunct/>
              <w:topLinePunct w:val="0"/>
              <w:autoSpaceDE/>
              <w:autoSpaceDN/>
              <w:bidi w:val="0"/>
              <w:spacing w:line="240" w:lineRule="auto"/>
              <w:ind w:firstLine="0" w:firstLineChars="0"/>
              <w:jc w:val="cente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TN</w:t>
            </w:r>
          </w:p>
        </w:tc>
        <w:tc>
          <w:tcPr>
            <w:tcW w:w="1701" w:type="dxa"/>
            <w:vAlign w:val="center"/>
          </w:tcPr>
          <w:p w14:paraId="3437A3A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276" w:type="dxa"/>
            <w:vAlign w:val="center"/>
          </w:tcPr>
          <w:p w14:paraId="7D72E3B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01" w:type="dxa"/>
            <w:vAlign w:val="center"/>
          </w:tcPr>
          <w:p w14:paraId="14708007">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559" w:type="dxa"/>
            <w:vAlign w:val="center"/>
          </w:tcPr>
          <w:p w14:paraId="0C8A34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lang w:val="zh-CN"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0.05 </w:t>
            </w:r>
          </w:p>
        </w:tc>
        <w:tc>
          <w:tcPr>
            <w:tcW w:w="1761" w:type="dxa"/>
            <w:vAlign w:val="center"/>
          </w:tcPr>
          <w:p w14:paraId="0E6643C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45" w:type="dxa"/>
            <w:shd w:val="clear" w:color="auto" w:fill="auto"/>
            <w:vAlign w:val="center"/>
          </w:tcPr>
          <w:p w14:paraId="6C001B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0.05 </w:t>
            </w:r>
          </w:p>
        </w:tc>
        <w:tc>
          <w:tcPr>
            <w:tcW w:w="1040" w:type="dxa"/>
            <w:shd w:val="clear" w:color="auto" w:fill="auto"/>
            <w:vAlign w:val="center"/>
          </w:tcPr>
          <w:p w14:paraId="685288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 xml:space="preserve">0.05 </w:t>
            </w:r>
          </w:p>
        </w:tc>
      </w:tr>
      <w:tr w14:paraId="422FF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3F945F7">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42D6ACEC">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zh-CN" w:eastAsia="zh-CN" w:bidi="ar-SA"/>
                <w14:textFill>
                  <w14:solidFill>
                    <w14:schemeClr w14:val="tx1"/>
                  </w14:solidFill>
                </w14:textFill>
              </w:rPr>
            </w:pPr>
            <w:r>
              <w:rPr>
                <w:rFonts w:hint="eastAsia"/>
                <w:color w:val="000000" w:themeColor="text1"/>
                <w:highlight w:val="none"/>
                <w:lang w:val="zh-CN"/>
                <w14:textFill>
                  <w14:solidFill>
                    <w14:schemeClr w14:val="tx1"/>
                  </w14:solidFill>
                </w14:textFill>
              </w:rPr>
              <w:t>TP</w:t>
            </w:r>
          </w:p>
        </w:tc>
        <w:tc>
          <w:tcPr>
            <w:tcW w:w="1701" w:type="dxa"/>
            <w:shd w:val="clear" w:color="auto" w:fill="auto"/>
            <w:vAlign w:val="center"/>
          </w:tcPr>
          <w:p w14:paraId="7978CDEE">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276" w:type="dxa"/>
            <w:shd w:val="clear" w:color="auto" w:fill="auto"/>
            <w:vAlign w:val="center"/>
          </w:tcPr>
          <w:p w14:paraId="782C4899">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01" w:type="dxa"/>
            <w:shd w:val="clear" w:color="auto" w:fill="auto"/>
            <w:vAlign w:val="center"/>
          </w:tcPr>
          <w:p w14:paraId="0AF2EE42">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559" w:type="dxa"/>
            <w:shd w:val="clear" w:color="auto" w:fill="auto"/>
            <w:vAlign w:val="center"/>
          </w:tcPr>
          <w:p w14:paraId="07F0C7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0.94 </w:t>
            </w:r>
          </w:p>
        </w:tc>
        <w:tc>
          <w:tcPr>
            <w:tcW w:w="1761" w:type="dxa"/>
            <w:shd w:val="clear" w:color="auto" w:fill="auto"/>
            <w:vAlign w:val="center"/>
          </w:tcPr>
          <w:p w14:paraId="413E808F">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45" w:type="dxa"/>
            <w:shd w:val="clear" w:color="auto" w:fill="auto"/>
            <w:vAlign w:val="center"/>
          </w:tcPr>
          <w:p w14:paraId="2741A4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0.94 </w:t>
            </w:r>
          </w:p>
        </w:tc>
        <w:tc>
          <w:tcPr>
            <w:tcW w:w="1040" w:type="dxa"/>
            <w:shd w:val="clear" w:color="auto" w:fill="auto"/>
            <w:vAlign w:val="center"/>
          </w:tcPr>
          <w:p w14:paraId="092A5B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 xml:space="preserve">0.94 </w:t>
            </w:r>
          </w:p>
        </w:tc>
      </w:tr>
      <w:tr w14:paraId="49A4D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62AFE6F">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vAlign w:val="center"/>
          </w:tcPr>
          <w:p w14:paraId="2A6DF882">
            <w:pPr>
              <w:pStyle w:val="45"/>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LAS</w:t>
            </w:r>
          </w:p>
        </w:tc>
        <w:tc>
          <w:tcPr>
            <w:tcW w:w="1701" w:type="dxa"/>
            <w:vAlign w:val="center"/>
          </w:tcPr>
          <w:p w14:paraId="0680BE14">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276" w:type="dxa"/>
            <w:vAlign w:val="center"/>
          </w:tcPr>
          <w:p w14:paraId="594D716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01" w:type="dxa"/>
            <w:vAlign w:val="center"/>
          </w:tcPr>
          <w:p w14:paraId="5E9A6E56">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559" w:type="dxa"/>
            <w:vAlign w:val="center"/>
          </w:tcPr>
          <w:p w14:paraId="0E3A08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0.007 </w:t>
            </w:r>
          </w:p>
        </w:tc>
        <w:tc>
          <w:tcPr>
            <w:tcW w:w="1761" w:type="dxa"/>
            <w:vAlign w:val="center"/>
          </w:tcPr>
          <w:p w14:paraId="2F40E3ED">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w:t>
            </w:r>
          </w:p>
        </w:tc>
        <w:tc>
          <w:tcPr>
            <w:tcW w:w="1745" w:type="dxa"/>
            <w:shd w:val="clear" w:color="auto" w:fill="auto"/>
            <w:vAlign w:val="center"/>
          </w:tcPr>
          <w:p w14:paraId="3216BE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 xml:space="preserve">0.007 </w:t>
            </w:r>
          </w:p>
        </w:tc>
        <w:tc>
          <w:tcPr>
            <w:tcW w:w="1040" w:type="dxa"/>
            <w:shd w:val="clear" w:color="auto" w:fill="auto"/>
            <w:vAlign w:val="center"/>
          </w:tcPr>
          <w:p w14:paraId="5B24A9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 xml:space="preserve">0.007 </w:t>
            </w:r>
          </w:p>
        </w:tc>
      </w:tr>
      <w:tr w14:paraId="6DB2E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6727375B">
            <w:pPr>
              <w:pStyle w:val="45"/>
              <w:keepNext w:val="0"/>
              <w:keepLines w:val="0"/>
              <w:pageBreakBefore w:val="0"/>
              <w:tabs>
                <w:tab w:val="left" w:pos="253"/>
                <w:tab w:val="center" w:pos="746"/>
              </w:tabs>
              <w:kinsoku/>
              <w:wordWrap/>
              <w:overflowPunct/>
              <w:topLinePunct w:val="0"/>
              <w:autoSpaceDE/>
              <w:autoSpaceDN/>
              <w:bidi w:val="0"/>
              <w:spacing w:line="240" w:lineRule="auto"/>
              <w:ind w:firstLine="0" w:firstLineChars="0"/>
              <w:jc w:val="left"/>
              <w:rPr>
                <w:snapToGrid w:val="0"/>
                <w:color w:val="000000" w:themeColor="text1"/>
                <w:highlight w:val="none"/>
                <w14:textFill>
                  <w14:solidFill>
                    <w14:schemeClr w14:val="tx1"/>
                  </w14:solidFill>
                </w14:textFill>
              </w:rPr>
            </w:pPr>
            <w:r>
              <w:rPr>
                <w:rFonts w:hint="eastAsia"/>
                <w:snapToGrid w:val="0"/>
                <w:color w:val="000000" w:themeColor="text1"/>
                <w:highlight w:val="none"/>
                <w:lang w:eastAsia="zh-CN"/>
                <w14:textFill>
                  <w14:solidFill>
                    <w14:schemeClr w14:val="tx1"/>
                  </w14:solidFill>
                </w14:textFill>
              </w:rPr>
              <w:tab/>
            </w:r>
            <w:r>
              <w:rPr>
                <w:snapToGrid w:val="0"/>
                <w:color w:val="000000" w:themeColor="text1"/>
                <w:highlight w:val="none"/>
                <w14:textFill>
                  <w14:solidFill>
                    <w14:schemeClr w14:val="tx1"/>
                  </w14:solidFill>
                </w14:textFill>
              </w:rPr>
              <w:t>一般工业</w:t>
            </w:r>
          </w:p>
          <w:p w14:paraId="3C7AB88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固体废物</w:t>
            </w:r>
          </w:p>
        </w:tc>
        <w:tc>
          <w:tcPr>
            <w:tcW w:w="1417" w:type="dxa"/>
            <w:shd w:val="clear" w:color="auto" w:fill="auto"/>
            <w:vAlign w:val="center"/>
          </w:tcPr>
          <w:p w14:paraId="7B206E28">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原料</w:t>
            </w:r>
            <w:r>
              <w:rPr>
                <w:rFonts w:hint="eastAsia"/>
                <w:color w:val="000000" w:themeColor="text1"/>
                <w:sz w:val="21"/>
                <w:szCs w:val="21"/>
                <w:highlight w:val="none"/>
                <w14:textFill>
                  <w14:solidFill>
                    <w14:schemeClr w14:val="tx1"/>
                  </w14:solidFill>
                </w14:textFill>
              </w:rPr>
              <w:t>边角料</w:t>
            </w:r>
          </w:p>
        </w:tc>
        <w:tc>
          <w:tcPr>
            <w:tcW w:w="1701" w:type="dxa"/>
            <w:vAlign w:val="center"/>
          </w:tcPr>
          <w:p w14:paraId="50BC390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7844BAF4">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719685B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75A125DC">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1761" w:type="dxa"/>
            <w:vAlign w:val="center"/>
          </w:tcPr>
          <w:p w14:paraId="7706CA0A">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636D4DC8">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1040" w:type="dxa"/>
            <w:shd w:val="clear" w:color="auto" w:fill="auto"/>
            <w:vAlign w:val="center"/>
          </w:tcPr>
          <w:p w14:paraId="58C5C503">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r>
      <w:tr w14:paraId="0B277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A8E1CC8">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4D380F30">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食材边角料</w:t>
            </w:r>
          </w:p>
        </w:tc>
        <w:tc>
          <w:tcPr>
            <w:tcW w:w="1701" w:type="dxa"/>
            <w:vAlign w:val="center"/>
          </w:tcPr>
          <w:p w14:paraId="027463A0">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76DC71D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06B0E376">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348FD6DA">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761" w:type="dxa"/>
            <w:vAlign w:val="center"/>
          </w:tcPr>
          <w:p w14:paraId="7D484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7CD166FF">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040" w:type="dxa"/>
            <w:shd w:val="clear" w:color="auto" w:fill="auto"/>
            <w:vAlign w:val="center"/>
          </w:tcPr>
          <w:p w14:paraId="7242BD40">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r>
      <w:tr w14:paraId="71A3B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767FDB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4B665148">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废包装材料</w:t>
            </w:r>
          </w:p>
        </w:tc>
        <w:tc>
          <w:tcPr>
            <w:tcW w:w="1701" w:type="dxa"/>
            <w:vAlign w:val="center"/>
          </w:tcPr>
          <w:p w14:paraId="4C1CE4B4">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4465B23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0D0ABBA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57847025">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761" w:type="dxa"/>
            <w:vAlign w:val="center"/>
          </w:tcPr>
          <w:p w14:paraId="66603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166B3247">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040" w:type="dxa"/>
            <w:shd w:val="clear" w:color="auto" w:fill="auto"/>
            <w:vAlign w:val="center"/>
          </w:tcPr>
          <w:p w14:paraId="01E40A99">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463F3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476862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3C906194">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不合格产品</w:t>
            </w:r>
          </w:p>
        </w:tc>
        <w:tc>
          <w:tcPr>
            <w:tcW w:w="1701" w:type="dxa"/>
            <w:vAlign w:val="center"/>
          </w:tcPr>
          <w:p w14:paraId="1CD6F100">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7075133E">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74733324">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5E3D228E">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c>
          <w:tcPr>
            <w:tcW w:w="1761" w:type="dxa"/>
            <w:vAlign w:val="center"/>
          </w:tcPr>
          <w:p w14:paraId="07CD27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5CCF4861">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c>
          <w:tcPr>
            <w:tcW w:w="1040" w:type="dxa"/>
            <w:shd w:val="clear" w:color="auto" w:fill="auto"/>
            <w:vAlign w:val="center"/>
          </w:tcPr>
          <w:p w14:paraId="5BF82B79">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r>
      <w:tr w14:paraId="09054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D2C0E3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4011210E">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生活垃圾</w:t>
            </w:r>
          </w:p>
        </w:tc>
        <w:tc>
          <w:tcPr>
            <w:tcW w:w="1701" w:type="dxa"/>
            <w:vAlign w:val="center"/>
          </w:tcPr>
          <w:p w14:paraId="54E9E86A">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4548843D">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08C488F8">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4E1E99CC">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w:t>
            </w:r>
          </w:p>
        </w:tc>
        <w:tc>
          <w:tcPr>
            <w:tcW w:w="1761" w:type="dxa"/>
            <w:vAlign w:val="center"/>
          </w:tcPr>
          <w:p w14:paraId="1B2A5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3C574269">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w:t>
            </w:r>
          </w:p>
        </w:tc>
        <w:tc>
          <w:tcPr>
            <w:tcW w:w="1040" w:type="dxa"/>
            <w:shd w:val="clear" w:color="auto" w:fill="auto"/>
            <w:vAlign w:val="center"/>
          </w:tcPr>
          <w:p w14:paraId="77FE89FB">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w:t>
            </w:r>
          </w:p>
        </w:tc>
      </w:tr>
      <w:tr w14:paraId="5D7F4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8334A06">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51D156E9">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餐厨垃圾</w:t>
            </w:r>
          </w:p>
        </w:tc>
        <w:tc>
          <w:tcPr>
            <w:tcW w:w="1701" w:type="dxa"/>
            <w:vAlign w:val="center"/>
          </w:tcPr>
          <w:p w14:paraId="2C99C85D">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1056A70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14EAFCF4">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4FF101B1">
            <w:pPr>
              <w:pStyle w:val="45"/>
              <w:keepNext w:val="0"/>
              <w:keepLines w:val="0"/>
              <w:pageBreakBefore w:val="0"/>
              <w:kinsoku/>
              <w:wordWrap/>
              <w:overflowPunct/>
              <w:topLinePunct w:val="0"/>
              <w:autoSpaceDE/>
              <w:autoSpaceDN/>
              <w:bidi w:val="0"/>
              <w:spacing w:line="240" w:lineRule="auto"/>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w:t>
            </w:r>
          </w:p>
        </w:tc>
        <w:tc>
          <w:tcPr>
            <w:tcW w:w="1761" w:type="dxa"/>
            <w:shd w:val="clear" w:color="auto" w:fill="auto"/>
            <w:vAlign w:val="center"/>
          </w:tcPr>
          <w:p w14:paraId="6C58CCE7">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0D235E77">
            <w:pPr>
              <w:pStyle w:val="4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w:t>
            </w:r>
          </w:p>
        </w:tc>
        <w:tc>
          <w:tcPr>
            <w:tcW w:w="1040" w:type="dxa"/>
            <w:shd w:val="clear" w:color="auto" w:fill="auto"/>
            <w:vAlign w:val="center"/>
          </w:tcPr>
          <w:p w14:paraId="7A6AD7F5">
            <w:pPr>
              <w:pStyle w:val="4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w:t>
            </w:r>
          </w:p>
        </w:tc>
      </w:tr>
      <w:tr w14:paraId="7D215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6B963C1">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493632D9">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污泥</w:t>
            </w:r>
          </w:p>
        </w:tc>
        <w:tc>
          <w:tcPr>
            <w:tcW w:w="1701" w:type="dxa"/>
            <w:vAlign w:val="center"/>
          </w:tcPr>
          <w:p w14:paraId="1484C24D">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0C55599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0EE38B4E">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331DA490">
            <w:pPr>
              <w:pStyle w:val="45"/>
              <w:keepNext w:val="0"/>
              <w:keepLines w:val="0"/>
              <w:pageBreakBefore w:val="0"/>
              <w:kinsoku/>
              <w:wordWrap/>
              <w:overflowPunct/>
              <w:topLinePunct w:val="0"/>
              <w:autoSpaceDE/>
              <w:autoSpaceDN/>
              <w:bidi w:val="0"/>
              <w:spacing w:line="240" w:lineRule="auto"/>
              <w:ind w:firstLine="0" w:firstLine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0</w:t>
            </w:r>
          </w:p>
        </w:tc>
        <w:tc>
          <w:tcPr>
            <w:tcW w:w="1761" w:type="dxa"/>
            <w:vAlign w:val="center"/>
          </w:tcPr>
          <w:p w14:paraId="2F7D682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0613C424">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0</w:t>
            </w:r>
          </w:p>
        </w:tc>
        <w:tc>
          <w:tcPr>
            <w:tcW w:w="1040" w:type="dxa"/>
            <w:shd w:val="clear" w:color="auto" w:fill="auto"/>
            <w:vAlign w:val="center"/>
          </w:tcPr>
          <w:p w14:paraId="221E356A">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0</w:t>
            </w:r>
          </w:p>
        </w:tc>
      </w:tr>
      <w:tr w14:paraId="48466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3328B8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04A4A129">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抽</w:t>
            </w:r>
            <w:r>
              <w:rPr>
                <w:rFonts w:hint="eastAsia" w:cs="Times New Roman"/>
                <w:bCs/>
                <w:color w:val="000000" w:themeColor="text1"/>
                <w:szCs w:val="21"/>
                <w:highlight w:val="none"/>
                <w:lang w:val="en-US" w:eastAsia="zh-CN"/>
                <w14:textFill>
                  <w14:solidFill>
                    <w14:schemeClr w14:val="tx1"/>
                  </w14:solidFill>
                </w14:textFill>
              </w:rPr>
              <w:t>检</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样品</w:t>
            </w:r>
          </w:p>
        </w:tc>
        <w:tc>
          <w:tcPr>
            <w:tcW w:w="1701" w:type="dxa"/>
            <w:vAlign w:val="center"/>
          </w:tcPr>
          <w:p w14:paraId="464269BB">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708FA48A">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1120D75F">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583379D3">
            <w:pPr>
              <w:pStyle w:val="45"/>
              <w:keepNext w:val="0"/>
              <w:keepLines w:val="0"/>
              <w:pageBreakBefore w:val="0"/>
              <w:kinsoku/>
              <w:wordWrap/>
              <w:overflowPunct/>
              <w:topLinePunct w:val="0"/>
              <w:autoSpaceDE/>
              <w:autoSpaceDN/>
              <w:bidi w:val="0"/>
              <w:spacing w:line="240" w:lineRule="auto"/>
              <w:ind w:firstLine="0" w:firstLine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1761" w:type="dxa"/>
            <w:vAlign w:val="center"/>
          </w:tcPr>
          <w:p w14:paraId="33FDF2C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051AE95B">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1040" w:type="dxa"/>
            <w:shd w:val="clear" w:color="auto" w:fill="auto"/>
            <w:vAlign w:val="center"/>
          </w:tcPr>
          <w:p w14:paraId="37E6FE3E">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r>
      <w:tr w14:paraId="58691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D539285">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0E65CEFF">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废离子交换树脂</w:t>
            </w:r>
          </w:p>
        </w:tc>
        <w:tc>
          <w:tcPr>
            <w:tcW w:w="1701" w:type="dxa"/>
            <w:vAlign w:val="center"/>
          </w:tcPr>
          <w:p w14:paraId="021BDEE1">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44964A1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2E225ED1">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24E5D607">
            <w:pPr>
              <w:pStyle w:val="45"/>
              <w:keepNext w:val="0"/>
              <w:keepLines w:val="0"/>
              <w:pageBreakBefore w:val="0"/>
              <w:kinsoku/>
              <w:wordWrap/>
              <w:overflowPunct/>
              <w:topLinePunct w:val="0"/>
              <w:autoSpaceDE/>
              <w:autoSpaceDN/>
              <w:bidi w:val="0"/>
              <w:spacing w:line="240" w:lineRule="auto"/>
              <w:ind w:firstLine="0" w:firstLineChars="0"/>
              <w:jc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0.2</w:t>
            </w:r>
          </w:p>
        </w:tc>
        <w:tc>
          <w:tcPr>
            <w:tcW w:w="1761" w:type="dxa"/>
            <w:vAlign w:val="center"/>
          </w:tcPr>
          <w:p w14:paraId="1E45BDAE">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33AF1C1C">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0.2</w:t>
            </w:r>
          </w:p>
        </w:tc>
        <w:tc>
          <w:tcPr>
            <w:tcW w:w="1040" w:type="dxa"/>
            <w:shd w:val="clear" w:color="auto" w:fill="auto"/>
            <w:vAlign w:val="center"/>
          </w:tcPr>
          <w:p w14:paraId="4AB3C238">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0.2</w:t>
            </w:r>
          </w:p>
        </w:tc>
      </w:tr>
      <w:tr w14:paraId="7674C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10C5542">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4E0324D9">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废过滤材料</w:t>
            </w:r>
          </w:p>
        </w:tc>
        <w:tc>
          <w:tcPr>
            <w:tcW w:w="1701" w:type="dxa"/>
            <w:vAlign w:val="center"/>
          </w:tcPr>
          <w:p w14:paraId="03551A93">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3773D67D">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4E53F4E1">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2DEF20BA">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0.2</w:t>
            </w:r>
          </w:p>
        </w:tc>
        <w:tc>
          <w:tcPr>
            <w:tcW w:w="1761" w:type="dxa"/>
            <w:vAlign w:val="center"/>
          </w:tcPr>
          <w:p w14:paraId="1BAA4985">
            <w:pPr>
              <w:pStyle w:val="45"/>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snapToGrid w:val="0"/>
                <w:color w:val="000000" w:themeColor="text1"/>
                <w:kern w:val="2"/>
                <w:sz w:val="21"/>
                <w:szCs w:val="24"/>
                <w:highlight w:val="none"/>
                <w:lang w:val="en-US" w:eastAsia="zh-CN" w:bidi="ar-SA"/>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65A8E545">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0.2</w:t>
            </w:r>
          </w:p>
        </w:tc>
        <w:tc>
          <w:tcPr>
            <w:tcW w:w="1040" w:type="dxa"/>
            <w:shd w:val="clear" w:color="auto" w:fill="auto"/>
            <w:vAlign w:val="center"/>
          </w:tcPr>
          <w:p w14:paraId="5C9A1915">
            <w:pPr>
              <w:pStyle w:val="4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+0.2</w:t>
            </w:r>
          </w:p>
        </w:tc>
      </w:tr>
      <w:tr w14:paraId="5B000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5590A73">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3B948081">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废紫外线灯管</w:t>
            </w:r>
          </w:p>
        </w:tc>
        <w:tc>
          <w:tcPr>
            <w:tcW w:w="1701" w:type="dxa"/>
            <w:vAlign w:val="center"/>
          </w:tcPr>
          <w:p w14:paraId="14F30E48">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656F6C26">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5EED54D0">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1AA97D83">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0.1</w:t>
            </w:r>
          </w:p>
        </w:tc>
        <w:tc>
          <w:tcPr>
            <w:tcW w:w="1761" w:type="dxa"/>
            <w:vAlign w:val="center"/>
          </w:tcPr>
          <w:p w14:paraId="5F4ADAD9">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22FB6C6C">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0.1</w:t>
            </w:r>
          </w:p>
        </w:tc>
        <w:tc>
          <w:tcPr>
            <w:tcW w:w="1040" w:type="dxa"/>
            <w:shd w:val="clear" w:color="auto" w:fill="auto"/>
            <w:vAlign w:val="center"/>
          </w:tcPr>
          <w:p w14:paraId="1524DF78">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+0.1</w:t>
            </w:r>
          </w:p>
        </w:tc>
      </w:tr>
      <w:tr w14:paraId="46373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F5C4829">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30621335">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润滑</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油</w:t>
            </w:r>
          </w:p>
        </w:tc>
        <w:tc>
          <w:tcPr>
            <w:tcW w:w="1701" w:type="dxa"/>
            <w:vAlign w:val="center"/>
          </w:tcPr>
          <w:p w14:paraId="777C6954">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023D28F7">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50B230CE">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10474188">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0.02</w:t>
            </w:r>
          </w:p>
        </w:tc>
        <w:tc>
          <w:tcPr>
            <w:tcW w:w="1761" w:type="dxa"/>
            <w:vAlign w:val="center"/>
          </w:tcPr>
          <w:p w14:paraId="5A6E3A97">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4BDA9484">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0.02</w:t>
            </w:r>
          </w:p>
        </w:tc>
        <w:tc>
          <w:tcPr>
            <w:tcW w:w="1040" w:type="dxa"/>
            <w:shd w:val="clear" w:color="auto" w:fill="auto"/>
            <w:vAlign w:val="center"/>
          </w:tcPr>
          <w:p w14:paraId="67352BB5">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+0.02</w:t>
            </w:r>
          </w:p>
        </w:tc>
      </w:tr>
      <w:tr w14:paraId="37785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FF0A240">
            <w:pPr>
              <w:pStyle w:val="45"/>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p>
        </w:tc>
        <w:tc>
          <w:tcPr>
            <w:tcW w:w="1417" w:type="dxa"/>
            <w:shd w:val="clear" w:color="auto" w:fill="auto"/>
            <w:vAlign w:val="center"/>
          </w:tcPr>
          <w:p w14:paraId="557EA4BB">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废含油棉纱手套</w:t>
            </w:r>
          </w:p>
        </w:tc>
        <w:tc>
          <w:tcPr>
            <w:tcW w:w="1701" w:type="dxa"/>
            <w:vAlign w:val="center"/>
          </w:tcPr>
          <w:p w14:paraId="0F5F80E1">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276" w:type="dxa"/>
            <w:vAlign w:val="center"/>
          </w:tcPr>
          <w:p w14:paraId="231DBDD2">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01" w:type="dxa"/>
            <w:vAlign w:val="center"/>
          </w:tcPr>
          <w:p w14:paraId="1FCEDB55">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559" w:type="dxa"/>
            <w:shd w:val="clear" w:color="auto" w:fill="auto"/>
            <w:vAlign w:val="center"/>
          </w:tcPr>
          <w:p w14:paraId="46F6EE59">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0.02</w:t>
            </w:r>
          </w:p>
        </w:tc>
        <w:tc>
          <w:tcPr>
            <w:tcW w:w="1761" w:type="dxa"/>
            <w:vAlign w:val="center"/>
          </w:tcPr>
          <w:p w14:paraId="185A9668">
            <w:pPr>
              <w:keepNext w:val="0"/>
              <w:keepLines w:val="0"/>
              <w:pageBreakBefore w:val="0"/>
              <w:kinsoku/>
              <w:wordWrap/>
              <w:overflowPunct/>
              <w:topLinePunct w:val="0"/>
              <w:autoSpaceDE/>
              <w:autoSpaceDN/>
              <w:bidi w:val="0"/>
              <w:spacing w:line="240" w:lineRule="auto"/>
              <w:ind w:firstLine="0" w:firstLineChars="0"/>
              <w:jc w:val="center"/>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w:t>
            </w:r>
          </w:p>
        </w:tc>
        <w:tc>
          <w:tcPr>
            <w:tcW w:w="1745" w:type="dxa"/>
            <w:shd w:val="clear" w:color="auto" w:fill="auto"/>
            <w:vAlign w:val="center"/>
          </w:tcPr>
          <w:p w14:paraId="5B25EDC3">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0.02</w:t>
            </w:r>
          </w:p>
        </w:tc>
        <w:tc>
          <w:tcPr>
            <w:tcW w:w="1040" w:type="dxa"/>
            <w:shd w:val="clear" w:color="auto" w:fill="auto"/>
            <w:vAlign w:val="center"/>
          </w:tcPr>
          <w:p w14:paraId="4AF8F44B">
            <w:pPr>
              <w:pStyle w:val="78"/>
              <w:keepNext w:val="0"/>
              <w:keepLines w:val="0"/>
              <w:pageBreakBefore w:val="0"/>
              <w:widowControl w:val="0"/>
              <w:kinsoku/>
              <w:wordWrap/>
              <w:overflowPunct/>
              <w:topLinePunct w:val="0"/>
              <w:autoSpaceDE/>
              <w:autoSpaceDN/>
              <w:bidi w:val="0"/>
              <w:spacing w:before="0" w:line="240" w:lineRule="auto"/>
              <w:ind w:right="0" w:rightChars="0" w:firstLine="0" w:firstLineChars="0"/>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+0.02</w:t>
            </w:r>
          </w:p>
        </w:tc>
      </w:tr>
    </w:tbl>
    <w:p w14:paraId="0C0E6EB3">
      <w:pPr>
        <w:spacing w:before="192" w:beforeLines="80" w:after="24"/>
        <w:ind w:firstLine="480"/>
        <w:jc w:val="left"/>
        <w:rPr>
          <w:snapToGrid w:val="0"/>
          <w:color w:val="000000" w:themeColor="text1"/>
          <w:spacing w:val="-6"/>
          <w:kern w:val="21"/>
          <w:szCs w:val="21"/>
          <w:highlight w:val="none"/>
          <w14:textFill>
            <w14:solidFill>
              <w14:schemeClr w14:val="tx1"/>
            </w14:solidFill>
          </w14:textFill>
        </w:rPr>
      </w:pPr>
      <w:r>
        <w:rPr>
          <w:snapToGrid w:val="0"/>
          <w:color w:val="000000" w:themeColor="text1"/>
          <w:kern w:val="21"/>
          <w:szCs w:val="21"/>
          <w:highlight w:val="none"/>
          <w14:textFill>
            <w14:solidFill>
              <w14:schemeClr w14:val="tx1"/>
            </w14:solidFill>
          </w14:textFill>
        </w:rPr>
        <w:t>注：</w:t>
      </w:r>
      <w:r>
        <w:rPr>
          <w:snapToGrid w:val="0"/>
          <w:color w:val="000000" w:themeColor="text1"/>
          <w:spacing w:val="-16"/>
          <w:kern w:val="21"/>
          <w:szCs w:val="21"/>
          <w:highlight w:val="none"/>
          <w14:textFill>
            <w14:solidFill>
              <w14:schemeClr w14:val="tx1"/>
            </w14:solidFill>
          </w14:textFill>
        </w:rPr>
        <w:fldChar w:fldCharType="begin"/>
      </w:r>
      <w:r>
        <w:rPr>
          <w:snapToGrid w:val="0"/>
          <w:color w:val="000000" w:themeColor="text1"/>
          <w:spacing w:val="-16"/>
          <w:kern w:val="21"/>
          <w:szCs w:val="21"/>
          <w:highlight w:val="none"/>
          <w14:textFill>
            <w14:solidFill>
              <w14:schemeClr w14:val="tx1"/>
            </w14:solidFill>
          </w14:textFill>
        </w:rPr>
        <w:instrText xml:space="preserve"> = 6 \* GB3 \* MERGEFORMAT </w:instrText>
      </w:r>
      <w:r>
        <w:rPr>
          <w:snapToGrid w:val="0"/>
          <w:color w:val="000000" w:themeColor="text1"/>
          <w:spacing w:val="-16"/>
          <w:kern w:val="2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⑥</w:t>
      </w:r>
      <w:r>
        <w:rPr>
          <w:snapToGrid w:val="0"/>
          <w:color w:val="000000" w:themeColor="text1"/>
          <w:spacing w:val="-16"/>
          <w:kern w:val="21"/>
          <w:szCs w:val="21"/>
          <w:highlight w:val="none"/>
          <w14:textFill>
            <w14:solidFill>
              <w14:schemeClr w14:val="tx1"/>
            </w14:solidFill>
          </w14:textFill>
        </w:rPr>
        <w:fldChar w:fldCharType="end"/>
      </w:r>
      <w:r>
        <w:rPr>
          <w:snapToGrid w:val="0"/>
          <w:color w:val="000000" w:themeColor="text1"/>
          <w:spacing w:val="-1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1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①</w:t>
      </w:r>
      <w:r>
        <w:rPr>
          <w:snapToGrid w:val="0"/>
          <w:color w:val="000000" w:themeColor="text1"/>
          <w:spacing w:val="-6"/>
          <w:kern w:val="21"/>
          <w:szCs w:val="21"/>
          <w:highlight w:val="none"/>
          <w14:textFill>
            <w14:solidFill>
              <w14:schemeClr w14:val="tx1"/>
            </w14:solidFill>
          </w14:textFill>
        </w:rPr>
        <w:fldChar w:fldCharType="end"/>
      </w:r>
      <w:r>
        <w:rPr>
          <w:snapToGrid w:val="0"/>
          <w:color w:val="000000" w:themeColor="text1"/>
          <w:spacing w:val="-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3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③</w:t>
      </w:r>
      <w:r>
        <w:rPr>
          <w:snapToGrid w:val="0"/>
          <w:color w:val="000000" w:themeColor="text1"/>
          <w:spacing w:val="-6"/>
          <w:kern w:val="21"/>
          <w:szCs w:val="21"/>
          <w:highlight w:val="none"/>
          <w14:textFill>
            <w14:solidFill>
              <w14:schemeClr w14:val="tx1"/>
            </w14:solidFill>
          </w14:textFill>
        </w:rPr>
        <w:fldChar w:fldCharType="end"/>
      </w:r>
      <w:r>
        <w:rPr>
          <w:snapToGrid w:val="0"/>
          <w:color w:val="000000" w:themeColor="text1"/>
          <w:spacing w:val="-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4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④</w:t>
      </w:r>
      <w:r>
        <w:rPr>
          <w:snapToGrid w:val="0"/>
          <w:color w:val="000000" w:themeColor="text1"/>
          <w:spacing w:val="-6"/>
          <w:kern w:val="21"/>
          <w:szCs w:val="21"/>
          <w:highlight w:val="none"/>
          <w14:textFill>
            <w14:solidFill>
              <w14:schemeClr w14:val="tx1"/>
            </w14:solidFill>
          </w14:textFill>
        </w:rPr>
        <w:fldChar w:fldCharType="end"/>
      </w:r>
      <w:r>
        <w:rPr>
          <w:snapToGrid w:val="0"/>
          <w:color w:val="000000" w:themeColor="text1"/>
          <w:spacing w:val="-6"/>
          <w:kern w:val="21"/>
          <w:szCs w:val="21"/>
          <w:highlight w:val="none"/>
          <w14:textFill>
            <w14:solidFill>
              <w14:schemeClr w14:val="tx1"/>
            </w14:solidFill>
          </w14:textFill>
        </w:rPr>
        <w:t>-</w:t>
      </w:r>
      <w:r>
        <w:rPr>
          <w:snapToGrid w:val="0"/>
          <w:color w:val="000000" w:themeColor="text1"/>
          <w:spacing w:val="-16"/>
          <w:kern w:val="21"/>
          <w:szCs w:val="21"/>
          <w:highlight w:val="none"/>
          <w14:textFill>
            <w14:solidFill>
              <w14:schemeClr w14:val="tx1"/>
            </w14:solidFill>
          </w14:textFill>
        </w:rPr>
        <w:fldChar w:fldCharType="begin"/>
      </w:r>
      <w:r>
        <w:rPr>
          <w:snapToGrid w:val="0"/>
          <w:color w:val="000000" w:themeColor="text1"/>
          <w:spacing w:val="-16"/>
          <w:kern w:val="21"/>
          <w:szCs w:val="21"/>
          <w:highlight w:val="none"/>
          <w14:textFill>
            <w14:solidFill>
              <w14:schemeClr w14:val="tx1"/>
            </w14:solidFill>
          </w14:textFill>
        </w:rPr>
        <w:instrText xml:space="preserve"> = 5 \* GB3 \* MERGEFORMAT </w:instrText>
      </w:r>
      <w:r>
        <w:rPr>
          <w:snapToGrid w:val="0"/>
          <w:color w:val="000000" w:themeColor="text1"/>
          <w:spacing w:val="-16"/>
          <w:kern w:val="2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⑤</w:t>
      </w:r>
      <w:r>
        <w:rPr>
          <w:snapToGrid w:val="0"/>
          <w:color w:val="000000" w:themeColor="text1"/>
          <w:spacing w:val="-16"/>
          <w:kern w:val="21"/>
          <w:szCs w:val="21"/>
          <w:highlight w:val="none"/>
          <w14:textFill>
            <w14:solidFill>
              <w14:schemeClr w14:val="tx1"/>
            </w14:solidFill>
          </w14:textFill>
        </w:rPr>
        <w:fldChar w:fldCharType="end"/>
      </w:r>
      <w:r>
        <w:rPr>
          <w:snapToGrid w:val="0"/>
          <w:color w:val="000000" w:themeColor="text1"/>
          <w:spacing w:val="-1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7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⑦</w:t>
      </w:r>
      <w:r>
        <w:rPr>
          <w:snapToGrid w:val="0"/>
          <w:color w:val="000000" w:themeColor="text1"/>
          <w:spacing w:val="-6"/>
          <w:kern w:val="21"/>
          <w:szCs w:val="21"/>
          <w:highlight w:val="none"/>
          <w14:textFill>
            <w14:solidFill>
              <w14:schemeClr w14:val="tx1"/>
            </w14:solidFill>
          </w14:textFill>
        </w:rPr>
        <w:fldChar w:fldCharType="end"/>
      </w:r>
      <w:r>
        <w:rPr>
          <w:snapToGrid w:val="0"/>
          <w:color w:val="000000" w:themeColor="text1"/>
          <w:spacing w:val="-6"/>
          <w:kern w:val="21"/>
          <w:szCs w:val="21"/>
          <w:highlight w:val="none"/>
          <w14:textFill>
            <w14:solidFill>
              <w14:schemeClr w14:val="tx1"/>
            </w14:solidFill>
          </w14:textFill>
        </w:rPr>
        <w:t>=</w:t>
      </w:r>
      <w:r>
        <w:rPr>
          <w:snapToGrid w:val="0"/>
          <w:color w:val="000000" w:themeColor="text1"/>
          <w:spacing w:val="-16"/>
          <w:kern w:val="21"/>
          <w:szCs w:val="21"/>
          <w:highlight w:val="none"/>
          <w14:textFill>
            <w14:solidFill>
              <w14:schemeClr w14:val="tx1"/>
            </w14:solidFill>
          </w14:textFill>
        </w:rPr>
        <w:fldChar w:fldCharType="begin"/>
      </w:r>
      <w:r>
        <w:rPr>
          <w:snapToGrid w:val="0"/>
          <w:color w:val="000000" w:themeColor="text1"/>
          <w:spacing w:val="-16"/>
          <w:kern w:val="21"/>
          <w:szCs w:val="21"/>
          <w:highlight w:val="none"/>
          <w14:textFill>
            <w14:solidFill>
              <w14:schemeClr w14:val="tx1"/>
            </w14:solidFill>
          </w14:textFill>
        </w:rPr>
        <w:instrText xml:space="preserve"> = 6 \* GB3 \* MERGEFORMAT </w:instrText>
      </w:r>
      <w:r>
        <w:rPr>
          <w:snapToGrid w:val="0"/>
          <w:color w:val="000000" w:themeColor="text1"/>
          <w:spacing w:val="-16"/>
          <w:kern w:val="2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⑥</w:t>
      </w:r>
      <w:r>
        <w:rPr>
          <w:snapToGrid w:val="0"/>
          <w:color w:val="000000" w:themeColor="text1"/>
          <w:spacing w:val="-16"/>
          <w:kern w:val="21"/>
          <w:szCs w:val="21"/>
          <w:highlight w:val="none"/>
          <w14:textFill>
            <w14:solidFill>
              <w14:schemeClr w14:val="tx1"/>
            </w14:solidFill>
          </w14:textFill>
        </w:rPr>
        <w:fldChar w:fldCharType="end"/>
      </w:r>
      <w:r>
        <w:rPr>
          <w:snapToGrid w:val="0"/>
          <w:color w:val="000000" w:themeColor="text1"/>
          <w:spacing w:val="-1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1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①</w:t>
      </w:r>
      <w:r>
        <w:rPr>
          <w:snapToGrid w:val="0"/>
          <w:color w:val="000000" w:themeColor="text1"/>
          <w:spacing w:val="-6"/>
          <w:kern w:val="21"/>
          <w:szCs w:val="21"/>
          <w:highlight w:val="none"/>
          <w14:textFill>
            <w14:solidFill>
              <w14:schemeClr w14:val="tx1"/>
            </w14:solidFill>
          </w14:textFill>
        </w:rPr>
        <w:fldChar w:fldCharType="end"/>
      </w:r>
    </w:p>
    <w:sectPr>
      <w:footerReference r:id="rId7" w:type="default"/>
      <w:pgSz w:w="16838" w:h="11906" w:orient="landscape"/>
      <w:pgMar w:top="1080" w:right="1440" w:bottom="1080" w:left="1440" w:header="851" w:footer="851"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Dutch801 Rm BT">
    <w:panose1 w:val="02020603060505020304"/>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黑体_GBK">
    <w:altName w:val="Arial Unicode MS"/>
    <w:panose1 w:val="02000000000000000000"/>
    <w:charset w:val="86"/>
    <w:family w:val="auto"/>
    <w:pitch w:val="default"/>
    <w:sig w:usb0="00000000" w:usb1="00000000" w:usb2="00082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auto"/>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9580118"/>
    </w:sdtPr>
    <w:sdtContent>
      <w:p w14:paraId="3315311E">
        <w:pPr>
          <w:pStyle w:val="21"/>
          <w:ind w:firstLine="360"/>
          <w:jc w:val="center"/>
        </w:pPr>
        <w:r>
          <w:fldChar w:fldCharType="begin"/>
        </w:r>
        <w:r>
          <w:instrText xml:space="preserve">PAGE   \* MERGEFORMAT</w:instrText>
        </w:r>
        <w:r>
          <w:fldChar w:fldCharType="separate"/>
        </w:r>
        <w:r>
          <w:rPr>
            <w:lang w:val="zh-CN"/>
          </w:rPr>
          <w:t>17</w:t>
        </w:r>
        <w:r>
          <w:fldChar w:fldCharType="end"/>
        </w:r>
      </w:p>
    </w:sdtContent>
  </w:sdt>
  <w:p w14:paraId="5B0B1816">
    <w:pPr>
      <w:tabs>
        <w:tab w:val="left" w:pos="5320"/>
      </w:tabs>
      <w:ind w:right="360" w:firstLine="0" w:firstLineChars="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9876225"/>
    </w:sdtPr>
    <w:sdtContent>
      <w:p w14:paraId="0306D5D8">
        <w:pPr>
          <w:pStyle w:val="21"/>
          <w:ind w:firstLine="360"/>
          <w:jc w:val="center"/>
        </w:pPr>
        <w:r>
          <w:fldChar w:fldCharType="begin"/>
        </w:r>
        <w:r>
          <w:instrText xml:space="preserve">PAGE   \* MERGEFORMAT</w:instrText>
        </w:r>
        <w:r>
          <w:fldChar w:fldCharType="separate"/>
        </w:r>
        <w:r>
          <w:rPr>
            <w:lang w:val="zh-CN"/>
          </w:rPr>
          <w:t>49</w:t>
        </w:r>
        <w:r>
          <w:fldChar w:fldCharType="end"/>
        </w:r>
      </w:p>
    </w:sdtContent>
  </w:sdt>
  <w:p w14:paraId="11D89901">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E0B2">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81A3D5"/>
    <w:multiLevelType w:val="singleLevel"/>
    <w:tmpl w:val="D581A3D5"/>
    <w:lvl w:ilvl="0" w:tentative="0">
      <w:start w:val="1"/>
      <w:numFmt w:val="lowerLetter"/>
      <w:suff w:val="nothing"/>
      <w:lvlText w:val="%1）"/>
      <w:lvlJc w:val="left"/>
    </w:lvl>
  </w:abstractNum>
  <w:abstractNum w:abstractNumId="1">
    <w:nsid w:val="FC819E4E"/>
    <w:multiLevelType w:val="singleLevel"/>
    <w:tmpl w:val="FC819E4E"/>
    <w:lvl w:ilvl="0" w:tentative="0">
      <w:start w:val="9"/>
      <w:numFmt w:val="decimal"/>
      <w:suff w:val="nothing"/>
      <w:lvlText w:val="（%1）"/>
      <w:lvlJc w:val="left"/>
    </w:lvl>
  </w:abstractNum>
  <w:abstractNum w:abstractNumId="2">
    <w:nsid w:val="50E838C8"/>
    <w:multiLevelType w:val="singleLevel"/>
    <w:tmpl w:val="50E838C8"/>
    <w:lvl w:ilvl="0" w:tentative="0">
      <w:start w:val="10"/>
      <w:numFmt w:val="chineseCounting"/>
      <w:suff w:val="nothing"/>
      <w:lvlText w:val="%1、"/>
      <w:lvlJc w:val="left"/>
      <w:rPr>
        <w:rFonts w:hint="eastAsia"/>
      </w:rPr>
    </w:lvl>
  </w:abstractNum>
  <w:abstractNum w:abstractNumId="3">
    <w:nsid w:val="552E2108"/>
    <w:multiLevelType w:val="singleLevel"/>
    <w:tmpl w:val="552E2108"/>
    <w:lvl w:ilvl="0" w:tentative="0">
      <w:start w:val="1"/>
      <w:numFmt w:val="lowerLetter"/>
      <w:suff w:val="nothing"/>
      <w:lvlText w:val="%1）"/>
      <w:lvlJc w:val="left"/>
    </w:lvl>
  </w:abstractNum>
  <w:abstractNum w:abstractNumId="4">
    <w:nsid w:val="729C1FAF"/>
    <w:multiLevelType w:val="singleLevel"/>
    <w:tmpl w:val="729C1FAF"/>
    <w:lvl w:ilvl="0" w:tentative="0">
      <w:start w:val="1"/>
      <w:numFmt w:val="bullet"/>
      <w:pStyle w:val="27"/>
      <w:lvlText w:val=""/>
      <w:lvlJc w:val="left"/>
      <w:pPr>
        <w:tabs>
          <w:tab w:val="left" w:pos="425"/>
        </w:tabs>
        <w:ind w:left="425" w:hanging="425"/>
      </w:pPr>
      <w:rPr>
        <w:rFonts w:hint="default" w:ascii="Wingdings" w:hAnsi="Wingdings"/>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Y0N2VkZWQxOWJiOTg0OTRkZDQ0YzY5YzczMjVhYjkifQ=="/>
  </w:docVars>
  <w:rsids>
    <w:rsidRoot w:val="00172A27"/>
    <w:rsid w:val="0000048E"/>
    <w:rsid w:val="00000DB8"/>
    <w:rsid w:val="000010BB"/>
    <w:rsid w:val="000010BF"/>
    <w:rsid w:val="00001E81"/>
    <w:rsid w:val="00002172"/>
    <w:rsid w:val="00002FBD"/>
    <w:rsid w:val="0000354E"/>
    <w:rsid w:val="00003851"/>
    <w:rsid w:val="00003C35"/>
    <w:rsid w:val="00003F5E"/>
    <w:rsid w:val="000040E2"/>
    <w:rsid w:val="00004861"/>
    <w:rsid w:val="00004A1F"/>
    <w:rsid w:val="00004E25"/>
    <w:rsid w:val="00005432"/>
    <w:rsid w:val="00005460"/>
    <w:rsid w:val="00005B4E"/>
    <w:rsid w:val="00005CA6"/>
    <w:rsid w:val="000060B3"/>
    <w:rsid w:val="0000629A"/>
    <w:rsid w:val="00006F9C"/>
    <w:rsid w:val="000074BB"/>
    <w:rsid w:val="0000758D"/>
    <w:rsid w:val="00007671"/>
    <w:rsid w:val="00007E9A"/>
    <w:rsid w:val="0001019F"/>
    <w:rsid w:val="000110D3"/>
    <w:rsid w:val="0001135D"/>
    <w:rsid w:val="00011CE1"/>
    <w:rsid w:val="00011D6B"/>
    <w:rsid w:val="00012B59"/>
    <w:rsid w:val="0001355B"/>
    <w:rsid w:val="00013B33"/>
    <w:rsid w:val="000144CB"/>
    <w:rsid w:val="0001486A"/>
    <w:rsid w:val="00014CA9"/>
    <w:rsid w:val="00014E8C"/>
    <w:rsid w:val="0001570E"/>
    <w:rsid w:val="000158B7"/>
    <w:rsid w:val="00015EE0"/>
    <w:rsid w:val="000168B8"/>
    <w:rsid w:val="000177FD"/>
    <w:rsid w:val="0001781E"/>
    <w:rsid w:val="000200B3"/>
    <w:rsid w:val="00020435"/>
    <w:rsid w:val="00020550"/>
    <w:rsid w:val="0002123B"/>
    <w:rsid w:val="0002183C"/>
    <w:rsid w:val="00021C28"/>
    <w:rsid w:val="000233DD"/>
    <w:rsid w:val="00023E37"/>
    <w:rsid w:val="00024CFE"/>
    <w:rsid w:val="00024D9D"/>
    <w:rsid w:val="000253A6"/>
    <w:rsid w:val="00025670"/>
    <w:rsid w:val="00026666"/>
    <w:rsid w:val="00027886"/>
    <w:rsid w:val="00027981"/>
    <w:rsid w:val="00027DD7"/>
    <w:rsid w:val="00030447"/>
    <w:rsid w:val="000307D6"/>
    <w:rsid w:val="00030D52"/>
    <w:rsid w:val="00030DC5"/>
    <w:rsid w:val="00031027"/>
    <w:rsid w:val="000311D8"/>
    <w:rsid w:val="00031EC0"/>
    <w:rsid w:val="00032413"/>
    <w:rsid w:val="00032D38"/>
    <w:rsid w:val="00032D4C"/>
    <w:rsid w:val="00032DBB"/>
    <w:rsid w:val="00033009"/>
    <w:rsid w:val="000331DB"/>
    <w:rsid w:val="00033FA6"/>
    <w:rsid w:val="000345B8"/>
    <w:rsid w:val="000363DE"/>
    <w:rsid w:val="0003665A"/>
    <w:rsid w:val="00036ACE"/>
    <w:rsid w:val="00036D27"/>
    <w:rsid w:val="00037330"/>
    <w:rsid w:val="000378DC"/>
    <w:rsid w:val="00037E96"/>
    <w:rsid w:val="000401B4"/>
    <w:rsid w:val="000408A0"/>
    <w:rsid w:val="00040C53"/>
    <w:rsid w:val="00040D82"/>
    <w:rsid w:val="00041F4F"/>
    <w:rsid w:val="00042539"/>
    <w:rsid w:val="00042767"/>
    <w:rsid w:val="0004315B"/>
    <w:rsid w:val="00043362"/>
    <w:rsid w:val="00043402"/>
    <w:rsid w:val="0004364B"/>
    <w:rsid w:val="0004379F"/>
    <w:rsid w:val="00043833"/>
    <w:rsid w:val="00043B67"/>
    <w:rsid w:val="0004405F"/>
    <w:rsid w:val="00044509"/>
    <w:rsid w:val="00044543"/>
    <w:rsid w:val="00044A29"/>
    <w:rsid w:val="00044AEA"/>
    <w:rsid w:val="00044FD9"/>
    <w:rsid w:val="000458DC"/>
    <w:rsid w:val="00046085"/>
    <w:rsid w:val="00046337"/>
    <w:rsid w:val="0004656D"/>
    <w:rsid w:val="00046725"/>
    <w:rsid w:val="0004675A"/>
    <w:rsid w:val="00047ABA"/>
    <w:rsid w:val="00047C96"/>
    <w:rsid w:val="00050EAB"/>
    <w:rsid w:val="000512AB"/>
    <w:rsid w:val="00051E8F"/>
    <w:rsid w:val="00051FD4"/>
    <w:rsid w:val="00052168"/>
    <w:rsid w:val="0005275A"/>
    <w:rsid w:val="000528DE"/>
    <w:rsid w:val="00052FEB"/>
    <w:rsid w:val="00053215"/>
    <w:rsid w:val="00053289"/>
    <w:rsid w:val="0005389C"/>
    <w:rsid w:val="00053E5D"/>
    <w:rsid w:val="00053E7D"/>
    <w:rsid w:val="00054DB5"/>
    <w:rsid w:val="00054E2C"/>
    <w:rsid w:val="00055052"/>
    <w:rsid w:val="000553EB"/>
    <w:rsid w:val="00055408"/>
    <w:rsid w:val="0005552B"/>
    <w:rsid w:val="00055E14"/>
    <w:rsid w:val="00057312"/>
    <w:rsid w:val="00057815"/>
    <w:rsid w:val="00057EC4"/>
    <w:rsid w:val="00061013"/>
    <w:rsid w:val="00061243"/>
    <w:rsid w:val="000616C5"/>
    <w:rsid w:val="000616F9"/>
    <w:rsid w:val="000617BB"/>
    <w:rsid w:val="000618AF"/>
    <w:rsid w:val="00061B1F"/>
    <w:rsid w:val="000620BF"/>
    <w:rsid w:val="0006274D"/>
    <w:rsid w:val="00062AF9"/>
    <w:rsid w:val="00062FC5"/>
    <w:rsid w:val="000640F2"/>
    <w:rsid w:val="0006464F"/>
    <w:rsid w:val="00064AE2"/>
    <w:rsid w:val="00064B25"/>
    <w:rsid w:val="00065B48"/>
    <w:rsid w:val="00065E49"/>
    <w:rsid w:val="00066550"/>
    <w:rsid w:val="000669B3"/>
    <w:rsid w:val="00066C48"/>
    <w:rsid w:val="000672C9"/>
    <w:rsid w:val="00067D2D"/>
    <w:rsid w:val="00067D68"/>
    <w:rsid w:val="00067DEF"/>
    <w:rsid w:val="00067E46"/>
    <w:rsid w:val="000702FD"/>
    <w:rsid w:val="00070662"/>
    <w:rsid w:val="00070812"/>
    <w:rsid w:val="00070829"/>
    <w:rsid w:val="00070892"/>
    <w:rsid w:val="0007101C"/>
    <w:rsid w:val="00071759"/>
    <w:rsid w:val="00071818"/>
    <w:rsid w:val="00072015"/>
    <w:rsid w:val="000724F8"/>
    <w:rsid w:val="00072575"/>
    <w:rsid w:val="00072D2E"/>
    <w:rsid w:val="00072F24"/>
    <w:rsid w:val="0007327B"/>
    <w:rsid w:val="000733C4"/>
    <w:rsid w:val="00073DEC"/>
    <w:rsid w:val="00074783"/>
    <w:rsid w:val="00074971"/>
    <w:rsid w:val="00074984"/>
    <w:rsid w:val="0007499D"/>
    <w:rsid w:val="000749F8"/>
    <w:rsid w:val="000750B8"/>
    <w:rsid w:val="00075259"/>
    <w:rsid w:val="00075D87"/>
    <w:rsid w:val="000765A8"/>
    <w:rsid w:val="00076C30"/>
    <w:rsid w:val="00077387"/>
    <w:rsid w:val="00077A44"/>
    <w:rsid w:val="00077C04"/>
    <w:rsid w:val="0008070B"/>
    <w:rsid w:val="00080E6F"/>
    <w:rsid w:val="000810AC"/>
    <w:rsid w:val="00081527"/>
    <w:rsid w:val="00081654"/>
    <w:rsid w:val="000819D5"/>
    <w:rsid w:val="000819EF"/>
    <w:rsid w:val="00081A02"/>
    <w:rsid w:val="00081F6F"/>
    <w:rsid w:val="00082231"/>
    <w:rsid w:val="00082356"/>
    <w:rsid w:val="00082D3D"/>
    <w:rsid w:val="00083096"/>
    <w:rsid w:val="0008315F"/>
    <w:rsid w:val="000834A5"/>
    <w:rsid w:val="0008353E"/>
    <w:rsid w:val="00083B84"/>
    <w:rsid w:val="00083BB2"/>
    <w:rsid w:val="00083EF2"/>
    <w:rsid w:val="00084148"/>
    <w:rsid w:val="000846AC"/>
    <w:rsid w:val="0008499B"/>
    <w:rsid w:val="0008499D"/>
    <w:rsid w:val="00084A05"/>
    <w:rsid w:val="00085189"/>
    <w:rsid w:val="000852B7"/>
    <w:rsid w:val="00085910"/>
    <w:rsid w:val="00085C0D"/>
    <w:rsid w:val="000861AE"/>
    <w:rsid w:val="000863E1"/>
    <w:rsid w:val="00086859"/>
    <w:rsid w:val="00086EF9"/>
    <w:rsid w:val="0008715C"/>
    <w:rsid w:val="0009003D"/>
    <w:rsid w:val="000902B1"/>
    <w:rsid w:val="000905A9"/>
    <w:rsid w:val="00090D9E"/>
    <w:rsid w:val="0009150B"/>
    <w:rsid w:val="00091543"/>
    <w:rsid w:val="000915E0"/>
    <w:rsid w:val="00091E05"/>
    <w:rsid w:val="000920BD"/>
    <w:rsid w:val="000921E6"/>
    <w:rsid w:val="00092D38"/>
    <w:rsid w:val="00092E98"/>
    <w:rsid w:val="00093064"/>
    <w:rsid w:val="000931F3"/>
    <w:rsid w:val="0009342D"/>
    <w:rsid w:val="0009377B"/>
    <w:rsid w:val="00093847"/>
    <w:rsid w:val="00094C3F"/>
    <w:rsid w:val="00095A23"/>
    <w:rsid w:val="00095BD0"/>
    <w:rsid w:val="000961AF"/>
    <w:rsid w:val="00096882"/>
    <w:rsid w:val="000977B6"/>
    <w:rsid w:val="00097EF6"/>
    <w:rsid w:val="000A1A6C"/>
    <w:rsid w:val="000A1D6B"/>
    <w:rsid w:val="000A1F3C"/>
    <w:rsid w:val="000A20C9"/>
    <w:rsid w:val="000A2325"/>
    <w:rsid w:val="000A2519"/>
    <w:rsid w:val="000A29CD"/>
    <w:rsid w:val="000A364E"/>
    <w:rsid w:val="000A366D"/>
    <w:rsid w:val="000A38D8"/>
    <w:rsid w:val="000A3DDA"/>
    <w:rsid w:val="000A3FEE"/>
    <w:rsid w:val="000A4626"/>
    <w:rsid w:val="000A5238"/>
    <w:rsid w:val="000A52BE"/>
    <w:rsid w:val="000A54FC"/>
    <w:rsid w:val="000A55BF"/>
    <w:rsid w:val="000A5EF5"/>
    <w:rsid w:val="000A618F"/>
    <w:rsid w:val="000A6394"/>
    <w:rsid w:val="000A6901"/>
    <w:rsid w:val="000A747B"/>
    <w:rsid w:val="000A79B1"/>
    <w:rsid w:val="000B00B3"/>
    <w:rsid w:val="000B031E"/>
    <w:rsid w:val="000B0544"/>
    <w:rsid w:val="000B058F"/>
    <w:rsid w:val="000B0B35"/>
    <w:rsid w:val="000B0C91"/>
    <w:rsid w:val="000B10FE"/>
    <w:rsid w:val="000B17C3"/>
    <w:rsid w:val="000B1BD7"/>
    <w:rsid w:val="000B1DA4"/>
    <w:rsid w:val="000B23CE"/>
    <w:rsid w:val="000B25E0"/>
    <w:rsid w:val="000B370B"/>
    <w:rsid w:val="000B382D"/>
    <w:rsid w:val="000B3DD6"/>
    <w:rsid w:val="000B4467"/>
    <w:rsid w:val="000B4DB9"/>
    <w:rsid w:val="000B64B8"/>
    <w:rsid w:val="000B6F9A"/>
    <w:rsid w:val="000B747C"/>
    <w:rsid w:val="000B7810"/>
    <w:rsid w:val="000B7982"/>
    <w:rsid w:val="000B7B67"/>
    <w:rsid w:val="000B7C3E"/>
    <w:rsid w:val="000C07F4"/>
    <w:rsid w:val="000C09AC"/>
    <w:rsid w:val="000C0F29"/>
    <w:rsid w:val="000C26B9"/>
    <w:rsid w:val="000C2CFB"/>
    <w:rsid w:val="000C3017"/>
    <w:rsid w:val="000C33C1"/>
    <w:rsid w:val="000C3647"/>
    <w:rsid w:val="000C3988"/>
    <w:rsid w:val="000C3A98"/>
    <w:rsid w:val="000C446E"/>
    <w:rsid w:val="000C4A96"/>
    <w:rsid w:val="000C4B21"/>
    <w:rsid w:val="000C63A5"/>
    <w:rsid w:val="000C64E0"/>
    <w:rsid w:val="000C681F"/>
    <w:rsid w:val="000C6C80"/>
    <w:rsid w:val="000C6FB4"/>
    <w:rsid w:val="000C75EB"/>
    <w:rsid w:val="000C767F"/>
    <w:rsid w:val="000C7923"/>
    <w:rsid w:val="000C7CF1"/>
    <w:rsid w:val="000D00E0"/>
    <w:rsid w:val="000D12BE"/>
    <w:rsid w:val="000D165A"/>
    <w:rsid w:val="000D1B92"/>
    <w:rsid w:val="000D29CF"/>
    <w:rsid w:val="000D2FC3"/>
    <w:rsid w:val="000D45AD"/>
    <w:rsid w:val="000D496D"/>
    <w:rsid w:val="000D5A44"/>
    <w:rsid w:val="000D62B4"/>
    <w:rsid w:val="000D6C92"/>
    <w:rsid w:val="000D6EE5"/>
    <w:rsid w:val="000D749B"/>
    <w:rsid w:val="000E06C0"/>
    <w:rsid w:val="000E0F46"/>
    <w:rsid w:val="000E11CC"/>
    <w:rsid w:val="000E1386"/>
    <w:rsid w:val="000E14A2"/>
    <w:rsid w:val="000E1698"/>
    <w:rsid w:val="000E2087"/>
    <w:rsid w:val="000E2483"/>
    <w:rsid w:val="000E2683"/>
    <w:rsid w:val="000E2895"/>
    <w:rsid w:val="000E2941"/>
    <w:rsid w:val="000E2D8B"/>
    <w:rsid w:val="000E3ED2"/>
    <w:rsid w:val="000E46F5"/>
    <w:rsid w:val="000E4892"/>
    <w:rsid w:val="000E5190"/>
    <w:rsid w:val="000E5584"/>
    <w:rsid w:val="000E584E"/>
    <w:rsid w:val="000E5F94"/>
    <w:rsid w:val="000E6F4A"/>
    <w:rsid w:val="000E731A"/>
    <w:rsid w:val="000E7330"/>
    <w:rsid w:val="000E7BF4"/>
    <w:rsid w:val="000F007F"/>
    <w:rsid w:val="000F0EB0"/>
    <w:rsid w:val="000F1755"/>
    <w:rsid w:val="000F1AF4"/>
    <w:rsid w:val="000F20D3"/>
    <w:rsid w:val="000F2523"/>
    <w:rsid w:val="000F2E7E"/>
    <w:rsid w:val="000F484F"/>
    <w:rsid w:val="000F489D"/>
    <w:rsid w:val="000F4BD6"/>
    <w:rsid w:val="000F4C46"/>
    <w:rsid w:val="000F504D"/>
    <w:rsid w:val="000F5431"/>
    <w:rsid w:val="000F5ABF"/>
    <w:rsid w:val="000F5D45"/>
    <w:rsid w:val="000F706D"/>
    <w:rsid w:val="000F7D9B"/>
    <w:rsid w:val="000F7E75"/>
    <w:rsid w:val="000F7EF2"/>
    <w:rsid w:val="000F7F62"/>
    <w:rsid w:val="00100E10"/>
    <w:rsid w:val="00100E9E"/>
    <w:rsid w:val="00100ED2"/>
    <w:rsid w:val="0010115F"/>
    <w:rsid w:val="00101303"/>
    <w:rsid w:val="00101527"/>
    <w:rsid w:val="00101ACF"/>
    <w:rsid w:val="0010209F"/>
    <w:rsid w:val="00102168"/>
    <w:rsid w:val="00102924"/>
    <w:rsid w:val="00102D3B"/>
    <w:rsid w:val="001036D7"/>
    <w:rsid w:val="00103C8F"/>
    <w:rsid w:val="00103E36"/>
    <w:rsid w:val="0010428F"/>
    <w:rsid w:val="001049EA"/>
    <w:rsid w:val="00104B15"/>
    <w:rsid w:val="00106D46"/>
    <w:rsid w:val="0010707C"/>
    <w:rsid w:val="00107242"/>
    <w:rsid w:val="00107CA7"/>
    <w:rsid w:val="001100A8"/>
    <w:rsid w:val="0011101D"/>
    <w:rsid w:val="00111AFF"/>
    <w:rsid w:val="00111ED7"/>
    <w:rsid w:val="0011236B"/>
    <w:rsid w:val="001124F9"/>
    <w:rsid w:val="00112782"/>
    <w:rsid w:val="00113565"/>
    <w:rsid w:val="0011364E"/>
    <w:rsid w:val="00113690"/>
    <w:rsid w:val="00113D67"/>
    <w:rsid w:val="00114298"/>
    <w:rsid w:val="00114A14"/>
    <w:rsid w:val="00114D14"/>
    <w:rsid w:val="00115231"/>
    <w:rsid w:val="001155DD"/>
    <w:rsid w:val="00115789"/>
    <w:rsid w:val="00115D3E"/>
    <w:rsid w:val="0011625A"/>
    <w:rsid w:val="00116DA6"/>
    <w:rsid w:val="00116EBC"/>
    <w:rsid w:val="00116FAE"/>
    <w:rsid w:val="001176FB"/>
    <w:rsid w:val="001179F1"/>
    <w:rsid w:val="0012025B"/>
    <w:rsid w:val="0012089B"/>
    <w:rsid w:val="00121BC5"/>
    <w:rsid w:val="0012386E"/>
    <w:rsid w:val="00123CD0"/>
    <w:rsid w:val="00124390"/>
    <w:rsid w:val="0012490C"/>
    <w:rsid w:val="00125439"/>
    <w:rsid w:val="00125B64"/>
    <w:rsid w:val="00125FC6"/>
    <w:rsid w:val="0012610C"/>
    <w:rsid w:val="00126178"/>
    <w:rsid w:val="001261E6"/>
    <w:rsid w:val="00126D6C"/>
    <w:rsid w:val="00127DB6"/>
    <w:rsid w:val="001302BB"/>
    <w:rsid w:val="00130BB0"/>
    <w:rsid w:val="00130EB4"/>
    <w:rsid w:val="00130FA9"/>
    <w:rsid w:val="00131405"/>
    <w:rsid w:val="00131737"/>
    <w:rsid w:val="001318C4"/>
    <w:rsid w:val="00131EAD"/>
    <w:rsid w:val="00131F42"/>
    <w:rsid w:val="00132381"/>
    <w:rsid w:val="00132CBF"/>
    <w:rsid w:val="001336A4"/>
    <w:rsid w:val="001357F1"/>
    <w:rsid w:val="001358FA"/>
    <w:rsid w:val="00135B01"/>
    <w:rsid w:val="00135B8B"/>
    <w:rsid w:val="001360CD"/>
    <w:rsid w:val="00136210"/>
    <w:rsid w:val="0013684E"/>
    <w:rsid w:val="00136A5C"/>
    <w:rsid w:val="00136D74"/>
    <w:rsid w:val="00136D7F"/>
    <w:rsid w:val="00137443"/>
    <w:rsid w:val="00137789"/>
    <w:rsid w:val="00137A67"/>
    <w:rsid w:val="00137F60"/>
    <w:rsid w:val="001406B5"/>
    <w:rsid w:val="00140E3B"/>
    <w:rsid w:val="00140FA8"/>
    <w:rsid w:val="00141348"/>
    <w:rsid w:val="0014154C"/>
    <w:rsid w:val="00142AC6"/>
    <w:rsid w:val="00142FEB"/>
    <w:rsid w:val="0014314F"/>
    <w:rsid w:val="00143A2D"/>
    <w:rsid w:val="00143B4D"/>
    <w:rsid w:val="00144838"/>
    <w:rsid w:val="00144904"/>
    <w:rsid w:val="0014560D"/>
    <w:rsid w:val="00145631"/>
    <w:rsid w:val="00145A41"/>
    <w:rsid w:val="00145D72"/>
    <w:rsid w:val="00146333"/>
    <w:rsid w:val="0014657E"/>
    <w:rsid w:val="001468AA"/>
    <w:rsid w:val="00146C1B"/>
    <w:rsid w:val="00146CA1"/>
    <w:rsid w:val="00146E63"/>
    <w:rsid w:val="00147522"/>
    <w:rsid w:val="001477CD"/>
    <w:rsid w:val="00150363"/>
    <w:rsid w:val="0015045E"/>
    <w:rsid w:val="00150578"/>
    <w:rsid w:val="00150896"/>
    <w:rsid w:val="001509B4"/>
    <w:rsid w:val="001512EC"/>
    <w:rsid w:val="001514B4"/>
    <w:rsid w:val="00151675"/>
    <w:rsid w:val="00151AB5"/>
    <w:rsid w:val="00151F82"/>
    <w:rsid w:val="00152BA7"/>
    <w:rsid w:val="00152D43"/>
    <w:rsid w:val="00153113"/>
    <w:rsid w:val="001531C3"/>
    <w:rsid w:val="001532B0"/>
    <w:rsid w:val="001532CB"/>
    <w:rsid w:val="00153685"/>
    <w:rsid w:val="00153A4F"/>
    <w:rsid w:val="0015499B"/>
    <w:rsid w:val="00154F7F"/>
    <w:rsid w:val="00155085"/>
    <w:rsid w:val="001556A8"/>
    <w:rsid w:val="00155A9C"/>
    <w:rsid w:val="00156C48"/>
    <w:rsid w:val="00156CDC"/>
    <w:rsid w:val="00157080"/>
    <w:rsid w:val="001573EC"/>
    <w:rsid w:val="00157435"/>
    <w:rsid w:val="001574B8"/>
    <w:rsid w:val="00160176"/>
    <w:rsid w:val="00160B3C"/>
    <w:rsid w:val="00161A4D"/>
    <w:rsid w:val="00161AD7"/>
    <w:rsid w:val="00162A09"/>
    <w:rsid w:val="00164FB6"/>
    <w:rsid w:val="0016570F"/>
    <w:rsid w:val="00165943"/>
    <w:rsid w:val="001663F4"/>
    <w:rsid w:val="00167ADB"/>
    <w:rsid w:val="0017085B"/>
    <w:rsid w:val="001711E4"/>
    <w:rsid w:val="001713E5"/>
    <w:rsid w:val="00172213"/>
    <w:rsid w:val="00172D29"/>
    <w:rsid w:val="00173479"/>
    <w:rsid w:val="00173689"/>
    <w:rsid w:val="00173C8D"/>
    <w:rsid w:val="00173DE6"/>
    <w:rsid w:val="00173E3B"/>
    <w:rsid w:val="00174095"/>
    <w:rsid w:val="00174103"/>
    <w:rsid w:val="00174CD4"/>
    <w:rsid w:val="0017504D"/>
    <w:rsid w:val="00175053"/>
    <w:rsid w:val="001755E7"/>
    <w:rsid w:val="00175768"/>
    <w:rsid w:val="00175DAF"/>
    <w:rsid w:val="0017671A"/>
    <w:rsid w:val="00177422"/>
    <w:rsid w:val="00177EF6"/>
    <w:rsid w:val="001803B9"/>
    <w:rsid w:val="0018117C"/>
    <w:rsid w:val="001814D5"/>
    <w:rsid w:val="001815EE"/>
    <w:rsid w:val="00181609"/>
    <w:rsid w:val="001817E8"/>
    <w:rsid w:val="00181A92"/>
    <w:rsid w:val="00182367"/>
    <w:rsid w:val="00182ADA"/>
    <w:rsid w:val="001830CB"/>
    <w:rsid w:val="00183525"/>
    <w:rsid w:val="0018361D"/>
    <w:rsid w:val="00183990"/>
    <w:rsid w:val="00183A86"/>
    <w:rsid w:val="00183ADB"/>
    <w:rsid w:val="00183CE1"/>
    <w:rsid w:val="00184062"/>
    <w:rsid w:val="00184170"/>
    <w:rsid w:val="00184301"/>
    <w:rsid w:val="00184590"/>
    <w:rsid w:val="00184651"/>
    <w:rsid w:val="00184A80"/>
    <w:rsid w:val="0018550B"/>
    <w:rsid w:val="00185B72"/>
    <w:rsid w:val="00185DE1"/>
    <w:rsid w:val="00185F5F"/>
    <w:rsid w:val="001870D1"/>
    <w:rsid w:val="00187359"/>
    <w:rsid w:val="0018772C"/>
    <w:rsid w:val="0018781E"/>
    <w:rsid w:val="001879D3"/>
    <w:rsid w:val="0019037C"/>
    <w:rsid w:val="00190CE2"/>
    <w:rsid w:val="00191527"/>
    <w:rsid w:val="001919B8"/>
    <w:rsid w:val="00191C9F"/>
    <w:rsid w:val="00192311"/>
    <w:rsid w:val="0019262D"/>
    <w:rsid w:val="00192EE6"/>
    <w:rsid w:val="0019336B"/>
    <w:rsid w:val="001934D7"/>
    <w:rsid w:val="001938A8"/>
    <w:rsid w:val="00193AED"/>
    <w:rsid w:val="00193ECC"/>
    <w:rsid w:val="00194452"/>
    <w:rsid w:val="00195504"/>
    <w:rsid w:val="0019552A"/>
    <w:rsid w:val="00195AD4"/>
    <w:rsid w:val="00195E95"/>
    <w:rsid w:val="00196B95"/>
    <w:rsid w:val="001975C5"/>
    <w:rsid w:val="0019797C"/>
    <w:rsid w:val="001A013F"/>
    <w:rsid w:val="001A07F8"/>
    <w:rsid w:val="001A0856"/>
    <w:rsid w:val="001A0ABA"/>
    <w:rsid w:val="001A0CBF"/>
    <w:rsid w:val="001A0FE1"/>
    <w:rsid w:val="001A15F0"/>
    <w:rsid w:val="001A1B35"/>
    <w:rsid w:val="001A3182"/>
    <w:rsid w:val="001A31DE"/>
    <w:rsid w:val="001A3F25"/>
    <w:rsid w:val="001A4276"/>
    <w:rsid w:val="001A48A2"/>
    <w:rsid w:val="001A5A6F"/>
    <w:rsid w:val="001A63F9"/>
    <w:rsid w:val="001A695E"/>
    <w:rsid w:val="001A6C2A"/>
    <w:rsid w:val="001A6F61"/>
    <w:rsid w:val="001A6FFF"/>
    <w:rsid w:val="001A707B"/>
    <w:rsid w:val="001B056C"/>
    <w:rsid w:val="001B0E25"/>
    <w:rsid w:val="001B0ECB"/>
    <w:rsid w:val="001B12B1"/>
    <w:rsid w:val="001B14BC"/>
    <w:rsid w:val="001B1613"/>
    <w:rsid w:val="001B16B7"/>
    <w:rsid w:val="001B17AD"/>
    <w:rsid w:val="001B21A6"/>
    <w:rsid w:val="001B2309"/>
    <w:rsid w:val="001B2480"/>
    <w:rsid w:val="001B25BA"/>
    <w:rsid w:val="001B3009"/>
    <w:rsid w:val="001B3588"/>
    <w:rsid w:val="001B3A16"/>
    <w:rsid w:val="001B3BA5"/>
    <w:rsid w:val="001B42AE"/>
    <w:rsid w:val="001B448F"/>
    <w:rsid w:val="001B4A38"/>
    <w:rsid w:val="001B4CE1"/>
    <w:rsid w:val="001B50F2"/>
    <w:rsid w:val="001B53D9"/>
    <w:rsid w:val="001B54A0"/>
    <w:rsid w:val="001B5966"/>
    <w:rsid w:val="001B6AC7"/>
    <w:rsid w:val="001B708D"/>
    <w:rsid w:val="001B7246"/>
    <w:rsid w:val="001B72B8"/>
    <w:rsid w:val="001B7E2D"/>
    <w:rsid w:val="001C0547"/>
    <w:rsid w:val="001C06E5"/>
    <w:rsid w:val="001C0A57"/>
    <w:rsid w:val="001C129B"/>
    <w:rsid w:val="001C1447"/>
    <w:rsid w:val="001C1657"/>
    <w:rsid w:val="001C1949"/>
    <w:rsid w:val="001C1AE7"/>
    <w:rsid w:val="001C20EC"/>
    <w:rsid w:val="001C260E"/>
    <w:rsid w:val="001C2D0A"/>
    <w:rsid w:val="001C2EFB"/>
    <w:rsid w:val="001C3276"/>
    <w:rsid w:val="001C3D61"/>
    <w:rsid w:val="001C479D"/>
    <w:rsid w:val="001C47A4"/>
    <w:rsid w:val="001C4D56"/>
    <w:rsid w:val="001C542F"/>
    <w:rsid w:val="001C55CB"/>
    <w:rsid w:val="001C6343"/>
    <w:rsid w:val="001C6800"/>
    <w:rsid w:val="001C69B3"/>
    <w:rsid w:val="001C7992"/>
    <w:rsid w:val="001D0057"/>
    <w:rsid w:val="001D0202"/>
    <w:rsid w:val="001D02F2"/>
    <w:rsid w:val="001D03C8"/>
    <w:rsid w:val="001D07C9"/>
    <w:rsid w:val="001D106E"/>
    <w:rsid w:val="001D1515"/>
    <w:rsid w:val="001D2088"/>
    <w:rsid w:val="001D21F3"/>
    <w:rsid w:val="001D274B"/>
    <w:rsid w:val="001D286A"/>
    <w:rsid w:val="001D2B38"/>
    <w:rsid w:val="001D32D3"/>
    <w:rsid w:val="001D3A7F"/>
    <w:rsid w:val="001D3B5B"/>
    <w:rsid w:val="001D3BC2"/>
    <w:rsid w:val="001D3DA2"/>
    <w:rsid w:val="001D4156"/>
    <w:rsid w:val="001D444D"/>
    <w:rsid w:val="001D4631"/>
    <w:rsid w:val="001D4E60"/>
    <w:rsid w:val="001D5595"/>
    <w:rsid w:val="001D5983"/>
    <w:rsid w:val="001D5B44"/>
    <w:rsid w:val="001D6008"/>
    <w:rsid w:val="001D6103"/>
    <w:rsid w:val="001D61BE"/>
    <w:rsid w:val="001D6308"/>
    <w:rsid w:val="001D64D6"/>
    <w:rsid w:val="001D6E6B"/>
    <w:rsid w:val="001D6F76"/>
    <w:rsid w:val="001D7874"/>
    <w:rsid w:val="001D7F22"/>
    <w:rsid w:val="001E0053"/>
    <w:rsid w:val="001E05E8"/>
    <w:rsid w:val="001E0BE4"/>
    <w:rsid w:val="001E0C78"/>
    <w:rsid w:val="001E1005"/>
    <w:rsid w:val="001E16BC"/>
    <w:rsid w:val="001E1E6E"/>
    <w:rsid w:val="001E2240"/>
    <w:rsid w:val="001E23C3"/>
    <w:rsid w:val="001E2E12"/>
    <w:rsid w:val="001E2E2F"/>
    <w:rsid w:val="001E2F38"/>
    <w:rsid w:val="001E34C1"/>
    <w:rsid w:val="001E35D7"/>
    <w:rsid w:val="001E35FB"/>
    <w:rsid w:val="001E3734"/>
    <w:rsid w:val="001E379F"/>
    <w:rsid w:val="001E3A6A"/>
    <w:rsid w:val="001E3C80"/>
    <w:rsid w:val="001E4637"/>
    <w:rsid w:val="001E4EEB"/>
    <w:rsid w:val="001E4FF8"/>
    <w:rsid w:val="001E5548"/>
    <w:rsid w:val="001E5674"/>
    <w:rsid w:val="001E5DEC"/>
    <w:rsid w:val="001E6614"/>
    <w:rsid w:val="001E73C0"/>
    <w:rsid w:val="001E7EEE"/>
    <w:rsid w:val="001E7F5E"/>
    <w:rsid w:val="001F0260"/>
    <w:rsid w:val="001F0B62"/>
    <w:rsid w:val="001F0F17"/>
    <w:rsid w:val="001F12CB"/>
    <w:rsid w:val="001F274B"/>
    <w:rsid w:val="001F2E49"/>
    <w:rsid w:val="001F3347"/>
    <w:rsid w:val="001F3AF1"/>
    <w:rsid w:val="001F3F93"/>
    <w:rsid w:val="001F4331"/>
    <w:rsid w:val="001F4592"/>
    <w:rsid w:val="001F4661"/>
    <w:rsid w:val="001F47AF"/>
    <w:rsid w:val="001F50E4"/>
    <w:rsid w:val="001F527B"/>
    <w:rsid w:val="001F563E"/>
    <w:rsid w:val="001F5830"/>
    <w:rsid w:val="001F5BE0"/>
    <w:rsid w:val="001F69E4"/>
    <w:rsid w:val="001F6C49"/>
    <w:rsid w:val="001F775D"/>
    <w:rsid w:val="001F7F2D"/>
    <w:rsid w:val="002002AC"/>
    <w:rsid w:val="002002C0"/>
    <w:rsid w:val="002007E2"/>
    <w:rsid w:val="00200AFD"/>
    <w:rsid w:val="00200CFA"/>
    <w:rsid w:val="0020115A"/>
    <w:rsid w:val="00201309"/>
    <w:rsid w:val="002019CE"/>
    <w:rsid w:val="00201D5B"/>
    <w:rsid w:val="00201FA6"/>
    <w:rsid w:val="00203D7A"/>
    <w:rsid w:val="00204977"/>
    <w:rsid w:val="00204CF8"/>
    <w:rsid w:val="00204F51"/>
    <w:rsid w:val="00205116"/>
    <w:rsid w:val="00205509"/>
    <w:rsid w:val="00205BD4"/>
    <w:rsid w:val="00206199"/>
    <w:rsid w:val="00206E43"/>
    <w:rsid w:val="00206EB0"/>
    <w:rsid w:val="0020791D"/>
    <w:rsid w:val="00207C26"/>
    <w:rsid w:val="00207ED4"/>
    <w:rsid w:val="00210646"/>
    <w:rsid w:val="00210B51"/>
    <w:rsid w:val="00210D26"/>
    <w:rsid w:val="00211723"/>
    <w:rsid w:val="00211D6B"/>
    <w:rsid w:val="0021239B"/>
    <w:rsid w:val="002125B4"/>
    <w:rsid w:val="00212824"/>
    <w:rsid w:val="00212A72"/>
    <w:rsid w:val="00212E0D"/>
    <w:rsid w:val="0021311D"/>
    <w:rsid w:val="00214755"/>
    <w:rsid w:val="00214B67"/>
    <w:rsid w:val="00214CBD"/>
    <w:rsid w:val="00214FEB"/>
    <w:rsid w:val="002155B8"/>
    <w:rsid w:val="00215C92"/>
    <w:rsid w:val="00215F05"/>
    <w:rsid w:val="00216311"/>
    <w:rsid w:val="00216F52"/>
    <w:rsid w:val="002172A6"/>
    <w:rsid w:val="00217736"/>
    <w:rsid w:val="00217740"/>
    <w:rsid w:val="002179A0"/>
    <w:rsid w:val="00217C0A"/>
    <w:rsid w:val="00217E3C"/>
    <w:rsid w:val="00217F64"/>
    <w:rsid w:val="00220652"/>
    <w:rsid w:val="00220C89"/>
    <w:rsid w:val="00220E75"/>
    <w:rsid w:val="00221351"/>
    <w:rsid w:val="00221354"/>
    <w:rsid w:val="00221B49"/>
    <w:rsid w:val="00221B86"/>
    <w:rsid w:val="00221D15"/>
    <w:rsid w:val="002224A9"/>
    <w:rsid w:val="002224C1"/>
    <w:rsid w:val="002227D3"/>
    <w:rsid w:val="0022316E"/>
    <w:rsid w:val="00223524"/>
    <w:rsid w:val="00223897"/>
    <w:rsid w:val="002238CB"/>
    <w:rsid w:val="00223942"/>
    <w:rsid w:val="00223CCA"/>
    <w:rsid w:val="00224839"/>
    <w:rsid w:val="00224863"/>
    <w:rsid w:val="002249B2"/>
    <w:rsid w:val="00224B68"/>
    <w:rsid w:val="00224FED"/>
    <w:rsid w:val="00225819"/>
    <w:rsid w:val="00226437"/>
    <w:rsid w:val="00226574"/>
    <w:rsid w:val="002275E8"/>
    <w:rsid w:val="00227868"/>
    <w:rsid w:val="002278EC"/>
    <w:rsid w:val="00227988"/>
    <w:rsid w:val="00227A34"/>
    <w:rsid w:val="0023021F"/>
    <w:rsid w:val="00230D55"/>
    <w:rsid w:val="002319B1"/>
    <w:rsid w:val="00231B96"/>
    <w:rsid w:val="00231CC2"/>
    <w:rsid w:val="00231CC4"/>
    <w:rsid w:val="00231DC1"/>
    <w:rsid w:val="002326C4"/>
    <w:rsid w:val="0023280E"/>
    <w:rsid w:val="0023286D"/>
    <w:rsid w:val="00232885"/>
    <w:rsid w:val="002329C1"/>
    <w:rsid w:val="00234050"/>
    <w:rsid w:val="002346FC"/>
    <w:rsid w:val="00235F7B"/>
    <w:rsid w:val="00236AC4"/>
    <w:rsid w:val="00237705"/>
    <w:rsid w:val="002377D1"/>
    <w:rsid w:val="00240E87"/>
    <w:rsid w:val="0024134F"/>
    <w:rsid w:val="00241B4B"/>
    <w:rsid w:val="00242ABF"/>
    <w:rsid w:val="00242F3D"/>
    <w:rsid w:val="0024329C"/>
    <w:rsid w:val="002439B6"/>
    <w:rsid w:val="00243AA7"/>
    <w:rsid w:val="00243E7F"/>
    <w:rsid w:val="0024414B"/>
    <w:rsid w:val="00244462"/>
    <w:rsid w:val="00244B9D"/>
    <w:rsid w:val="002454B8"/>
    <w:rsid w:val="00245A5F"/>
    <w:rsid w:val="00245BF1"/>
    <w:rsid w:val="00246181"/>
    <w:rsid w:val="00246257"/>
    <w:rsid w:val="00246B8A"/>
    <w:rsid w:val="00247259"/>
    <w:rsid w:val="00250301"/>
    <w:rsid w:val="002504BF"/>
    <w:rsid w:val="002506BC"/>
    <w:rsid w:val="00250839"/>
    <w:rsid w:val="0025103C"/>
    <w:rsid w:val="002512C9"/>
    <w:rsid w:val="002516B8"/>
    <w:rsid w:val="00251B2C"/>
    <w:rsid w:val="00251F1E"/>
    <w:rsid w:val="00252088"/>
    <w:rsid w:val="002525D7"/>
    <w:rsid w:val="00252C72"/>
    <w:rsid w:val="00252C75"/>
    <w:rsid w:val="00252DB3"/>
    <w:rsid w:val="00252EE2"/>
    <w:rsid w:val="002533E7"/>
    <w:rsid w:val="002537A4"/>
    <w:rsid w:val="002541C1"/>
    <w:rsid w:val="00254345"/>
    <w:rsid w:val="00254FA2"/>
    <w:rsid w:val="002561D6"/>
    <w:rsid w:val="002563DF"/>
    <w:rsid w:val="00256E66"/>
    <w:rsid w:val="00257054"/>
    <w:rsid w:val="0025732E"/>
    <w:rsid w:val="002574E8"/>
    <w:rsid w:val="0025794D"/>
    <w:rsid w:val="00257ADD"/>
    <w:rsid w:val="00257C53"/>
    <w:rsid w:val="002604BC"/>
    <w:rsid w:val="00261004"/>
    <w:rsid w:val="00261171"/>
    <w:rsid w:val="0026123B"/>
    <w:rsid w:val="00261910"/>
    <w:rsid w:val="0026191D"/>
    <w:rsid w:val="002628A5"/>
    <w:rsid w:val="00262AC9"/>
    <w:rsid w:val="00262EEA"/>
    <w:rsid w:val="002638F7"/>
    <w:rsid w:val="00263928"/>
    <w:rsid w:val="0026435D"/>
    <w:rsid w:val="00264557"/>
    <w:rsid w:val="002649B2"/>
    <w:rsid w:val="0026582D"/>
    <w:rsid w:val="00266DB4"/>
    <w:rsid w:val="00267BAF"/>
    <w:rsid w:val="0027041A"/>
    <w:rsid w:val="00270696"/>
    <w:rsid w:val="002708BC"/>
    <w:rsid w:val="00270B8C"/>
    <w:rsid w:val="00270D1F"/>
    <w:rsid w:val="00270DCB"/>
    <w:rsid w:val="00271A19"/>
    <w:rsid w:val="00271D28"/>
    <w:rsid w:val="002731F0"/>
    <w:rsid w:val="00273330"/>
    <w:rsid w:val="00273578"/>
    <w:rsid w:val="00274168"/>
    <w:rsid w:val="0027465A"/>
    <w:rsid w:val="00274A8F"/>
    <w:rsid w:val="00274F90"/>
    <w:rsid w:val="00275400"/>
    <w:rsid w:val="00275AD7"/>
    <w:rsid w:val="00275CDC"/>
    <w:rsid w:val="00275F82"/>
    <w:rsid w:val="00275F84"/>
    <w:rsid w:val="0027674A"/>
    <w:rsid w:val="00277123"/>
    <w:rsid w:val="002775B4"/>
    <w:rsid w:val="002776B5"/>
    <w:rsid w:val="00277985"/>
    <w:rsid w:val="00277A98"/>
    <w:rsid w:val="00277EF8"/>
    <w:rsid w:val="002805AB"/>
    <w:rsid w:val="00280FB6"/>
    <w:rsid w:val="00281256"/>
    <w:rsid w:val="00281570"/>
    <w:rsid w:val="00281A43"/>
    <w:rsid w:val="00281A6D"/>
    <w:rsid w:val="0028242D"/>
    <w:rsid w:val="00282D2D"/>
    <w:rsid w:val="00283216"/>
    <w:rsid w:val="0028349E"/>
    <w:rsid w:val="00284204"/>
    <w:rsid w:val="00284504"/>
    <w:rsid w:val="00284EA4"/>
    <w:rsid w:val="00285056"/>
    <w:rsid w:val="00285107"/>
    <w:rsid w:val="002851B4"/>
    <w:rsid w:val="002852CC"/>
    <w:rsid w:val="0028550B"/>
    <w:rsid w:val="0028557F"/>
    <w:rsid w:val="002858AA"/>
    <w:rsid w:val="002860A7"/>
    <w:rsid w:val="002862C9"/>
    <w:rsid w:val="0028660D"/>
    <w:rsid w:val="002873D6"/>
    <w:rsid w:val="00287717"/>
    <w:rsid w:val="002900C9"/>
    <w:rsid w:val="00290541"/>
    <w:rsid w:val="00290E94"/>
    <w:rsid w:val="00290F20"/>
    <w:rsid w:val="0029140E"/>
    <w:rsid w:val="0029141C"/>
    <w:rsid w:val="002916C2"/>
    <w:rsid w:val="00291773"/>
    <w:rsid w:val="0029204A"/>
    <w:rsid w:val="00292177"/>
    <w:rsid w:val="00292763"/>
    <w:rsid w:val="00292B85"/>
    <w:rsid w:val="0029339F"/>
    <w:rsid w:val="0029343B"/>
    <w:rsid w:val="00293466"/>
    <w:rsid w:val="00294454"/>
    <w:rsid w:val="00294A5E"/>
    <w:rsid w:val="0029520B"/>
    <w:rsid w:val="00295304"/>
    <w:rsid w:val="00295DE1"/>
    <w:rsid w:val="002969EA"/>
    <w:rsid w:val="00296FF9"/>
    <w:rsid w:val="002971A3"/>
    <w:rsid w:val="0029760A"/>
    <w:rsid w:val="00297F2F"/>
    <w:rsid w:val="002A0FB0"/>
    <w:rsid w:val="002A168C"/>
    <w:rsid w:val="002A16AA"/>
    <w:rsid w:val="002A18A7"/>
    <w:rsid w:val="002A19E0"/>
    <w:rsid w:val="002A1A9D"/>
    <w:rsid w:val="002A332B"/>
    <w:rsid w:val="002A34A3"/>
    <w:rsid w:val="002A34B2"/>
    <w:rsid w:val="002A383B"/>
    <w:rsid w:val="002A3D55"/>
    <w:rsid w:val="002A3DC7"/>
    <w:rsid w:val="002A4C6C"/>
    <w:rsid w:val="002A5263"/>
    <w:rsid w:val="002A6CE4"/>
    <w:rsid w:val="002A6E99"/>
    <w:rsid w:val="002A7569"/>
    <w:rsid w:val="002A7D0B"/>
    <w:rsid w:val="002B0263"/>
    <w:rsid w:val="002B165F"/>
    <w:rsid w:val="002B16D8"/>
    <w:rsid w:val="002B1DCA"/>
    <w:rsid w:val="002B2720"/>
    <w:rsid w:val="002B28A6"/>
    <w:rsid w:val="002B2921"/>
    <w:rsid w:val="002B3595"/>
    <w:rsid w:val="002B3ED8"/>
    <w:rsid w:val="002B3F43"/>
    <w:rsid w:val="002B441B"/>
    <w:rsid w:val="002B491E"/>
    <w:rsid w:val="002B49E2"/>
    <w:rsid w:val="002B4B85"/>
    <w:rsid w:val="002B511C"/>
    <w:rsid w:val="002B59D2"/>
    <w:rsid w:val="002B5AB4"/>
    <w:rsid w:val="002B5BED"/>
    <w:rsid w:val="002B5C90"/>
    <w:rsid w:val="002B614E"/>
    <w:rsid w:val="002B630D"/>
    <w:rsid w:val="002B66C2"/>
    <w:rsid w:val="002B76A2"/>
    <w:rsid w:val="002B7B00"/>
    <w:rsid w:val="002B7C44"/>
    <w:rsid w:val="002C0893"/>
    <w:rsid w:val="002C0EE5"/>
    <w:rsid w:val="002C193F"/>
    <w:rsid w:val="002C196B"/>
    <w:rsid w:val="002C1C84"/>
    <w:rsid w:val="002C284C"/>
    <w:rsid w:val="002C2AA4"/>
    <w:rsid w:val="002C2B17"/>
    <w:rsid w:val="002C36D8"/>
    <w:rsid w:val="002C38BB"/>
    <w:rsid w:val="002C4F21"/>
    <w:rsid w:val="002C5CCD"/>
    <w:rsid w:val="002C5E7A"/>
    <w:rsid w:val="002C60AF"/>
    <w:rsid w:val="002C716A"/>
    <w:rsid w:val="002C74D0"/>
    <w:rsid w:val="002D003C"/>
    <w:rsid w:val="002D05F6"/>
    <w:rsid w:val="002D08E4"/>
    <w:rsid w:val="002D14AF"/>
    <w:rsid w:val="002D1978"/>
    <w:rsid w:val="002D1A5D"/>
    <w:rsid w:val="002D20B5"/>
    <w:rsid w:val="002D22A2"/>
    <w:rsid w:val="002D24FF"/>
    <w:rsid w:val="002D2AB1"/>
    <w:rsid w:val="002D2BD6"/>
    <w:rsid w:val="002D3129"/>
    <w:rsid w:val="002D3DD0"/>
    <w:rsid w:val="002D3E44"/>
    <w:rsid w:val="002D4129"/>
    <w:rsid w:val="002D5250"/>
    <w:rsid w:val="002D5977"/>
    <w:rsid w:val="002D5C90"/>
    <w:rsid w:val="002D5FF6"/>
    <w:rsid w:val="002D64F9"/>
    <w:rsid w:val="002D68E3"/>
    <w:rsid w:val="002D6DD2"/>
    <w:rsid w:val="002D717E"/>
    <w:rsid w:val="002D723D"/>
    <w:rsid w:val="002D78D9"/>
    <w:rsid w:val="002D7AC9"/>
    <w:rsid w:val="002D7C9A"/>
    <w:rsid w:val="002E08B4"/>
    <w:rsid w:val="002E0E8E"/>
    <w:rsid w:val="002E16AA"/>
    <w:rsid w:val="002E17FD"/>
    <w:rsid w:val="002E1940"/>
    <w:rsid w:val="002E1CD7"/>
    <w:rsid w:val="002E1F0B"/>
    <w:rsid w:val="002E1F3A"/>
    <w:rsid w:val="002E298A"/>
    <w:rsid w:val="002E2C3F"/>
    <w:rsid w:val="002E2DD5"/>
    <w:rsid w:val="002E3473"/>
    <w:rsid w:val="002E390F"/>
    <w:rsid w:val="002E3ADF"/>
    <w:rsid w:val="002E3B17"/>
    <w:rsid w:val="002E40B4"/>
    <w:rsid w:val="002E4251"/>
    <w:rsid w:val="002E4509"/>
    <w:rsid w:val="002E4897"/>
    <w:rsid w:val="002E4AB7"/>
    <w:rsid w:val="002E4CAC"/>
    <w:rsid w:val="002E553D"/>
    <w:rsid w:val="002E59D6"/>
    <w:rsid w:val="002E67E5"/>
    <w:rsid w:val="002E6F9B"/>
    <w:rsid w:val="002E733C"/>
    <w:rsid w:val="002E7C7C"/>
    <w:rsid w:val="002E7DAB"/>
    <w:rsid w:val="002F0548"/>
    <w:rsid w:val="002F1048"/>
    <w:rsid w:val="002F1856"/>
    <w:rsid w:val="002F1DFB"/>
    <w:rsid w:val="002F1FA7"/>
    <w:rsid w:val="002F20CD"/>
    <w:rsid w:val="002F2499"/>
    <w:rsid w:val="002F35ED"/>
    <w:rsid w:val="002F3768"/>
    <w:rsid w:val="002F3FBC"/>
    <w:rsid w:val="002F413F"/>
    <w:rsid w:val="002F438A"/>
    <w:rsid w:val="002F49A6"/>
    <w:rsid w:val="002F4F6F"/>
    <w:rsid w:val="002F5152"/>
    <w:rsid w:val="002F5537"/>
    <w:rsid w:val="002F605E"/>
    <w:rsid w:val="002F64D6"/>
    <w:rsid w:val="002F6926"/>
    <w:rsid w:val="00300373"/>
    <w:rsid w:val="00300563"/>
    <w:rsid w:val="00300BBE"/>
    <w:rsid w:val="00300DCA"/>
    <w:rsid w:val="00301824"/>
    <w:rsid w:val="00301939"/>
    <w:rsid w:val="00301978"/>
    <w:rsid w:val="00301C39"/>
    <w:rsid w:val="00301DB7"/>
    <w:rsid w:val="00301FEF"/>
    <w:rsid w:val="00302255"/>
    <w:rsid w:val="003025B8"/>
    <w:rsid w:val="00302AC2"/>
    <w:rsid w:val="00302E2C"/>
    <w:rsid w:val="00302EA5"/>
    <w:rsid w:val="003031E2"/>
    <w:rsid w:val="0030332C"/>
    <w:rsid w:val="003033E9"/>
    <w:rsid w:val="00303F66"/>
    <w:rsid w:val="00304093"/>
    <w:rsid w:val="00304175"/>
    <w:rsid w:val="0030514F"/>
    <w:rsid w:val="003051C2"/>
    <w:rsid w:val="003056BF"/>
    <w:rsid w:val="00305B4A"/>
    <w:rsid w:val="00305D56"/>
    <w:rsid w:val="00306308"/>
    <w:rsid w:val="00306C20"/>
    <w:rsid w:val="00307442"/>
    <w:rsid w:val="003078CF"/>
    <w:rsid w:val="00307E75"/>
    <w:rsid w:val="00310480"/>
    <w:rsid w:val="00311404"/>
    <w:rsid w:val="003114F5"/>
    <w:rsid w:val="00311C48"/>
    <w:rsid w:val="00311D4A"/>
    <w:rsid w:val="00312296"/>
    <w:rsid w:val="003127D3"/>
    <w:rsid w:val="00313CAC"/>
    <w:rsid w:val="00313CF6"/>
    <w:rsid w:val="00314911"/>
    <w:rsid w:val="00314F0E"/>
    <w:rsid w:val="00315D2E"/>
    <w:rsid w:val="0031685A"/>
    <w:rsid w:val="0031685E"/>
    <w:rsid w:val="003175A5"/>
    <w:rsid w:val="00317757"/>
    <w:rsid w:val="00317D2B"/>
    <w:rsid w:val="00317D41"/>
    <w:rsid w:val="003203E3"/>
    <w:rsid w:val="003208C3"/>
    <w:rsid w:val="0032194E"/>
    <w:rsid w:val="00321968"/>
    <w:rsid w:val="00321D8E"/>
    <w:rsid w:val="003223FB"/>
    <w:rsid w:val="00323055"/>
    <w:rsid w:val="00323199"/>
    <w:rsid w:val="003239B0"/>
    <w:rsid w:val="00323A71"/>
    <w:rsid w:val="00323F3C"/>
    <w:rsid w:val="0032464E"/>
    <w:rsid w:val="00325928"/>
    <w:rsid w:val="00325BFB"/>
    <w:rsid w:val="003260A4"/>
    <w:rsid w:val="00326558"/>
    <w:rsid w:val="0032724A"/>
    <w:rsid w:val="00327476"/>
    <w:rsid w:val="003274A3"/>
    <w:rsid w:val="00327700"/>
    <w:rsid w:val="00327D9C"/>
    <w:rsid w:val="00327F55"/>
    <w:rsid w:val="00327FD3"/>
    <w:rsid w:val="00330012"/>
    <w:rsid w:val="003300CF"/>
    <w:rsid w:val="003305A9"/>
    <w:rsid w:val="0033080B"/>
    <w:rsid w:val="00330945"/>
    <w:rsid w:val="00330E31"/>
    <w:rsid w:val="003317C5"/>
    <w:rsid w:val="003321FF"/>
    <w:rsid w:val="00332863"/>
    <w:rsid w:val="00332F6D"/>
    <w:rsid w:val="00332FA3"/>
    <w:rsid w:val="003337FF"/>
    <w:rsid w:val="00334751"/>
    <w:rsid w:val="00334993"/>
    <w:rsid w:val="00335034"/>
    <w:rsid w:val="0033552D"/>
    <w:rsid w:val="00335BB8"/>
    <w:rsid w:val="0033625D"/>
    <w:rsid w:val="00336262"/>
    <w:rsid w:val="00336398"/>
    <w:rsid w:val="0033684D"/>
    <w:rsid w:val="00336BC4"/>
    <w:rsid w:val="00336D2D"/>
    <w:rsid w:val="003370E7"/>
    <w:rsid w:val="00337841"/>
    <w:rsid w:val="00337B42"/>
    <w:rsid w:val="00337C02"/>
    <w:rsid w:val="00337C41"/>
    <w:rsid w:val="00340895"/>
    <w:rsid w:val="003408F1"/>
    <w:rsid w:val="003413D2"/>
    <w:rsid w:val="0034150A"/>
    <w:rsid w:val="0034188D"/>
    <w:rsid w:val="00341AC7"/>
    <w:rsid w:val="00341B42"/>
    <w:rsid w:val="00341C51"/>
    <w:rsid w:val="00341E18"/>
    <w:rsid w:val="00341EEB"/>
    <w:rsid w:val="003420A0"/>
    <w:rsid w:val="0034246E"/>
    <w:rsid w:val="0034264F"/>
    <w:rsid w:val="00342666"/>
    <w:rsid w:val="003428C4"/>
    <w:rsid w:val="00342B70"/>
    <w:rsid w:val="00342C62"/>
    <w:rsid w:val="00342C6D"/>
    <w:rsid w:val="00342C78"/>
    <w:rsid w:val="003430F9"/>
    <w:rsid w:val="003431C7"/>
    <w:rsid w:val="0034348F"/>
    <w:rsid w:val="003435DF"/>
    <w:rsid w:val="00343905"/>
    <w:rsid w:val="00343DBA"/>
    <w:rsid w:val="00343E96"/>
    <w:rsid w:val="00344496"/>
    <w:rsid w:val="0034527D"/>
    <w:rsid w:val="003457B3"/>
    <w:rsid w:val="003469F3"/>
    <w:rsid w:val="0034758B"/>
    <w:rsid w:val="00347BFE"/>
    <w:rsid w:val="00347EB9"/>
    <w:rsid w:val="0035027C"/>
    <w:rsid w:val="0035073C"/>
    <w:rsid w:val="00350D5A"/>
    <w:rsid w:val="00350E26"/>
    <w:rsid w:val="00351706"/>
    <w:rsid w:val="00351C2C"/>
    <w:rsid w:val="00351D3B"/>
    <w:rsid w:val="003520CA"/>
    <w:rsid w:val="00352523"/>
    <w:rsid w:val="003525A4"/>
    <w:rsid w:val="003525CD"/>
    <w:rsid w:val="0035270C"/>
    <w:rsid w:val="00352791"/>
    <w:rsid w:val="00352ADD"/>
    <w:rsid w:val="00352CDD"/>
    <w:rsid w:val="00353D7A"/>
    <w:rsid w:val="00354B7A"/>
    <w:rsid w:val="00354FEE"/>
    <w:rsid w:val="003556F4"/>
    <w:rsid w:val="00355AA2"/>
    <w:rsid w:val="003562E1"/>
    <w:rsid w:val="00356463"/>
    <w:rsid w:val="00356607"/>
    <w:rsid w:val="00356653"/>
    <w:rsid w:val="00356976"/>
    <w:rsid w:val="0035716F"/>
    <w:rsid w:val="0035743F"/>
    <w:rsid w:val="0035749D"/>
    <w:rsid w:val="00357BE2"/>
    <w:rsid w:val="00360084"/>
    <w:rsid w:val="00360108"/>
    <w:rsid w:val="00360206"/>
    <w:rsid w:val="003606F9"/>
    <w:rsid w:val="00360BFA"/>
    <w:rsid w:val="00360D61"/>
    <w:rsid w:val="00360D7E"/>
    <w:rsid w:val="00361314"/>
    <w:rsid w:val="003613AE"/>
    <w:rsid w:val="0036170C"/>
    <w:rsid w:val="003619DA"/>
    <w:rsid w:val="00362261"/>
    <w:rsid w:val="003624CA"/>
    <w:rsid w:val="003627EE"/>
    <w:rsid w:val="00362F2E"/>
    <w:rsid w:val="00363749"/>
    <w:rsid w:val="00363B40"/>
    <w:rsid w:val="00363BEA"/>
    <w:rsid w:val="003645B5"/>
    <w:rsid w:val="00364733"/>
    <w:rsid w:val="003648B5"/>
    <w:rsid w:val="00364FDC"/>
    <w:rsid w:val="003662F0"/>
    <w:rsid w:val="0036669F"/>
    <w:rsid w:val="00366E0F"/>
    <w:rsid w:val="00367019"/>
    <w:rsid w:val="0036727F"/>
    <w:rsid w:val="003673B0"/>
    <w:rsid w:val="00367839"/>
    <w:rsid w:val="00367DA8"/>
    <w:rsid w:val="00367EB5"/>
    <w:rsid w:val="00370992"/>
    <w:rsid w:val="00370DA2"/>
    <w:rsid w:val="003710DF"/>
    <w:rsid w:val="0037172E"/>
    <w:rsid w:val="003719CF"/>
    <w:rsid w:val="00371A3E"/>
    <w:rsid w:val="003721A4"/>
    <w:rsid w:val="00372345"/>
    <w:rsid w:val="00372814"/>
    <w:rsid w:val="00372ABB"/>
    <w:rsid w:val="00372B42"/>
    <w:rsid w:val="00372B81"/>
    <w:rsid w:val="00372FDC"/>
    <w:rsid w:val="0037330A"/>
    <w:rsid w:val="00373487"/>
    <w:rsid w:val="003735EC"/>
    <w:rsid w:val="00374AC9"/>
    <w:rsid w:val="00374C9C"/>
    <w:rsid w:val="00374F41"/>
    <w:rsid w:val="003754BA"/>
    <w:rsid w:val="00376B5B"/>
    <w:rsid w:val="003771DD"/>
    <w:rsid w:val="003774EA"/>
    <w:rsid w:val="003802D8"/>
    <w:rsid w:val="0038124C"/>
    <w:rsid w:val="00381931"/>
    <w:rsid w:val="00381A72"/>
    <w:rsid w:val="00382268"/>
    <w:rsid w:val="00382392"/>
    <w:rsid w:val="00382483"/>
    <w:rsid w:val="0038286F"/>
    <w:rsid w:val="003831AC"/>
    <w:rsid w:val="003835E8"/>
    <w:rsid w:val="003838BA"/>
    <w:rsid w:val="00384676"/>
    <w:rsid w:val="003848F4"/>
    <w:rsid w:val="00384ACD"/>
    <w:rsid w:val="00384BE9"/>
    <w:rsid w:val="00385005"/>
    <w:rsid w:val="00385447"/>
    <w:rsid w:val="0038572E"/>
    <w:rsid w:val="00385BEA"/>
    <w:rsid w:val="00386234"/>
    <w:rsid w:val="00386781"/>
    <w:rsid w:val="00386B81"/>
    <w:rsid w:val="00386C1F"/>
    <w:rsid w:val="00387056"/>
    <w:rsid w:val="0038779E"/>
    <w:rsid w:val="00390309"/>
    <w:rsid w:val="00390857"/>
    <w:rsid w:val="00391212"/>
    <w:rsid w:val="00391C15"/>
    <w:rsid w:val="00393B9C"/>
    <w:rsid w:val="003947B8"/>
    <w:rsid w:val="00396272"/>
    <w:rsid w:val="003962B5"/>
    <w:rsid w:val="003964CC"/>
    <w:rsid w:val="00397461"/>
    <w:rsid w:val="003977E8"/>
    <w:rsid w:val="00397887"/>
    <w:rsid w:val="003978BE"/>
    <w:rsid w:val="00397B96"/>
    <w:rsid w:val="003A0605"/>
    <w:rsid w:val="003A1E29"/>
    <w:rsid w:val="003A2E36"/>
    <w:rsid w:val="003A35A5"/>
    <w:rsid w:val="003A3B18"/>
    <w:rsid w:val="003A3CA2"/>
    <w:rsid w:val="003A4332"/>
    <w:rsid w:val="003A47C9"/>
    <w:rsid w:val="003A4BF3"/>
    <w:rsid w:val="003A5F00"/>
    <w:rsid w:val="003A6004"/>
    <w:rsid w:val="003A6278"/>
    <w:rsid w:val="003A7F66"/>
    <w:rsid w:val="003B0822"/>
    <w:rsid w:val="003B0D41"/>
    <w:rsid w:val="003B1028"/>
    <w:rsid w:val="003B1485"/>
    <w:rsid w:val="003B1486"/>
    <w:rsid w:val="003B1DA0"/>
    <w:rsid w:val="003B1F65"/>
    <w:rsid w:val="003B214A"/>
    <w:rsid w:val="003B2369"/>
    <w:rsid w:val="003B2D4A"/>
    <w:rsid w:val="003B34F8"/>
    <w:rsid w:val="003B3EC6"/>
    <w:rsid w:val="003B406F"/>
    <w:rsid w:val="003B420D"/>
    <w:rsid w:val="003B4A10"/>
    <w:rsid w:val="003B4EA0"/>
    <w:rsid w:val="003B58F5"/>
    <w:rsid w:val="003B6042"/>
    <w:rsid w:val="003B608D"/>
    <w:rsid w:val="003B6518"/>
    <w:rsid w:val="003B6A87"/>
    <w:rsid w:val="003B74BF"/>
    <w:rsid w:val="003B7B48"/>
    <w:rsid w:val="003B7C7F"/>
    <w:rsid w:val="003C08D2"/>
    <w:rsid w:val="003C10FA"/>
    <w:rsid w:val="003C151A"/>
    <w:rsid w:val="003C1763"/>
    <w:rsid w:val="003C2A1A"/>
    <w:rsid w:val="003C2B0E"/>
    <w:rsid w:val="003C2FA3"/>
    <w:rsid w:val="003C3653"/>
    <w:rsid w:val="003C4144"/>
    <w:rsid w:val="003C4F63"/>
    <w:rsid w:val="003C4F68"/>
    <w:rsid w:val="003C51E9"/>
    <w:rsid w:val="003C57FA"/>
    <w:rsid w:val="003C5931"/>
    <w:rsid w:val="003C593B"/>
    <w:rsid w:val="003C5C6F"/>
    <w:rsid w:val="003C63E6"/>
    <w:rsid w:val="003C6654"/>
    <w:rsid w:val="003C6852"/>
    <w:rsid w:val="003C6C16"/>
    <w:rsid w:val="003C6C85"/>
    <w:rsid w:val="003C6CB7"/>
    <w:rsid w:val="003C6E32"/>
    <w:rsid w:val="003C7075"/>
    <w:rsid w:val="003C756F"/>
    <w:rsid w:val="003D08EC"/>
    <w:rsid w:val="003D145B"/>
    <w:rsid w:val="003D15BB"/>
    <w:rsid w:val="003D1B22"/>
    <w:rsid w:val="003D214A"/>
    <w:rsid w:val="003D21B7"/>
    <w:rsid w:val="003D2425"/>
    <w:rsid w:val="003D2505"/>
    <w:rsid w:val="003D2818"/>
    <w:rsid w:val="003D2E1F"/>
    <w:rsid w:val="003D2FB7"/>
    <w:rsid w:val="003D35D7"/>
    <w:rsid w:val="003D407E"/>
    <w:rsid w:val="003D427B"/>
    <w:rsid w:val="003D4998"/>
    <w:rsid w:val="003D4D8A"/>
    <w:rsid w:val="003D4DCB"/>
    <w:rsid w:val="003D5095"/>
    <w:rsid w:val="003D51BA"/>
    <w:rsid w:val="003D53D3"/>
    <w:rsid w:val="003D5662"/>
    <w:rsid w:val="003D592C"/>
    <w:rsid w:val="003D5CB0"/>
    <w:rsid w:val="003D6144"/>
    <w:rsid w:val="003D6A8C"/>
    <w:rsid w:val="003D7117"/>
    <w:rsid w:val="003D739F"/>
    <w:rsid w:val="003D73C9"/>
    <w:rsid w:val="003D77F1"/>
    <w:rsid w:val="003D794D"/>
    <w:rsid w:val="003D7BBB"/>
    <w:rsid w:val="003D7D40"/>
    <w:rsid w:val="003E0157"/>
    <w:rsid w:val="003E0734"/>
    <w:rsid w:val="003E1097"/>
    <w:rsid w:val="003E19DD"/>
    <w:rsid w:val="003E22A9"/>
    <w:rsid w:val="003E243F"/>
    <w:rsid w:val="003E3058"/>
    <w:rsid w:val="003E312B"/>
    <w:rsid w:val="003E34DF"/>
    <w:rsid w:val="003E39F8"/>
    <w:rsid w:val="003E4443"/>
    <w:rsid w:val="003E4AC6"/>
    <w:rsid w:val="003E6B4F"/>
    <w:rsid w:val="003E6C8F"/>
    <w:rsid w:val="003E6F80"/>
    <w:rsid w:val="003E71CC"/>
    <w:rsid w:val="003E7673"/>
    <w:rsid w:val="003E76A9"/>
    <w:rsid w:val="003E79E4"/>
    <w:rsid w:val="003F017C"/>
    <w:rsid w:val="003F02D2"/>
    <w:rsid w:val="003F0809"/>
    <w:rsid w:val="003F1064"/>
    <w:rsid w:val="003F1468"/>
    <w:rsid w:val="003F1798"/>
    <w:rsid w:val="003F211D"/>
    <w:rsid w:val="003F218E"/>
    <w:rsid w:val="003F23F5"/>
    <w:rsid w:val="003F256D"/>
    <w:rsid w:val="003F2948"/>
    <w:rsid w:val="003F2B83"/>
    <w:rsid w:val="003F34BB"/>
    <w:rsid w:val="003F3AA8"/>
    <w:rsid w:val="003F3E3E"/>
    <w:rsid w:val="003F3E5C"/>
    <w:rsid w:val="003F4448"/>
    <w:rsid w:val="003F479B"/>
    <w:rsid w:val="003F47F6"/>
    <w:rsid w:val="003F50BC"/>
    <w:rsid w:val="003F50C6"/>
    <w:rsid w:val="003F51FD"/>
    <w:rsid w:val="003F5FA7"/>
    <w:rsid w:val="003F6A8C"/>
    <w:rsid w:val="003F6E92"/>
    <w:rsid w:val="003F7189"/>
    <w:rsid w:val="003F755C"/>
    <w:rsid w:val="003F7DAC"/>
    <w:rsid w:val="00400317"/>
    <w:rsid w:val="00400C87"/>
    <w:rsid w:val="00400EBA"/>
    <w:rsid w:val="00401257"/>
    <w:rsid w:val="00401436"/>
    <w:rsid w:val="004015B4"/>
    <w:rsid w:val="00401B89"/>
    <w:rsid w:val="00402772"/>
    <w:rsid w:val="004030D6"/>
    <w:rsid w:val="004032D3"/>
    <w:rsid w:val="004033B4"/>
    <w:rsid w:val="004036B3"/>
    <w:rsid w:val="0040380C"/>
    <w:rsid w:val="0040390F"/>
    <w:rsid w:val="00404AF8"/>
    <w:rsid w:val="00405784"/>
    <w:rsid w:val="00405894"/>
    <w:rsid w:val="00405FA1"/>
    <w:rsid w:val="004063CE"/>
    <w:rsid w:val="004065D9"/>
    <w:rsid w:val="00406658"/>
    <w:rsid w:val="004067FD"/>
    <w:rsid w:val="00406DCD"/>
    <w:rsid w:val="00406F01"/>
    <w:rsid w:val="0040700C"/>
    <w:rsid w:val="004071F3"/>
    <w:rsid w:val="004073F4"/>
    <w:rsid w:val="004075C2"/>
    <w:rsid w:val="00407B36"/>
    <w:rsid w:val="00407F33"/>
    <w:rsid w:val="0041088D"/>
    <w:rsid w:val="004117CD"/>
    <w:rsid w:val="00411DA2"/>
    <w:rsid w:val="004121BA"/>
    <w:rsid w:val="00413269"/>
    <w:rsid w:val="00413706"/>
    <w:rsid w:val="00413786"/>
    <w:rsid w:val="00413BAB"/>
    <w:rsid w:val="00413C10"/>
    <w:rsid w:val="00414002"/>
    <w:rsid w:val="004144A3"/>
    <w:rsid w:val="00414CCC"/>
    <w:rsid w:val="004154C7"/>
    <w:rsid w:val="004157F4"/>
    <w:rsid w:val="00415BB4"/>
    <w:rsid w:val="00416505"/>
    <w:rsid w:val="004169BB"/>
    <w:rsid w:val="00416D50"/>
    <w:rsid w:val="00416F71"/>
    <w:rsid w:val="00416FD5"/>
    <w:rsid w:val="0041720B"/>
    <w:rsid w:val="004172A0"/>
    <w:rsid w:val="004172A5"/>
    <w:rsid w:val="004172DC"/>
    <w:rsid w:val="00417772"/>
    <w:rsid w:val="00417C65"/>
    <w:rsid w:val="004202F0"/>
    <w:rsid w:val="00420756"/>
    <w:rsid w:val="00420A45"/>
    <w:rsid w:val="00420AC3"/>
    <w:rsid w:val="00420E6A"/>
    <w:rsid w:val="00420FE5"/>
    <w:rsid w:val="00421561"/>
    <w:rsid w:val="0042176B"/>
    <w:rsid w:val="004217AB"/>
    <w:rsid w:val="00421AE5"/>
    <w:rsid w:val="00421F95"/>
    <w:rsid w:val="00422222"/>
    <w:rsid w:val="004224A1"/>
    <w:rsid w:val="00422949"/>
    <w:rsid w:val="00422D48"/>
    <w:rsid w:val="00423035"/>
    <w:rsid w:val="00423B2A"/>
    <w:rsid w:val="00423B30"/>
    <w:rsid w:val="00423BCB"/>
    <w:rsid w:val="00423E2B"/>
    <w:rsid w:val="004243D5"/>
    <w:rsid w:val="0042460F"/>
    <w:rsid w:val="00424611"/>
    <w:rsid w:val="00424E99"/>
    <w:rsid w:val="00424F16"/>
    <w:rsid w:val="004250E3"/>
    <w:rsid w:val="0042579D"/>
    <w:rsid w:val="00425A9E"/>
    <w:rsid w:val="00425D56"/>
    <w:rsid w:val="00425EAF"/>
    <w:rsid w:val="0042621E"/>
    <w:rsid w:val="004265A1"/>
    <w:rsid w:val="00426AD6"/>
    <w:rsid w:val="00426D6B"/>
    <w:rsid w:val="004272F7"/>
    <w:rsid w:val="004276B9"/>
    <w:rsid w:val="00430254"/>
    <w:rsid w:val="0043049A"/>
    <w:rsid w:val="00430769"/>
    <w:rsid w:val="00430887"/>
    <w:rsid w:val="00430B71"/>
    <w:rsid w:val="00430C77"/>
    <w:rsid w:val="00430F6F"/>
    <w:rsid w:val="004310C0"/>
    <w:rsid w:val="004310D1"/>
    <w:rsid w:val="00431E46"/>
    <w:rsid w:val="00431E6C"/>
    <w:rsid w:val="00431FB2"/>
    <w:rsid w:val="004321B9"/>
    <w:rsid w:val="0043232C"/>
    <w:rsid w:val="00432C41"/>
    <w:rsid w:val="00432E5B"/>
    <w:rsid w:val="004336D7"/>
    <w:rsid w:val="00433911"/>
    <w:rsid w:val="00433CE7"/>
    <w:rsid w:val="00434D2B"/>
    <w:rsid w:val="00435377"/>
    <w:rsid w:val="00435FE1"/>
    <w:rsid w:val="0043611F"/>
    <w:rsid w:val="004362A7"/>
    <w:rsid w:val="00436563"/>
    <w:rsid w:val="004374C7"/>
    <w:rsid w:val="00437548"/>
    <w:rsid w:val="00437916"/>
    <w:rsid w:val="00437FF4"/>
    <w:rsid w:val="004404F3"/>
    <w:rsid w:val="00440914"/>
    <w:rsid w:val="00440FC1"/>
    <w:rsid w:val="0044111C"/>
    <w:rsid w:val="0044113C"/>
    <w:rsid w:val="00441583"/>
    <w:rsid w:val="0044167D"/>
    <w:rsid w:val="00441CBD"/>
    <w:rsid w:val="00441E2A"/>
    <w:rsid w:val="00441E63"/>
    <w:rsid w:val="00441EF2"/>
    <w:rsid w:val="0044213C"/>
    <w:rsid w:val="004426DD"/>
    <w:rsid w:val="00442A6F"/>
    <w:rsid w:val="004433B2"/>
    <w:rsid w:val="0044367E"/>
    <w:rsid w:val="00444673"/>
    <w:rsid w:val="0044479C"/>
    <w:rsid w:val="00444A7F"/>
    <w:rsid w:val="00445655"/>
    <w:rsid w:val="0044589B"/>
    <w:rsid w:val="004458CC"/>
    <w:rsid w:val="00445E3E"/>
    <w:rsid w:val="00446D22"/>
    <w:rsid w:val="00447151"/>
    <w:rsid w:val="00447246"/>
    <w:rsid w:val="00447B51"/>
    <w:rsid w:val="00450644"/>
    <w:rsid w:val="004506DC"/>
    <w:rsid w:val="00450CB9"/>
    <w:rsid w:val="004525D2"/>
    <w:rsid w:val="00452738"/>
    <w:rsid w:val="00452DEB"/>
    <w:rsid w:val="00453284"/>
    <w:rsid w:val="0045379B"/>
    <w:rsid w:val="00453E7E"/>
    <w:rsid w:val="004542A3"/>
    <w:rsid w:val="0045469F"/>
    <w:rsid w:val="00454C8A"/>
    <w:rsid w:val="00454E7F"/>
    <w:rsid w:val="00455823"/>
    <w:rsid w:val="00455E20"/>
    <w:rsid w:val="00456091"/>
    <w:rsid w:val="0045670A"/>
    <w:rsid w:val="004567E4"/>
    <w:rsid w:val="00456BB2"/>
    <w:rsid w:val="00456BFF"/>
    <w:rsid w:val="00456D50"/>
    <w:rsid w:val="004570A3"/>
    <w:rsid w:val="004576B1"/>
    <w:rsid w:val="004578BB"/>
    <w:rsid w:val="00457B4B"/>
    <w:rsid w:val="004602E8"/>
    <w:rsid w:val="00460375"/>
    <w:rsid w:val="00460387"/>
    <w:rsid w:val="00460F20"/>
    <w:rsid w:val="004611B5"/>
    <w:rsid w:val="004618F7"/>
    <w:rsid w:val="00461A05"/>
    <w:rsid w:val="00461BD7"/>
    <w:rsid w:val="00461CDC"/>
    <w:rsid w:val="0046237D"/>
    <w:rsid w:val="004625CD"/>
    <w:rsid w:val="00462694"/>
    <w:rsid w:val="00463307"/>
    <w:rsid w:val="004635BA"/>
    <w:rsid w:val="00464A9F"/>
    <w:rsid w:val="00464BE1"/>
    <w:rsid w:val="0046512A"/>
    <w:rsid w:val="004657EC"/>
    <w:rsid w:val="00465E2A"/>
    <w:rsid w:val="004661D1"/>
    <w:rsid w:val="00466321"/>
    <w:rsid w:val="00466925"/>
    <w:rsid w:val="00467319"/>
    <w:rsid w:val="00470DAB"/>
    <w:rsid w:val="00470E42"/>
    <w:rsid w:val="00471AC5"/>
    <w:rsid w:val="00471D33"/>
    <w:rsid w:val="004721BF"/>
    <w:rsid w:val="004726C8"/>
    <w:rsid w:val="004728BD"/>
    <w:rsid w:val="00472B95"/>
    <w:rsid w:val="0047385D"/>
    <w:rsid w:val="004738A4"/>
    <w:rsid w:val="00473A4C"/>
    <w:rsid w:val="00473BCD"/>
    <w:rsid w:val="00473E87"/>
    <w:rsid w:val="00473F43"/>
    <w:rsid w:val="00474247"/>
    <w:rsid w:val="00474B14"/>
    <w:rsid w:val="00475DAC"/>
    <w:rsid w:val="00475E20"/>
    <w:rsid w:val="004760E6"/>
    <w:rsid w:val="00476127"/>
    <w:rsid w:val="00476193"/>
    <w:rsid w:val="0047621F"/>
    <w:rsid w:val="0047623F"/>
    <w:rsid w:val="00477006"/>
    <w:rsid w:val="0047750A"/>
    <w:rsid w:val="0047786C"/>
    <w:rsid w:val="00480214"/>
    <w:rsid w:val="004806CD"/>
    <w:rsid w:val="0048081D"/>
    <w:rsid w:val="00480C00"/>
    <w:rsid w:val="004817D8"/>
    <w:rsid w:val="00481C80"/>
    <w:rsid w:val="00481E47"/>
    <w:rsid w:val="00482364"/>
    <w:rsid w:val="004825C4"/>
    <w:rsid w:val="00482919"/>
    <w:rsid w:val="004837B8"/>
    <w:rsid w:val="004839FB"/>
    <w:rsid w:val="00483E66"/>
    <w:rsid w:val="00483F42"/>
    <w:rsid w:val="00483F4A"/>
    <w:rsid w:val="00484691"/>
    <w:rsid w:val="00484B9B"/>
    <w:rsid w:val="00485008"/>
    <w:rsid w:val="004851FF"/>
    <w:rsid w:val="004855F6"/>
    <w:rsid w:val="00485B88"/>
    <w:rsid w:val="00485EFF"/>
    <w:rsid w:val="004860DE"/>
    <w:rsid w:val="00486228"/>
    <w:rsid w:val="004865DD"/>
    <w:rsid w:val="0048661E"/>
    <w:rsid w:val="00486F95"/>
    <w:rsid w:val="0048727D"/>
    <w:rsid w:val="00487567"/>
    <w:rsid w:val="00487577"/>
    <w:rsid w:val="0049045E"/>
    <w:rsid w:val="00490710"/>
    <w:rsid w:val="004909F7"/>
    <w:rsid w:val="0049143C"/>
    <w:rsid w:val="004915E4"/>
    <w:rsid w:val="004916AA"/>
    <w:rsid w:val="004916CC"/>
    <w:rsid w:val="0049203C"/>
    <w:rsid w:val="0049239D"/>
    <w:rsid w:val="00492624"/>
    <w:rsid w:val="00492AE2"/>
    <w:rsid w:val="00492B03"/>
    <w:rsid w:val="00492E3C"/>
    <w:rsid w:val="00492EF0"/>
    <w:rsid w:val="004931F6"/>
    <w:rsid w:val="0049356B"/>
    <w:rsid w:val="004935AC"/>
    <w:rsid w:val="00493A45"/>
    <w:rsid w:val="00493C1A"/>
    <w:rsid w:val="00493F45"/>
    <w:rsid w:val="0049439C"/>
    <w:rsid w:val="00494670"/>
    <w:rsid w:val="00495365"/>
    <w:rsid w:val="004958B0"/>
    <w:rsid w:val="00496107"/>
    <w:rsid w:val="00496309"/>
    <w:rsid w:val="00496457"/>
    <w:rsid w:val="00496685"/>
    <w:rsid w:val="004968B9"/>
    <w:rsid w:val="00497434"/>
    <w:rsid w:val="0049759C"/>
    <w:rsid w:val="00497AB4"/>
    <w:rsid w:val="004A0230"/>
    <w:rsid w:val="004A0562"/>
    <w:rsid w:val="004A0DB7"/>
    <w:rsid w:val="004A10AD"/>
    <w:rsid w:val="004A1F7A"/>
    <w:rsid w:val="004A246D"/>
    <w:rsid w:val="004A2559"/>
    <w:rsid w:val="004A318D"/>
    <w:rsid w:val="004A3465"/>
    <w:rsid w:val="004A37A8"/>
    <w:rsid w:val="004A37C8"/>
    <w:rsid w:val="004A3823"/>
    <w:rsid w:val="004A3C13"/>
    <w:rsid w:val="004A3EB4"/>
    <w:rsid w:val="004A49F9"/>
    <w:rsid w:val="004A503E"/>
    <w:rsid w:val="004A52EB"/>
    <w:rsid w:val="004A53F2"/>
    <w:rsid w:val="004A5DA1"/>
    <w:rsid w:val="004A64F5"/>
    <w:rsid w:val="004A69EF"/>
    <w:rsid w:val="004A7EAE"/>
    <w:rsid w:val="004B0457"/>
    <w:rsid w:val="004B138D"/>
    <w:rsid w:val="004B179E"/>
    <w:rsid w:val="004B19C6"/>
    <w:rsid w:val="004B19FB"/>
    <w:rsid w:val="004B1BC0"/>
    <w:rsid w:val="004B1C02"/>
    <w:rsid w:val="004B212D"/>
    <w:rsid w:val="004B2C2C"/>
    <w:rsid w:val="004B301C"/>
    <w:rsid w:val="004B353D"/>
    <w:rsid w:val="004B3CCE"/>
    <w:rsid w:val="004B3EA0"/>
    <w:rsid w:val="004B427D"/>
    <w:rsid w:val="004B4B26"/>
    <w:rsid w:val="004B4DB2"/>
    <w:rsid w:val="004B5483"/>
    <w:rsid w:val="004B681B"/>
    <w:rsid w:val="004B6BC9"/>
    <w:rsid w:val="004B6C9A"/>
    <w:rsid w:val="004B6ECD"/>
    <w:rsid w:val="004B70BF"/>
    <w:rsid w:val="004B783F"/>
    <w:rsid w:val="004B7B2D"/>
    <w:rsid w:val="004C0357"/>
    <w:rsid w:val="004C0F1F"/>
    <w:rsid w:val="004C16C4"/>
    <w:rsid w:val="004C199B"/>
    <w:rsid w:val="004C20AC"/>
    <w:rsid w:val="004C239E"/>
    <w:rsid w:val="004C2570"/>
    <w:rsid w:val="004C2E20"/>
    <w:rsid w:val="004C361F"/>
    <w:rsid w:val="004C455D"/>
    <w:rsid w:val="004C5712"/>
    <w:rsid w:val="004C5965"/>
    <w:rsid w:val="004C5981"/>
    <w:rsid w:val="004C5ADC"/>
    <w:rsid w:val="004C5BBC"/>
    <w:rsid w:val="004C623A"/>
    <w:rsid w:val="004C6CDC"/>
    <w:rsid w:val="004C7158"/>
    <w:rsid w:val="004C73E7"/>
    <w:rsid w:val="004C772A"/>
    <w:rsid w:val="004C7F34"/>
    <w:rsid w:val="004D008F"/>
    <w:rsid w:val="004D06A9"/>
    <w:rsid w:val="004D15B3"/>
    <w:rsid w:val="004D167E"/>
    <w:rsid w:val="004D18B6"/>
    <w:rsid w:val="004D23B0"/>
    <w:rsid w:val="004D2B6D"/>
    <w:rsid w:val="004D35A1"/>
    <w:rsid w:val="004D3811"/>
    <w:rsid w:val="004D38DF"/>
    <w:rsid w:val="004D3A84"/>
    <w:rsid w:val="004D3E31"/>
    <w:rsid w:val="004D4150"/>
    <w:rsid w:val="004D458B"/>
    <w:rsid w:val="004D4634"/>
    <w:rsid w:val="004D4755"/>
    <w:rsid w:val="004D5525"/>
    <w:rsid w:val="004D5F47"/>
    <w:rsid w:val="004D6604"/>
    <w:rsid w:val="004D6C37"/>
    <w:rsid w:val="004D6D3F"/>
    <w:rsid w:val="004D7019"/>
    <w:rsid w:val="004D716B"/>
    <w:rsid w:val="004D77B2"/>
    <w:rsid w:val="004D7B68"/>
    <w:rsid w:val="004E0172"/>
    <w:rsid w:val="004E090A"/>
    <w:rsid w:val="004E10C6"/>
    <w:rsid w:val="004E192C"/>
    <w:rsid w:val="004E1A46"/>
    <w:rsid w:val="004E2647"/>
    <w:rsid w:val="004E26BD"/>
    <w:rsid w:val="004E278F"/>
    <w:rsid w:val="004E2C80"/>
    <w:rsid w:val="004E3004"/>
    <w:rsid w:val="004E35E3"/>
    <w:rsid w:val="004E382C"/>
    <w:rsid w:val="004E3B99"/>
    <w:rsid w:val="004E3C36"/>
    <w:rsid w:val="004E4F01"/>
    <w:rsid w:val="004E5114"/>
    <w:rsid w:val="004E58A0"/>
    <w:rsid w:val="004E5B49"/>
    <w:rsid w:val="004E6356"/>
    <w:rsid w:val="004E6946"/>
    <w:rsid w:val="004E70F7"/>
    <w:rsid w:val="004E75A5"/>
    <w:rsid w:val="004E75DA"/>
    <w:rsid w:val="004E767F"/>
    <w:rsid w:val="004E793B"/>
    <w:rsid w:val="004F0D08"/>
    <w:rsid w:val="004F1A88"/>
    <w:rsid w:val="004F1AD8"/>
    <w:rsid w:val="004F1CAA"/>
    <w:rsid w:val="004F1E6D"/>
    <w:rsid w:val="004F2EA6"/>
    <w:rsid w:val="004F30CC"/>
    <w:rsid w:val="004F332E"/>
    <w:rsid w:val="004F3A49"/>
    <w:rsid w:val="004F3AC0"/>
    <w:rsid w:val="004F3B42"/>
    <w:rsid w:val="004F420C"/>
    <w:rsid w:val="004F43B5"/>
    <w:rsid w:val="004F4E87"/>
    <w:rsid w:val="004F6F85"/>
    <w:rsid w:val="004F72BD"/>
    <w:rsid w:val="004F760F"/>
    <w:rsid w:val="005011A8"/>
    <w:rsid w:val="005015EB"/>
    <w:rsid w:val="00501E09"/>
    <w:rsid w:val="005023DE"/>
    <w:rsid w:val="00502E1C"/>
    <w:rsid w:val="00503605"/>
    <w:rsid w:val="005039CB"/>
    <w:rsid w:val="005039D4"/>
    <w:rsid w:val="00503D25"/>
    <w:rsid w:val="00503E32"/>
    <w:rsid w:val="00503FB8"/>
    <w:rsid w:val="00504417"/>
    <w:rsid w:val="00504A42"/>
    <w:rsid w:val="00504B6E"/>
    <w:rsid w:val="00504D39"/>
    <w:rsid w:val="00505012"/>
    <w:rsid w:val="00505379"/>
    <w:rsid w:val="0050558F"/>
    <w:rsid w:val="00505E78"/>
    <w:rsid w:val="0050612C"/>
    <w:rsid w:val="00506286"/>
    <w:rsid w:val="005073FB"/>
    <w:rsid w:val="005100DC"/>
    <w:rsid w:val="005104C0"/>
    <w:rsid w:val="005104E6"/>
    <w:rsid w:val="00510813"/>
    <w:rsid w:val="00510AB1"/>
    <w:rsid w:val="00510EC3"/>
    <w:rsid w:val="0051149C"/>
    <w:rsid w:val="00511990"/>
    <w:rsid w:val="00511C89"/>
    <w:rsid w:val="00511DE0"/>
    <w:rsid w:val="0051206A"/>
    <w:rsid w:val="00512390"/>
    <w:rsid w:val="00512DC7"/>
    <w:rsid w:val="005134A0"/>
    <w:rsid w:val="00513648"/>
    <w:rsid w:val="0051386C"/>
    <w:rsid w:val="005146A3"/>
    <w:rsid w:val="005146F7"/>
    <w:rsid w:val="00514870"/>
    <w:rsid w:val="00514AFA"/>
    <w:rsid w:val="00514B9B"/>
    <w:rsid w:val="00514D3A"/>
    <w:rsid w:val="00514D73"/>
    <w:rsid w:val="00514FB4"/>
    <w:rsid w:val="005151E9"/>
    <w:rsid w:val="0051528E"/>
    <w:rsid w:val="00516B0F"/>
    <w:rsid w:val="00517025"/>
    <w:rsid w:val="00517D8B"/>
    <w:rsid w:val="00517F02"/>
    <w:rsid w:val="00520095"/>
    <w:rsid w:val="005201F8"/>
    <w:rsid w:val="00520761"/>
    <w:rsid w:val="005208E7"/>
    <w:rsid w:val="00520918"/>
    <w:rsid w:val="00520BE1"/>
    <w:rsid w:val="00520E72"/>
    <w:rsid w:val="005211E9"/>
    <w:rsid w:val="00521E0E"/>
    <w:rsid w:val="00522DD8"/>
    <w:rsid w:val="00524303"/>
    <w:rsid w:val="00524363"/>
    <w:rsid w:val="00524A26"/>
    <w:rsid w:val="00524F2A"/>
    <w:rsid w:val="00525029"/>
    <w:rsid w:val="00525622"/>
    <w:rsid w:val="005257C8"/>
    <w:rsid w:val="005258A2"/>
    <w:rsid w:val="00525A20"/>
    <w:rsid w:val="00525BEA"/>
    <w:rsid w:val="00526E36"/>
    <w:rsid w:val="005272A4"/>
    <w:rsid w:val="00527329"/>
    <w:rsid w:val="00527D3A"/>
    <w:rsid w:val="00530786"/>
    <w:rsid w:val="0053084D"/>
    <w:rsid w:val="00530B4E"/>
    <w:rsid w:val="00530E08"/>
    <w:rsid w:val="00530FE4"/>
    <w:rsid w:val="005312EC"/>
    <w:rsid w:val="005314F9"/>
    <w:rsid w:val="0053161A"/>
    <w:rsid w:val="00531760"/>
    <w:rsid w:val="00531809"/>
    <w:rsid w:val="00531824"/>
    <w:rsid w:val="00531901"/>
    <w:rsid w:val="00531E35"/>
    <w:rsid w:val="00531EF3"/>
    <w:rsid w:val="00532095"/>
    <w:rsid w:val="0053362D"/>
    <w:rsid w:val="00533648"/>
    <w:rsid w:val="00533709"/>
    <w:rsid w:val="00533D01"/>
    <w:rsid w:val="00534584"/>
    <w:rsid w:val="005352AD"/>
    <w:rsid w:val="005356FE"/>
    <w:rsid w:val="00535BE8"/>
    <w:rsid w:val="00536171"/>
    <w:rsid w:val="0053618F"/>
    <w:rsid w:val="005361A3"/>
    <w:rsid w:val="00536B76"/>
    <w:rsid w:val="00536EF7"/>
    <w:rsid w:val="0053793A"/>
    <w:rsid w:val="00537A8F"/>
    <w:rsid w:val="00537D99"/>
    <w:rsid w:val="00537EC1"/>
    <w:rsid w:val="00537FD8"/>
    <w:rsid w:val="005401AE"/>
    <w:rsid w:val="0054020A"/>
    <w:rsid w:val="0054033F"/>
    <w:rsid w:val="00540469"/>
    <w:rsid w:val="005404C2"/>
    <w:rsid w:val="005404FB"/>
    <w:rsid w:val="00540584"/>
    <w:rsid w:val="00540C13"/>
    <w:rsid w:val="005410FE"/>
    <w:rsid w:val="005411E3"/>
    <w:rsid w:val="00541480"/>
    <w:rsid w:val="00541964"/>
    <w:rsid w:val="00541970"/>
    <w:rsid w:val="00542E07"/>
    <w:rsid w:val="00543E8A"/>
    <w:rsid w:val="00544087"/>
    <w:rsid w:val="005446D6"/>
    <w:rsid w:val="00544830"/>
    <w:rsid w:val="005449AD"/>
    <w:rsid w:val="00545424"/>
    <w:rsid w:val="00545696"/>
    <w:rsid w:val="00545E96"/>
    <w:rsid w:val="005466F2"/>
    <w:rsid w:val="00546ACA"/>
    <w:rsid w:val="00546CD2"/>
    <w:rsid w:val="005475B7"/>
    <w:rsid w:val="005475C5"/>
    <w:rsid w:val="005477F7"/>
    <w:rsid w:val="005509A5"/>
    <w:rsid w:val="00550D8A"/>
    <w:rsid w:val="00550DDD"/>
    <w:rsid w:val="00550FD8"/>
    <w:rsid w:val="00551235"/>
    <w:rsid w:val="0055181C"/>
    <w:rsid w:val="00551A77"/>
    <w:rsid w:val="00552BAA"/>
    <w:rsid w:val="00552EF0"/>
    <w:rsid w:val="005531F0"/>
    <w:rsid w:val="00553690"/>
    <w:rsid w:val="00553C3A"/>
    <w:rsid w:val="005541E3"/>
    <w:rsid w:val="0055422C"/>
    <w:rsid w:val="0055434A"/>
    <w:rsid w:val="005543CC"/>
    <w:rsid w:val="00554902"/>
    <w:rsid w:val="005549C7"/>
    <w:rsid w:val="00554A7B"/>
    <w:rsid w:val="00555206"/>
    <w:rsid w:val="0055572C"/>
    <w:rsid w:val="005559B7"/>
    <w:rsid w:val="00555CAD"/>
    <w:rsid w:val="00555DDC"/>
    <w:rsid w:val="00556361"/>
    <w:rsid w:val="00557768"/>
    <w:rsid w:val="00557BEE"/>
    <w:rsid w:val="00560189"/>
    <w:rsid w:val="00560971"/>
    <w:rsid w:val="00561012"/>
    <w:rsid w:val="0056106A"/>
    <w:rsid w:val="00561924"/>
    <w:rsid w:val="00561C90"/>
    <w:rsid w:val="0056311B"/>
    <w:rsid w:val="00563DA4"/>
    <w:rsid w:val="00564504"/>
    <w:rsid w:val="0056512C"/>
    <w:rsid w:val="0056579F"/>
    <w:rsid w:val="00565862"/>
    <w:rsid w:val="00565EB9"/>
    <w:rsid w:val="00566B0A"/>
    <w:rsid w:val="005670C9"/>
    <w:rsid w:val="00567CBA"/>
    <w:rsid w:val="00570F1D"/>
    <w:rsid w:val="005713F7"/>
    <w:rsid w:val="00571C86"/>
    <w:rsid w:val="005720AE"/>
    <w:rsid w:val="00572EF5"/>
    <w:rsid w:val="00573835"/>
    <w:rsid w:val="00573ED2"/>
    <w:rsid w:val="005741C8"/>
    <w:rsid w:val="0057448E"/>
    <w:rsid w:val="00574650"/>
    <w:rsid w:val="00575433"/>
    <w:rsid w:val="005755B7"/>
    <w:rsid w:val="00575977"/>
    <w:rsid w:val="00575A25"/>
    <w:rsid w:val="00575AD2"/>
    <w:rsid w:val="00576054"/>
    <w:rsid w:val="00576820"/>
    <w:rsid w:val="00576BD4"/>
    <w:rsid w:val="00576C02"/>
    <w:rsid w:val="00576F88"/>
    <w:rsid w:val="0058074D"/>
    <w:rsid w:val="00580FF2"/>
    <w:rsid w:val="00581236"/>
    <w:rsid w:val="00581A25"/>
    <w:rsid w:val="00581EDF"/>
    <w:rsid w:val="00582569"/>
    <w:rsid w:val="00582A57"/>
    <w:rsid w:val="0058316B"/>
    <w:rsid w:val="0058326B"/>
    <w:rsid w:val="00583C6C"/>
    <w:rsid w:val="00583E00"/>
    <w:rsid w:val="00584B9C"/>
    <w:rsid w:val="00584E90"/>
    <w:rsid w:val="00585118"/>
    <w:rsid w:val="00585553"/>
    <w:rsid w:val="0058691D"/>
    <w:rsid w:val="00586E6E"/>
    <w:rsid w:val="00587C17"/>
    <w:rsid w:val="005901EA"/>
    <w:rsid w:val="005902AF"/>
    <w:rsid w:val="00590B04"/>
    <w:rsid w:val="005915ED"/>
    <w:rsid w:val="0059184E"/>
    <w:rsid w:val="00591C1B"/>
    <w:rsid w:val="00592419"/>
    <w:rsid w:val="00593035"/>
    <w:rsid w:val="00593456"/>
    <w:rsid w:val="005934DB"/>
    <w:rsid w:val="00593A64"/>
    <w:rsid w:val="00593D7D"/>
    <w:rsid w:val="00594077"/>
    <w:rsid w:val="00594428"/>
    <w:rsid w:val="00594D46"/>
    <w:rsid w:val="00594D77"/>
    <w:rsid w:val="0059565A"/>
    <w:rsid w:val="00595C97"/>
    <w:rsid w:val="005967AC"/>
    <w:rsid w:val="005969E4"/>
    <w:rsid w:val="00596B3B"/>
    <w:rsid w:val="005971CF"/>
    <w:rsid w:val="0059720B"/>
    <w:rsid w:val="00597824"/>
    <w:rsid w:val="005978BC"/>
    <w:rsid w:val="005A0140"/>
    <w:rsid w:val="005A029C"/>
    <w:rsid w:val="005A0337"/>
    <w:rsid w:val="005A06B7"/>
    <w:rsid w:val="005A0BBB"/>
    <w:rsid w:val="005A10D0"/>
    <w:rsid w:val="005A13C3"/>
    <w:rsid w:val="005A14B9"/>
    <w:rsid w:val="005A1759"/>
    <w:rsid w:val="005A1782"/>
    <w:rsid w:val="005A2F39"/>
    <w:rsid w:val="005A48ED"/>
    <w:rsid w:val="005A4AA5"/>
    <w:rsid w:val="005A4F46"/>
    <w:rsid w:val="005A4FBB"/>
    <w:rsid w:val="005A575E"/>
    <w:rsid w:val="005A60EC"/>
    <w:rsid w:val="005A6470"/>
    <w:rsid w:val="005A683A"/>
    <w:rsid w:val="005A68A7"/>
    <w:rsid w:val="005A6BC7"/>
    <w:rsid w:val="005A6FE2"/>
    <w:rsid w:val="005A7C53"/>
    <w:rsid w:val="005A7EC6"/>
    <w:rsid w:val="005B0155"/>
    <w:rsid w:val="005B0720"/>
    <w:rsid w:val="005B0E65"/>
    <w:rsid w:val="005B1700"/>
    <w:rsid w:val="005B2DD7"/>
    <w:rsid w:val="005B316F"/>
    <w:rsid w:val="005B3D11"/>
    <w:rsid w:val="005B4228"/>
    <w:rsid w:val="005B499F"/>
    <w:rsid w:val="005B4CE9"/>
    <w:rsid w:val="005B54B4"/>
    <w:rsid w:val="005B597B"/>
    <w:rsid w:val="005B5AE5"/>
    <w:rsid w:val="005B606F"/>
    <w:rsid w:val="005B60BF"/>
    <w:rsid w:val="005B6717"/>
    <w:rsid w:val="005B6756"/>
    <w:rsid w:val="005B78F8"/>
    <w:rsid w:val="005B79D9"/>
    <w:rsid w:val="005B7AF9"/>
    <w:rsid w:val="005B7B4E"/>
    <w:rsid w:val="005B7DC1"/>
    <w:rsid w:val="005C0153"/>
    <w:rsid w:val="005C02E5"/>
    <w:rsid w:val="005C0AFD"/>
    <w:rsid w:val="005C20E8"/>
    <w:rsid w:val="005C2298"/>
    <w:rsid w:val="005C2339"/>
    <w:rsid w:val="005C23C7"/>
    <w:rsid w:val="005C2423"/>
    <w:rsid w:val="005C28AB"/>
    <w:rsid w:val="005C3A3E"/>
    <w:rsid w:val="005C3C6A"/>
    <w:rsid w:val="005C3E19"/>
    <w:rsid w:val="005C4003"/>
    <w:rsid w:val="005C40E8"/>
    <w:rsid w:val="005C4427"/>
    <w:rsid w:val="005C5111"/>
    <w:rsid w:val="005C54E2"/>
    <w:rsid w:val="005C56CE"/>
    <w:rsid w:val="005C5F17"/>
    <w:rsid w:val="005C63E6"/>
    <w:rsid w:val="005C6C3B"/>
    <w:rsid w:val="005C7362"/>
    <w:rsid w:val="005C7F18"/>
    <w:rsid w:val="005D0E52"/>
    <w:rsid w:val="005D1429"/>
    <w:rsid w:val="005D1853"/>
    <w:rsid w:val="005D1CAA"/>
    <w:rsid w:val="005D1FDA"/>
    <w:rsid w:val="005D21A2"/>
    <w:rsid w:val="005D2804"/>
    <w:rsid w:val="005D2B6E"/>
    <w:rsid w:val="005D34AE"/>
    <w:rsid w:val="005D361B"/>
    <w:rsid w:val="005D36AB"/>
    <w:rsid w:val="005D3AED"/>
    <w:rsid w:val="005D4214"/>
    <w:rsid w:val="005D4590"/>
    <w:rsid w:val="005D5CFF"/>
    <w:rsid w:val="005D6016"/>
    <w:rsid w:val="005D622B"/>
    <w:rsid w:val="005D64E2"/>
    <w:rsid w:val="005D6635"/>
    <w:rsid w:val="005D6B8E"/>
    <w:rsid w:val="005D6F13"/>
    <w:rsid w:val="005D7A70"/>
    <w:rsid w:val="005D7DF2"/>
    <w:rsid w:val="005E0EA2"/>
    <w:rsid w:val="005E1389"/>
    <w:rsid w:val="005E182E"/>
    <w:rsid w:val="005E18C7"/>
    <w:rsid w:val="005E2149"/>
    <w:rsid w:val="005E2368"/>
    <w:rsid w:val="005E253F"/>
    <w:rsid w:val="005E254E"/>
    <w:rsid w:val="005E27A5"/>
    <w:rsid w:val="005E362A"/>
    <w:rsid w:val="005E3795"/>
    <w:rsid w:val="005E3BCD"/>
    <w:rsid w:val="005E3E0C"/>
    <w:rsid w:val="005E4794"/>
    <w:rsid w:val="005E4CD8"/>
    <w:rsid w:val="005E5122"/>
    <w:rsid w:val="005E5180"/>
    <w:rsid w:val="005E5990"/>
    <w:rsid w:val="005E5A79"/>
    <w:rsid w:val="005E5B55"/>
    <w:rsid w:val="005E7830"/>
    <w:rsid w:val="005E7931"/>
    <w:rsid w:val="005E7E74"/>
    <w:rsid w:val="005F0667"/>
    <w:rsid w:val="005F0716"/>
    <w:rsid w:val="005F0A1D"/>
    <w:rsid w:val="005F1A62"/>
    <w:rsid w:val="005F1C27"/>
    <w:rsid w:val="005F25D6"/>
    <w:rsid w:val="005F2E99"/>
    <w:rsid w:val="005F33B0"/>
    <w:rsid w:val="005F3823"/>
    <w:rsid w:val="005F3EDD"/>
    <w:rsid w:val="005F45AE"/>
    <w:rsid w:val="005F4CFE"/>
    <w:rsid w:val="005F590B"/>
    <w:rsid w:val="005F5A87"/>
    <w:rsid w:val="005F65AE"/>
    <w:rsid w:val="005F69A9"/>
    <w:rsid w:val="005F6D89"/>
    <w:rsid w:val="005F6E1A"/>
    <w:rsid w:val="005F6EDA"/>
    <w:rsid w:val="005F7191"/>
    <w:rsid w:val="005F7429"/>
    <w:rsid w:val="005F7B9B"/>
    <w:rsid w:val="00600292"/>
    <w:rsid w:val="00600CDA"/>
    <w:rsid w:val="00600E13"/>
    <w:rsid w:val="00601DA1"/>
    <w:rsid w:val="00602B52"/>
    <w:rsid w:val="00602EB4"/>
    <w:rsid w:val="0060312F"/>
    <w:rsid w:val="00603191"/>
    <w:rsid w:val="00604104"/>
    <w:rsid w:val="0060410A"/>
    <w:rsid w:val="00604461"/>
    <w:rsid w:val="00604672"/>
    <w:rsid w:val="006056EB"/>
    <w:rsid w:val="006063EB"/>
    <w:rsid w:val="006066DC"/>
    <w:rsid w:val="00606A0D"/>
    <w:rsid w:val="00606BBF"/>
    <w:rsid w:val="00606ED0"/>
    <w:rsid w:val="00606F18"/>
    <w:rsid w:val="00607531"/>
    <w:rsid w:val="00607883"/>
    <w:rsid w:val="006079E7"/>
    <w:rsid w:val="00610418"/>
    <w:rsid w:val="00610702"/>
    <w:rsid w:val="00610761"/>
    <w:rsid w:val="00610D81"/>
    <w:rsid w:val="00610D96"/>
    <w:rsid w:val="00611121"/>
    <w:rsid w:val="0061166F"/>
    <w:rsid w:val="00612052"/>
    <w:rsid w:val="00613045"/>
    <w:rsid w:val="0061318E"/>
    <w:rsid w:val="00613240"/>
    <w:rsid w:val="00613AD2"/>
    <w:rsid w:val="006148E4"/>
    <w:rsid w:val="00614CEA"/>
    <w:rsid w:val="006153D9"/>
    <w:rsid w:val="00615A22"/>
    <w:rsid w:val="00615D79"/>
    <w:rsid w:val="0061630F"/>
    <w:rsid w:val="00616AB2"/>
    <w:rsid w:val="00617618"/>
    <w:rsid w:val="0061765E"/>
    <w:rsid w:val="006177FA"/>
    <w:rsid w:val="006179BA"/>
    <w:rsid w:val="00617A53"/>
    <w:rsid w:val="00617C86"/>
    <w:rsid w:val="00617CC3"/>
    <w:rsid w:val="00617DEB"/>
    <w:rsid w:val="00617EFC"/>
    <w:rsid w:val="0062005A"/>
    <w:rsid w:val="006203C5"/>
    <w:rsid w:val="00620683"/>
    <w:rsid w:val="00620E0B"/>
    <w:rsid w:val="006211B5"/>
    <w:rsid w:val="006212D3"/>
    <w:rsid w:val="0062175A"/>
    <w:rsid w:val="00621AFB"/>
    <w:rsid w:val="006222EC"/>
    <w:rsid w:val="00622570"/>
    <w:rsid w:val="00622694"/>
    <w:rsid w:val="00622D64"/>
    <w:rsid w:val="006236C1"/>
    <w:rsid w:val="006238BA"/>
    <w:rsid w:val="006239A0"/>
    <w:rsid w:val="006239C7"/>
    <w:rsid w:val="006240C6"/>
    <w:rsid w:val="00624149"/>
    <w:rsid w:val="0062418E"/>
    <w:rsid w:val="006251C0"/>
    <w:rsid w:val="00625479"/>
    <w:rsid w:val="0062571F"/>
    <w:rsid w:val="00625770"/>
    <w:rsid w:val="0062587B"/>
    <w:rsid w:val="00625BF6"/>
    <w:rsid w:val="00626097"/>
    <w:rsid w:val="0062677D"/>
    <w:rsid w:val="006268AB"/>
    <w:rsid w:val="00626CF0"/>
    <w:rsid w:val="00626E3F"/>
    <w:rsid w:val="006275C4"/>
    <w:rsid w:val="00627A60"/>
    <w:rsid w:val="00627AEA"/>
    <w:rsid w:val="00627C33"/>
    <w:rsid w:val="0063004D"/>
    <w:rsid w:val="00630721"/>
    <w:rsid w:val="00630861"/>
    <w:rsid w:val="00630ACB"/>
    <w:rsid w:val="00630CBC"/>
    <w:rsid w:val="00630F84"/>
    <w:rsid w:val="00631455"/>
    <w:rsid w:val="0063145D"/>
    <w:rsid w:val="00631471"/>
    <w:rsid w:val="00631880"/>
    <w:rsid w:val="00631D74"/>
    <w:rsid w:val="00633543"/>
    <w:rsid w:val="0063377F"/>
    <w:rsid w:val="00633D6C"/>
    <w:rsid w:val="00634581"/>
    <w:rsid w:val="0063471C"/>
    <w:rsid w:val="00634AF9"/>
    <w:rsid w:val="006350D1"/>
    <w:rsid w:val="0063520A"/>
    <w:rsid w:val="00635273"/>
    <w:rsid w:val="00635914"/>
    <w:rsid w:val="00636563"/>
    <w:rsid w:val="00636621"/>
    <w:rsid w:val="00636A94"/>
    <w:rsid w:val="00636EC7"/>
    <w:rsid w:val="0063701F"/>
    <w:rsid w:val="006377A6"/>
    <w:rsid w:val="00637A3D"/>
    <w:rsid w:val="00637AE5"/>
    <w:rsid w:val="00637E55"/>
    <w:rsid w:val="00637F8E"/>
    <w:rsid w:val="006411EF"/>
    <w:rsid w:val="0064146F"/>
    <w:rsid w:val="00641489"/>
    <w:rsid w:val="006417D1"/>
    <w:rsid w:val="00641A76"/>
    <w:rsid w:val="00641DE2"/>
    <w:rsid w:val="0064255C"/>
    <w:rsid w:val="0064314E"/>
    <w:rsid w:val="006432EB"/>
    <w:rsid w:val="006434CC"/>
    <w:rsid w:val="006434F0"/>
    <w:rsid w:val="00643979"/>
    <w:rsid w:val="00643B0F"/>
    <w:rsid w:val="006441D1"/>
    <w:rsid w:val="006443E7"/>
    <w:rsid w:val="00644908"/>
    <w:rsid w:val="00644F4E"/>
    <w:rsid w:val="00645960"/>
    <w:rsid w:val="00645F56"/>
    <w:rsid w:val="006467AE"/>
    <w:rsid w:val="0064695F"/>
    <w:rsid w:val="00646AEA"/>
    <w:rsid w:val="006475D2"/>
    <w:rsid w:val="006476EC"/>
    <w:rsid w:val="006501CC"/>
    <w:rsid w:val="00650522"/>
    <w:rsid w:val="00650924"/>
    <w:rsid w:val="00650CB5"/>
    <w:rsid w:val="00650E9A"/>
    <w:rsid w:val="00650EA5"/>
    <w:rsid w:val="00651341"/>
    <w:rsid w:val="00652CFF"/>
    <w:rsid w:val="00653606"/>
    <w:rsid w:val="006539D2"/>
    <w:rsid w:val="00653E6B"/>
    <w:rsid w:val="0065450E"/>
    <w:rsid w:val="00654568"/>
    <w:rsid w:val="006545FD"/>
    <w:rsid w:val="00654736"/>
    <w:rsid w:val="006547D0"/>
    <w:rsid w:val="00654E68"/>
    <w:rsid w:val="006557BB"/>
    <w:rsid w:val="00655E2F"/>
    <w:rsid w:val="00656060"/>
    <w:rsid w:val="006565A0"/>
    <w:rsid w:val="00657409"/>
    <w:rsid w:val="00657415"/>
    <w:rsid w:val="00657A4E"/>
    <w:rsid w:val="006604E8"/>
    <w:rsid w:val="00660942"/>
    <w:rsid w:val="006609DA"/>
    <w:rsid w:val="00660FA6"/>
    <w:rsid w:val="00660FDD"/>
    <w:rsid w:val="006611A8"/>
    <w:rsid w:val="00661226"/>
    <w:rsid w:val="00661985"/>
    <w:rsid w:val="00661C31"/>
    <w:rsid w:val="00661EC2"/>
    <w:rsid w:val="00661FA5"/>
    <w:rsid w:val="00662249"/>
    <w:rsid w:val="0066256D"/>
    <w:rsid w:val="0066259D"/>
    <w:rsid w:val="006626D2"/>
    <w:rsid w:val="0066301A"/>
    <w:rsid w:val="00664037"/>
    <w:rsid w:val="00664F72"/>
    <w:rsid w:val="006652FD"/>
    <w:rsid w:val="00665913"/>
    <w:rsid w:val="00665C76"/>
    <w:rsid w:val="00666519"/>
    <w:rsid w:val="00666ABB"/>
    <w:rsid w:val="00666F50"/>
    <w:rsid w:val="006701FD"/>
    <w:rsid w:val="0067046D"/>
    <w:rsid w:val="0067049A"/>
    <w:rsid w:val="006708D9"/>
    <w:rsid w:val="006708F2"/>
    <w:rsid w:val="0067094C"/>
    <w:rsid w:val="006709A0"/>
    <w:rsid w:val="00670B5A"/>
    <w:rsid w:val="0067137C"/>
    <w:rsid w:val="0067189A"/>
    <w:rsid w:val="006719E1"/>
    <w:rsid w:val="00671B79"/>
    <w:rsid w:val="006729F4"/>
    <w:rsid w:val="00673894"/>
    <w:rsid w:val="006739E2"/>
    <w:rsid w:val="00673D9F"/>
    <w:rsid w:val="006747C4"/>
    <w:rsid w:val="006748B8"/>
    <w:rsid w:val="00674992"/>
    <w:rsid w:val="006749F7"/>
    <w:rsid w:val="00674B67"/>
    <w:rsid w:val="00674CB4"/>
    <w:rsid w:val="0067544A"/>
    <w:rsid w:val="006758F2"/>
    <w:rsid w:val="00675BCC"/>
    <w:rsid w:val="00675C00"/>
    <w:rsid w:val="00676139"/>
    <w:rsid w:val="0067695D"/>
    <w:rsid w:val="00676C00"/>
    <w:rsid w:val="006772C5"/>
    <w:rsid w:val="00677543"/>
    <w:rsid w:val="006775C3"/>
    <w:rsid w:val="006779F0"/>
    <w:rsid w:val="00677B06"/>
    <w:rsid w:val="00680338"/>
    <w:rsid w:val="00680483"/>
    <w:rsid w:val="006805EE"/>
    <w:rsid w:val="00680993"/>
    <w:rsid w:val="00680DC6"/>
    <w:rsid w:val="006815EC"/>
    <w:rsid w:val="006817B6"/>
    <w:rsid w:val="006820B1"/>
    <w:rsid w:val="0068214D"/>
    <w:rsid w:val="00682285"/>
    <w:rsid w:val="00682776"/>
    <w:rsid w:val="00682A4D"/>
    <w:rsid w:val="0068436F"/>
    <w:rsid w:val="00684731"/>
    <w:rsid w:val="00684A44"/>
    <w:rsid w:val="00684C6D"/>
    <w:rsid w:val="00684E13"/>
    <w:rsid w:val="00685B9B"/>
    <w:rsid w:val="00685C2A"/>
    <w:rsid w:val="00685CD8"/>
    <w:rsid w:val="00686DBB"/>
    <w:rsid w:val="00686E00"/>
    <w:rsid w:val="00686F0C"/>
    <w:rsid w:val="006873C4"/>
    <w:rsid w:val="00687D8B"/>
    <w:rsid w:val="00687DF1"/>
    <w:rsid w:val="00687FB5"/>
    <w:rsid w:val="006908DD"/>
    <w:rsid w:val="00690908"/>
    <w:rsid w:val="00690A10"/>
    <w:rsid w:val="00690AD4"/>
    <w:rsid w:val="00690FF7"/>
    <w:rsid w:val="00691C21"/>
    <w:rsid w:val="00692885"/>
    <w:rsid w:val="0069290A"/>
    <w:rsid w:val="00692D89"/>
    <w:rsid w:val="00693955"/>
    <w:rsid w:val="006945F1"/>
    <w:rsid w:val="00694991"/>
    <w:rsid w:val="00694D22"/>
    <w:rsid w:val="0069527C"/>
    <w:rsid w:val="00695567"/>
    <w:rsid w:val="00695705"/>
    <w:rsid w:val="006959D9"/>
    <w:rsid w:val="00696417"/>
    <w:rsid w:val="006965A8"/>
    <w:rsid w:val="0069661D"/>
    <w:rsid w:val="00696887"/>
    <w:rsid w:val="00696F78"/>
    <w:rsid w:val="0069775A"/>
    <w:rsid w:val="00697813"/>
    <w:rsid w:val="00697CF9"/>
    <w:rsid w:val="006A0155"/>
    <w:rsid w:val="006A0A46"/>
    <w:rsid w:val="006A0DDA"/>
    <w:rsid w:val="006A0E34"/>
    <w:rsid w:val="006A0FCA"/>
    <w:rsid w:val="006A10CB"/>
    <w:rsid w:val="006A1462"/>
    <w:rsid w:val="006A17D5"/>
    <w:rsid w:val="006A1A35"/>
    <w:rsid w:val="006A2ACF"/>
    <w:rsid w:val="006A2B4A"/>
    <w:rsid w:val="006A2EB7"/>
    <w:rsid w:val="006A3946"/>
    <w:rsid w:val="006A3EE8"/>
    <w:rsid w:val="006A3F69"/>
    <w:rsid w:val="006A40B1"/>
    <w:rsid w:val="006A492B"/>
    <w:rsid w:val="006A4C03"/>
    <w:rsid w:val="006A525B"/>
    <w:rsid w:val="006A533A"/>
    <w:rsid w:val="006A5376"/>
    <w:rsid w:val="006A57EA"/>
    <w:rsid w:val="006A5C93"/>
    <w:rsid w:val="006A6727"/>
    <w:rsid w:val="006A6972"/>
    <w:rsid w:val="006A6B47"/>
    <w:rsid w:val="006A72BF"/>
    <w:rsid w:val="006A73C2"/>
    <w:rsid w:val="006B03F2"/>
    <w:rsid w:val="006B185E"/>
    <w:rsid w:val="006B1C63"/>
    <w:rsid w:val="006B2DE7"/>
    <w:rsid w:val="006B303D"/>
    <w:rsid w:val="006B3173"/>
    <w:rsid w:val="006B3233"/>
    <w:rsid w:val="006B37DC"/>
    <w:rsid w:val="006B3F2F"/>
    <w:rsid w:val="006B4630"/>
    <w:rsid w:val="006B4662"/>
    <w:rsid w:val="006B484D"/>
    <w:rsid w:val="006B4A40"/>
    <w:rsid w:val="006B4A9D"/>
    <w:rsid w:val="006B4DE9"/>
    <w:rsid w:val="006B4F49"/>
    <w:rsid w:val="006B4F68"/>
    <w:rsid w:val="006B5A04"/>
    <w:rsid w:val="006B5A5E"/>
    <w:rsid w:val="006B5CC2"/>
    <w:rsid w:val="006B5CF8"/>
    <w:rsid w:val="006B68C3"/>
    <w:rsid w:val="006B68DB"/>
    <w:rsid w:val="006B7059"/>
    <w:rsid w:val="006B772A"/>
    <w:rsid w:val="006B7A6C"/>
    <w:rsid w:val="006C00E6"/>
    <w:rsid w:val="006C0381"/>
    <w:rsid w:val="006C0592"/>
    <w:rsid w:val="006C0823"/>
    <w:rsid w:val="006C0A37"/>
    <w:rsid w:val="006C0C81"/>
    <w:rsid w:val="006C0DC9"/>
    <w:rsid w:val="006C0F9A"/>
    <w:rsid w:val="006C127E"/>
    <w:rsid w:val="006C191C"/>
    <w:rsid w:val="006C1FD0"/>
    <w:rsid w:val="006C2117"/>
    <w:rsid w:val="006C22A0"/>
    <w:rsid w:val="006C2600"/>
    <w:rsid w:val="006C272E"/>
    <w:rsid w:val="006C45D8"/>
    <w:rsid w:val="006C49C1"/>
    <w:rsid w:val="006C4C53"/>
    <w:rsid w:val="006C5479"/>
    <w:rsid w:val="006C5646"/>
    <w:rsid w:val="006C5B72"/>
    <w:rsid w:val="006C6309"/>
    <w:rsid w:val="006C6468"/>
    <w:rsid w:val="006C680B"/>
    <w:rsid w:val="006C69E6"/>
    <w:rsid w:val="006C69FF"/>
    <w:rsid w:val="006C6DBA"/>
    <w:rsid w:val="006C73B1"/>
    <w:rsid w:val="006D03FA"/>
    <w:rsid w:val="006D06D6"/>
    <w:rsid w:val="006D0A1A"/>
    <w:rsid w:val="006D13AA"/>
    <w:rsid w:val="006D13B5"/>
    <w:rsid w:val="006D19E0"/>
    <w:rsid w:val="006D1A8F"/>
    <w:rsid w:val="006D27B0"/>
    <w:rsid w:val="006D2BCA"/>
    <w:rsid w:val="006D2F1A"/>
    <w:rsid w:val="006D32C6"/>
    <w:rsid w:val="006D3404"/>
    <w:rsid w:val="006D42E2"/>
    <w:rsid w:val="006D4478"/>
    <w:rsid w:val="006D4613"/>
    <w:rsid w:val="006D4624"/>
    <w:rsid w:val="006D4BB9"/>
    <w:rsid w:val="006D4BCE"/>
    <w:rsid w:val="006D5237"/>
    <w:rsid w:val="006D5AEC"/>
    <w:rsid w:val="006D6290"/>
    <w:rsid w:val="006D6A2A"/>
    <w:rsid w:val="006D73CA"/>
    <w:rsid w:val="006D75B9"/>
    <w:rsid w:val="006E029F"/>
    <w:rsid w:val="006E06EC"/>
    <w:rsid w:val="006E12D1"/>
    <w:rsid w:val="006E12FF"/>
    <w:rsid w:val="006E1AD3"/>
    <w:rsid w:val="006E1F27"/>
    <w:rsid w:val="006E2602"/>
    <w:rsid w:val="006E2743"/>
    <w:rsid w:val="006E2BCE"/>
    <w:rsid w:val="006E372D"/>
    <w:rsid w:val="006E38AA"/>
    <w:rsid w:val="006E3AAB"/>
    <w:rsid w:val="006E3B48"/>
    <w:rsid w:val="006E4565"/>
    <w:rsid w:val="006E5192"/>
    <w:rsid w:val="006E5744"/>
    <w:rsid w:val="006E5A8A"/>
    <w:rsid w:val="006E5F5A"/>
    <w:rsid w:val="006E5FF2"/>
    <w:rsid w:val="006E607E"/>
    <w:rsid w:val="006E6477"/>
    <w:rsid w:val="006E6544"/>
    <w:rsid w:val="006E75A8"/>
    <w:rsid w:val="006F0042"/>
    <w:rsid w:val="006F0483"/>
    <w:rsid w:val="006F0495"/>
    <w:rsid w:val="006F04C9"/>
    <w:rsid w:val="006F0D34"/>
    <w:rsid w:val="006F0E69"/>
    <w:rsid w:val="006F0E81"/>
    <w:rsid w:val="006F1B4D"/>
    <w:rsid w:val="006F1E9E"/>
    <w:rsid w:val="006F21F3"/>
    <w:rsid w:val="006F2831"/>
    <w:rsid w:val="006F292B"/>
    <w:rsid w:val="006F2AC8"/>
    <w:rsid w:val="006F2EDC"/>
    <w:rsid w:val="006F334A"/>
    <w:rsid w:val="006F3C09"/>
    <w:rsid w:val="006F445B"/>
    <w:rsid w:val="006F4561"/>
    <w:rsid w:val="006F4743"/>
    <w:rsid w:val="006F4A63"/>
    <w:rsid w:val="006F4A94"/>
    <w:rsid w:val="006F505C"/>
    <w:rsid w:val="006F5600"/>
    <w:rsid w:val="006F5B3D"/>
    <w:rsid w:val="006F60B9"/>
    <w:rsid w:val="006F65EA"/>
    <w:rsid w:val="006F6D01"/>
    <w:rsid w:val="006F73E1"/>
    <w:rsid w:val="006F74E8"/>
    <w:rsid w:val="00700019"/>
    <w:rsid w:val="00700724"/>
    <w:rsid w:val="00700AA9"/>
    <w:rsid w:val="0070114C"/>
    <w:rsid w:val="007013DF"/>
    <w:rsid w:val="00701DB6"/>
    <w:rsid w:val="00701E3D"/>
    <w:rsid w:val="00701E5C"/>
    <w:rsid w:val="00701ECB"/>
    <w:rsid w:val="00702893"/>
    <w:rsid w:val="00703071"/>
    <w:rsid w:val="00703623"/>
    <w:rsid w:val="00703B31"/>
    <w:rsid w:val="00703F9B"/>
    <w:rsid w:val="00704721"/>
    <w:rsid w:val="00704758"/>
    <w:rsid w:val="007048C9"/>
    <w:rsid w:val="00704BA4"/>
    <w:rsid w:val="0070519F"/>
    <w:rsid w:val="00705F60"/>
    <w:rsid w:val="00706C5D"/>
    <w:rsid w:val="007071FF"/>
    <w:rsid w:val="007075CB"/>
    <w:rsid w:val="00707A47"/>
    <w:rsid w:val="00707A98"/>
    <w:rsid w:val="00707E2A"/>
    <w:rsid w:val="00707EAC"/>
    <w:rsid w:val="00710398"/>
    <w:rsid w:val="00711312"/>
    <w:rsid w:val="00711332"/>
    <w:rsid w:val="007113E5"/>
    <w:rsid w:val="007119A5"/>
    <w:rsid w:val="00711B66"/>
    <w:rsid w:val="00712E3C"/>
    <w:rsid w:val="00713426"/>
    <w:rsid w:val="00713A36"/>
    <w:rsid w:val="00714139"/>
    <w:rsid w:val="00714557"/>
    <w:rsid w:val="007145E9"/>
    <w:rsid w:val="007146DA"/>
    <w:rsid w:val="00715BC7"/>
    <w:rsid w:val="0071658F"/>
    <w:rsid w:val="007168E1"/>
    <w:rsid w:val="00716BC0"/>
    <w:rsid w:val="00716C18"/>
    <w:rsid w:val="00716D36"/>
    <w:rsid w:val="00717386"/>
    <w:rsid w:val="007174EB"/>
    <w:rsid w:val="0071780F"/>
    <w:rsid w:val="00717988"/>
    <w:rsid w:val="00717F55"/>
    <w:rsid w:val="00717F62"/>
    <w:rsid w:val="00717FB7"/>
    <w:rsid w:val="007201E0"/>
    <w:rsid w:val="0072082E"/>
    <w:rsid w:val="00721191"/>
    <w:rsid w:val="007213DB"/>
    <w:rsid w:val="00721AB5"/>
    <w:rsid w:val="00722390"/>
    <w:rsid w:val="007233C3"/>
    <w:rsid w:val="007236A0"/>
    <w:rsid w:val="00723FDB"/>
    <w:rsid w:val="007245EA"/>
    <w:rsid w:val="00724D12"/>
    <w:rsid w:val="00725026"/>
    <w:rsid w:val="007250D3"/>
    <w:rsid w:val="0072562A"/>
    <w:rsid w:val="00725706"/>
    <w:rsid w:val="007265E5"/>
    <w:rsid w:val="007273E8"/>
    <w:rsid w:val="007274DE"/>
    <w:rsid w:val="00727ADC"/>
    <w:rsid w:val="007308A7"/>
    <w:rsid w:val="007309C9"/>
    <w:rsid w:val="00730BEA"/>
    <w:rsid w:val="00731412"/>
    <w:rsid w:val="00731518"/>
    <w:rsid w:val="00731620"/>
    <w:rsid w:val="0073165F"/>
    <w:rsid w:val="0073171F"/>
    <w:rsid w:val="00731DA6"/>
    <w:rsid w:val="00732011"/>
    <w:rsid w:val="00732267"/>
    <w:rsid w:val="00732920"/>
    <w:rsid w:val="00732922"/>
    <w:rsid w:val="00732EA8"/>
    <w:rsid w:val="0073316F"/>
    <w:rsid w:val="0073420F"/>
    <w:rsid w:val="0073446F"/>
    <w:rsid w:val="0073449D"/>
    <w:rsid w:val="0073480E"/>
    <w:rsid w:val="00734995"/>
    <w:rsid w:val="00734AC1"/>
    <w:rsid w:val="00735633"/>
    <w:rsid w:val="00735BAB"/>
    <w:rsid w:val="00735FA9"/>
    <w:rsid w:val="0073610E"/>
    <w:rsid w:val="007364A3"/>
    <w:rsid w:val="007368B4"/>
    <w:rsid w:val="00736C40"/>
    <w:rsid w:val="0073702B"/>
    <w:rsid w:val="00737897"/>
    <w:rsid w:val="007379A3"/>
    <w:rsid w:val="00737FEE"/>
    <w:rsid w:val="00740979"/>
    <w:rsid w:val="00741434"/>
    <w:rsid w:val="00741AC5"/>
    <w:rsid w:val="007423CC"/>
    <w:rsid w:val="00742465"/>
    <w:rsid w:val="007424B2"/>
    <w:rsid w:val="007425B3"/>
    <w:rsid w:val="00742B04"/>
    <w:rsid w:val="00743743"/>
    <w:rsid w:val="00743DC0"/>
    <w:rsid w:val="00744F73"/>
    <w:rsid w:val="00745862"/>
    <w:rsid w:val="0074658D"/>
    <w:rsid w:val="007473DB"/>
    <w:rsid w:val="0074740A"/>
    <w:rsid w:val="00750BBC"/>
    <w:rsid w:val="00750CAA"/>
    <w:rsid w:val="0075162E"/>
    <w:rsid w:val="007519DB"/>
    <w:rsid w:val="00751C4A"/>
    <w:rsid w:val="00751CC1"/>
    <w:rsid w:val="00751E3A"/>
    <w:rsid w:val="00751FC0"/>
    <w:rsid w:val="007522A1"/>
    <w:rsid w:val="007522F6"/>
    <w:rsid w:val="00752CA7"/>
    <w:rsid w:val="00753A96"/>
    <w:rsid w:val="00753B1E"/>
    <w:rsid w:val="00753C75"/>
    <w:rsid w:val="00754034"/>
    <w:rsid w:val="00755060"/>
    <w:rsid w:val="007553FA"/>
    <w:rsid w:val="0075586A"/>
    <w:rsid w:val="00755CF2"/>
    <w:rsid w:val="0075637C"/>
    <w:rsid w:val="00756556"/>
    <w:rsid w:val="00756F86"/>
    <w:rsid w:val="00761182"/>
    <w:rsid w:val="00761645"/>
    <w:rsid w:val="007618C4"/>
    <w:rsid w:val="00761ECC"/>
    <w:rsid w:val="0076208F"/>
    <w:rsid w:val="0076230C"/>
    <w:rsid w:val="00762D51"/>
    <w:rsid w:val="00762E5B"/>
    <w:rsid w:val="00762F7D"/>
    <w:rsid w:val="00763644"/>
    <w:rsid w:val="0076376C"/>
    <w:rsid w:val="00763FC2"/>
    <w:rsid w:val="007648D0"/>
    <w:rsid w:val="0076492E"/>
    <w:rsid w:val="007649ED"/>
    <w:rsid w:val="0076564D"/>
    <w:rsid w:val="007666DC"/>
    <w:rsid w:val="007676D0"/>
    <w:rsid w:val="00767980"/>
    <w:rsid w:val="00767B62"/>
    <w:rsid w:val="0077023E"/>
    <w:rsid w:val="00770350"/>
    <w:rsid w:val="0077048D"/>
    <w:rsid w:val="007709C7"/>
    <w:rsid w:val="00770B19"/>
    <w:rsid w:val="00770B66"/>
    <w:rsid w:val="00770E23"/>
    <w:rsid w:val="00771070"/>
    <w:rsid w:val="00771D7A"/>
    <w:rsid w:val="00771E4E"/>
    <w:rsid w:val="00772168"/>
    <w:rsid w:val="0077224B"/>
    <w:rsid w:val="00772BA7"/>
    <w:rsid w:val="00772C50"/>
    <w:rsid w:val="0077372D"/>
    <w:rsid w:val="00773737"/>
    <w:rsid w:val="0077389B"/>
    <w:rsid w:val="00773933"/>
    <w:rsid w:val="00773A44"/>
    <w:rsid w:val="00773BBB"/>
    <w:rsid w:val="00773C88"/>
    <w:rsid w:val="00773ED2"/>
    <w:rsid w:val="00774272"/>
    <w:rsid w:val="007744E8"/>
    <w:rsid w:val="00774610"/>
    <w:rsid w:val="0077463F"/>
    <w:rsid w:val="00774F92"/>
    <w:rsid w:val="007750DD"/>
    <w:rsid w:val="007757EF"/>
    <w:rsid w:val="00775983"/>
    <w:rsid w:val="00775AAA"/>
    <w:rsid w:val="00776170"/>
    <w:rsid w:val="00776299"/>
    <w:rsid w:val="0077687E"/>
    <w:rsid w:val="00776C81"/>
    <w:rsid w:val="00777089"/>
    <w:rsid w:val="00777096"/>
    <w:rsid w:val="007770F5"/>
    <w:rsid w:val="00777292"/>
    <w:rsid w:val="00780072"/>
    <w:rsid w:val="00780A8E"/>
    <w:rsid w:val="007814BC"/>
    <w:rsid w:val="007815D2"/>
    <w:rsid w:val="007817B3"/>
    <w:rsid w:val="0078224C"/>
    <w:rsid w:val="007826F1"/>
    <w:rsid w:val="007828A0"/>
    <w:rsid w:val="00782BCD"/>
    <w:rsid w:val="007832A6"/>
    <w:rsid w:val="00783698"/>
    <w:rsid w:val="007836EA"/>
    <w:rsid w:val="007837BD"/>
    <w:rsid w:val="00784304"/>
    <w:rsid w:val="00784B0B"/>
    <w:rsid w:val="00784CDA"/>
    <w:rsid w:val="00784FCC"/>
    <w:rsid w:val="0078516B"/>
    <w:rsid w:val="00785897"/>
    <w:rsid w:val="00786B7C"/>
    <w:rsid w:val="00786BAC"/>
    <w:rsid w:val="00786DAD"/>
    <w:rsid w:val="00787C02"/>
    <w:rsid w:val="00787FB1"/>
    <w:rsid w:val="0079065D"/>
    <w:rsid w:val="007906C4"/>
    <w:rsid w:val="00791138"/>
    <w:rsid w:val="0079156C"/>
    <w:rsid w:val="00791C12"/>
    <w:rsid w:val="00791DED"/>
    <w:rsid w:val="0079220A"/>
    <w:rsid w:val="007923D4"/>
    <w:rsid w:val="00792776"/>
    <w:rsid w:val="00792AB8"/>
    <w:rsid w:val="00792FEE"/>
    <w:rsid w:val="00793135"/>
    <w:rsid w:val="00793775"/>
    <w:rsid w:val="007940EA"/>
    <w:rsid w:val="00794404"/>
    <w:rsid w:val="00794453"/>
    <w:rsid w:val="00794D2F"/>
    <w:rsid w:val="00794D6A"/>
    <w:rsid w:val="00794EC9"/>
    <w:rsid w:val="00794ECC"/>
    <w:rsid w:val="00795333"/>
    <w:rsid w:val="0079545B"/>
    <w:rsid w:val="007961F9"/>
    <w:rsid w:val="007962D3"/>
    <w:rsid w:val="00796751"/>
    <w:rsid w:val="007967E8"/>
    <w:rsid w:val="007973A3"/>
    <w:rsid w:val="007979E3"/>
    <w:rsid w:val="007A03A4"/>
    <w:rsid w:val="007A0B13"/>
    <w:rsid w:val="007A0F88"/>
    <w:rsid w:val="007A0FB4"/>
    <w:rsid w:val="007A1439"/>
    <w:rsid w:val="007A1794"/>
    <w:rsid w:val="007A1DC9"/>
    <w:rsid w:val="007A1EA3"/>
    <w:rsid w:val="007A2170"/>
    <w:rsid w:val="007A22BF"/>
    <w:rsid w:val="007A2AAF"/>
    <w:rsid w:val="007A2D15"/>
    <w:rsid w:val="007A30B4"/>
    <w:rsid w:val="007A3323"/>
    <w:rsid w:val="007A3BA1"/>
    <w:rsid w:val="007A3D0A"/>
    <w:rsid w:val="007A3D64"/>
    <w:rsid w:val="007A419A"/>
    <w:rsid w:val="007A44F8"/>
    <w:rsid w:val="007A4A85"/>
    <w:rsid w:val="007A4B05"/>
    <w:rsid w:val="007A52DC"/>
    <w:rsid w:val="007A54C2"/>
    <w:rsid w:val="007A587A"/>
    <w:rsid w:val="007A59CD"/>
    <w:rsid w:val="007A5A7A"/>
    <w:rsid w:val="007A5BDC"/>
    <w:rsid w:val="007A5DAA"/>
    <w:rsid w:val="007A5E0A"/>
    <w:rsid w:val="007A5FEA"/>
    <w:rsid w:val="007A6802"/>
    <w:rsid w:val="007A6EED"/>
    <w:rsid w:val="007A72E8"/>
    <w:rsid w:val="007B00C3"/>
    <w:rsid w:val="007B0608"/>
    <w:rsid w:val="007B07A7"/>
    <w:rsid w:val="007B0881"/>
    <w:rsid w:val="007B0F0B"/>
    <w:rsid w:val="007B10CB"/>
    <w:rsid w:val="007B125C"/>
    <w:rsid w:val="007B1929"/>
    <w:rsid w:val="007B1A56"/>
    <w:rsid w:val="007B1F01"/>
    <w:rsid w:val="007B2988"/>
    <w:rsid w:val="007B29A6"/>
    <w:rsid w:val="007B31AF"/>
    <w:rsid w:val="007B4460"/>
    <w:rsid w:val="007B4EE6"/>
    <w:rsid w:val="007B56F0"/>
    <w:rsid w:val="007B5ABD"/>
    <w:rsid w:val="007B63E6"/>
    <w:rsid w:val="007B68EC"/>
    <w:rsid w:val="007B72B8"/>
    <w:rsid w:val="007B7A58"/>
    <w:rsid w:val="007C069F"/>
    <w:rsid w:val="007C1347"/>
    <w:rsid w:val="007C16EE"/>
    <w:rsid w:val="007C196D"/>
    <w:rsid w:val="007C1B4C"/>
    <w:rsid w:val="007C1CB9"/>
    <w:rsid w:val="007C1EE7"/>
    <w:rsid w:val="007C1F7E"/>
    <w:rsid w:val="007C2092"/>
    <w:rsid w:val="007C21B5"/>
    <w:rsid w:val="007C23FB"/>
    <w:rsid w:val="007C2ADB"/>
    <w:rsid w:val="007C2C1E"/>
    <w:rsid w:val="007C2FDA"/>
    <w:rsid w:val="007C31DF"/>
    <w:rsid w:val="007C3648"/>
    <w:rsid w:val="007C40FF"/>
    <w:rsid w:val="007C413C"/>
    <w:rsid w:val="007C4225"/>
    <w:rsid w:val="007C45DA"/>
    <w:rsid w:val="007C463B"/>
    <w:rsid w:val="007C5501"/>
    <w:rsid w:val="007C555D"/>
    <w:rsid w:val="007C5572"/>
    <w:rsid w:val="007C5826"/>
    <w:rsid w:val="007C5AF4"/>
    <w:rsid w:val="007C5B16"/>
    <w:rsid w:val="007C5F26"/>
    <w:rsid w:val="007C612B"/>
    <w:rsid w:val="007C6623"/>
    <w:rsid w:val="007C6DCB"/>
    <w:rsid w:val="007C6F69"/>
    <w:rsid w:val="007C760F"/>
    <w:rsid w:val="007C7712"/>
    <w:rsid w:val="007C7854"/>
    <w:rsid w:val="007D037D"/>
    <w:rsid w:val="007D043F"/>
    <w:rsid w:val="007D0609"/>
    <w:rsid w:val="007D0722"/>
    <w:rsid w:val="007D0BA6"/>
    <w:rsid w:val="007D0C87"/>
    <w:rsid w:val="007D1681"/>
    <w:rsid w:val="007D2A24"/>
    <w:rsid w:val="007D2DF8"/>
    <w:rsid w:val="007D305B"/>
    <w:rsid w:val="007D4402"/>
    <w:rsid w:val="007D4C41"/>
    <w:rsid w:val="007D4F14"/>
    <w:rsid w:val="007D515C"/>
    <w:rsid w:val="007D59FE"/>
    <w:rsid w:val="007D60AF"/>
    <w:rsid w:val="007D64E2"/>
    <w:rsid w:val="007D6AAF"/>
    <w:rsid w:val="007D7419"/>
    <w:rsid w:val="007D74D9"/>
    <w:rsid w:val="007D776C"/>
    <w:rsid w:val="007D789D"/>
    <w:rsid w:val="007D7C88"/>
    <w:rsid w:val="007E19EF"/>
    <w:rsid w:val="007E32F5"/>
    <w:rsid w:val="007E37E3"/>
    <w:rsid w:val="007E4244"/>
    <w:rsid w:val="007E464D"/>
    <w:rsid w:val="007E49C8"/>
    <w:rsid w:val="007E4BD2"/>
    <w:rsid w:val="007E52CF"/>
    <w:rsid w:val="007E57A0"/>
    <w:rsid w:val="007E5A64"/>
    <w:rsid w:val="007E5BC0"/>
    <w:rsid w:val="007E5E55"/>
    <w:rsid w:val="007E6407"/>
    <w:rsid w:val="007E6412"/>
    <w:rsid w:val="007E6858"/>
    <w:rsid w:val="007E7183"/>
    <w:rsid w:val="007E726C"/>
    <w:rsid w:val="007E7A99"/>
    <w:rsid w:val="007E7F7B"/>
    <w:rsid w:val="007F0422"/>
    <w:rsid w:val="007F06CE"/>
    <w:rsid w:val="007F0787"/>
    <w:rsid w:val="007F0AE7"/>
    <w:rsid w:val="007F1AE0"/>
    <w:rsid w:val="007F27DA"/>
    <w:rsid w:val="007F2B31"/>
    <w:rsid w:val="007F3E7F"/>
    <w:rsid w:val="007F429A"/>
    <w:rsid w:val="007F4BD7"/>
    <w:rsid w:val="007F4BEB"/>
    <w:rsid w:val="007F5049"/>
    <w:rsid w:val="007F5C0C"/>
    <w:rsid w:val="007F6831"/>
    <w:rsid w:val="007F6E0A"/>
    <w:rsid w:val="0080007F"/>
    <w:rsid w:val="008000DB"/>
    <w:rsid w:val="00800BAB"/>
    <w:rsid w:val="00800BC4"/>
    <w:rsid w:val="00801393"/>
    <w:rsid w:val="00802302"/>
    <w:rsid w:val="00802321"/>
    <w:rsid w:val="00802F88"/>
    <w:rsid w:val="008049B5"/>
    <w:rsid w:val="008051AE"/>
    <w:rsid w:val="008055E2"/>
    <w:rsid w:val="00806DFB"/>
    <w:rsid w:val="00807743"/>
    <w:rsid w:val="00807D80"/>
    <w:rsid w:val="00810239"/>
    <w:rsid w:val="00810C83"/>
    <w:rsid w:val="00810C8F"/>
    <w:rsid w:val="00810E22"/>
    <w:rsid w:val="00811BB0"/>
    <w:rsid w:val="00811D25"/>
    <w:rsid w:val="00812116"/>
    <w:rsid w:val="0081232B"/>
    <w:rsid w:val="0081293E"/>
    <w:rsid w:val="00812FCE"/>
    <w:rsid w:val="008136C6"/>
    <w:rsid w:val="0081394B"/>
    <w:rsid w:val="008139FB"/>
    <w:rsid w:val="008140F6"/>
    <w:rsid w:val="008147BF"/>
    <w:rsid w:val="00814AE2"/>
    <w:rsid w:val="00814AE5"/>
    <w:rsid w:val="00815465"/>
    <w:rsid w:val="008154DB"/>
    <w:rsid w:val="00815C41"/>
    <w:rsid w:val="0081622A"/>
    <w:rsid w:val="008163CD"/>
    <w:rsid w:val="008166F0"/>
    <w:rsid w:val="00816A4F"/>
    <w:rsid w:val="00816C35"/>
    <w:rsid w:val="00817E9A"/>
    <w:rsid w:val="00820241"/>
    <w:rsid w:val="00820624"/>
    <w:rsid w:val="00820D48"/>
    <w:rsid w:val="008212D1"/>
    <w:rsid w:val="00821592"/>
    <w:rsid w:val="00822B75"/>
    <w:rsid w:val="0082327D"/>
    <w:rsid w:val="008233CA"/>
    <w:rsid w:val="00823651"/>
    <w:rsid w:val="00823699"/>
    <w:rsid w:val="00823988"/>
    <w:rsid w:val="00823CF0"/>
    <w:rsid w:val="00823D61"/>
    <w:rsid w:val="008246B5"/>
    <w:rsid w:val="00824A2D"/>
    <w:rsid w:val="00824B3C"/>
    <w:rsid w:val="00824C63"/>
    <w:rsid w:val="00824E79"/>
    <w:rsid w:val="00824EF1"/>
    <w:rsid w:val="00825C88"/>
    <w:rsid w:val="0082600E"/>
    <w:rsid w:val="00826870"/>
    <w:rsid w:val="00826ED9"/>
    <w:rsid w:val="00826F58"/>
    <w:rsid w:val="00827869"/>
    <w:rsid w:val="0082792F"/>
    <w:rsid w:val="00830180"/>
    <w:rsid w:val="00830641"/>
    <w:rsid w:val="008306BD"/>
    <w:rsid w:val="00830976"/>
    <w:rsid w:val="00830A13"/>
    <w:rsid w:val="00831714"/>
    <w:rsid w:val="008317A6"/>
    <w:rsid w:val="0083192D"/>
    <w:rsid w:val="00831A80"/>
    <w:rsid w:val="008322CC"/>
    <w:rsid w:val="00832837"/>
    <w:rsid w:val="00832E2A"/>
    <w:rsid w:val="0083305E"/>
    <w:rsid w:val="00833743"/>
    <w:rsid w:val="008340A4"/>
    <w:rsid w:val="008341FA"/>
    <w:rsid w:val="008344E6"/>
    <w:rsid w:val="008349CF"/>
    <w:rsid w:val="00834BE8"/>
    <w:rsid w:val="00834D38"/>
    <w:rsid w:val="00834E0A"/>
    <w:rsid w:val="0083537B"/>
    <w:rsid w:val="008355DD"/>
    <w:rsid w:val="00835C03"/>
    <w:rsid w:val="00835EAE"/>
    <w:rsid w:val="008362E7"/>
    <w:rsid w:val="00836C1C"/>
    <w:rsid w:val="00836F08"/>
    <w:rsid w:val="0083749C"/>
    <w:rsid w:val="00840A90"/>
    <w:rsid w:val="00840BC4"/>
    <w:rsid w:val="00841BDF"/>
    <w:rsid w:val="00841CDB"/>
    <w:rsid w:val="00841E2C"/>
    <w:rsid w:val="00841E46"/>
    <w:rsid w:val="008428D5"/>
    <w:rsid w:val="00842A08"/>
    <w:rsid w:val="00842E10"/>
    <w:rsid w:val="00842FEF"/>
    <w:rsid w:val="008436FB"/>
    <w:rsid w:val="008439C1"/>
    <w:rsid w:val="00843AAF"/>
    <w:rsid w:val="00843B51"/>
    <w:rsid w:val="00843CAB"/>
    <w:rsid w:val="00843D4C"/>
    <w:rsid w:val="00843D78"/>
    <w:rsid w:val="0084422C"/>
    <w:rsid w:val="008447CB"/>
    <w:rsid w:val="0084512B"/>
    <w:rsid w:val="00845262"/>
    <w:rsid w:val="0084564E"/>
    <w:rsid w:val="008467AA"/>
    <w:rsid w:val="00846A34"/>
    <w:rsid w:val="00847CD3"/>
    <w:rsid w:val="00850439"/>
    <w:rsid w:val="00850464"/>
    <w:rsid w:val="008509F5"/>
    <w:rsid w:val="00850CEB"/>
    <w:rsid w:val="00850ED9"/>
    <w:rsid w:val="008519EE"/>
    <w:rsid w:val="00851B45"/>
    <w:rsid w:val="00851C3C"/>
    <w:rsid w:val="00851F6B"/>
    <w:rsid w:val="008522FD"/>
    <w:rsid w:val="008524A8"/>
    <w:rsid w:val="00852852"/>
    <w:rsid w:val="00852A7A"/>
    <w:rsid w:val="00852CA2"/>
    <w:rsid w:val="00852D54"/>
    <w:rsid w:val="00853A52"/>
    <w:rsid w:val="00854D3E"/>
    <w:rsid w:val="00855966"/>
    <w:rsid w:val="008572FB"/>
    <w:rsid w:val="0086030D"/>
    <w:rsid w:val="008603B5"/>
    <w:rsid w:val="0086070A"/>
    <w:rsid w:val="00860CA4"/>
    <w:rsid w:val="00860EDC"/>
    <w:rsid w:val="00861160"/>
    <w:rsid w:val="008615B8"/>
    <w:rsid w:val="00861659"/>
    <w:rsid w:val="008617A2"/>
    <w:rsid w:val="008619AD"/>
    <w:rsid w:val="00862C70"/>
    <w:rsid w:val="0086376E"/>
    <w:rsid w:val="00863ECC"/>
    <w:rsid w:val="00864A7E"/>
    <w:rsid w:val="0086511E"/>
    <w:rsid w:val="00865219"/>
    <w:rsid w:val="008659C1"/>
    <w:rsid w:val="00865AD7"/>
    <w:rsid w:val="00865FC3"/>
    <w:rsid w:val="00867535"/>
    <w:rsid w:val="00867758"/>
    <w:rsid w:val="00867B59"/>
    <w:rsid w:val="008701E9"/>
    <w:rsid w:val="0087030F"/>
    <w:rsid w:val="0087061C"/>
    <w:rsid w:val="008711BD"/>
    <w:rsid w:val="0087135F"/>
    <w:rsid w:val="00871603"/>
    <w:rsid w:val="00871634"/>
    <w:rsid w:val="008720A0"/>
    <w:rsid w:val="00872838"/>
    <w:rsid w:val="00872D94"/>
    <w:rsid w:val="00872DC2"/>
    <w:rsid w:val="0087343F"/>
    <w:rsid w:val="008741DA"/>
    <w:rsid w:val="00874C18"/>
    <w:rsid w:val="00875020"/>
    <w:rsid w:val="008751E0"/>
    <w:rsid w:val="008755EC"/>
    <w:rsid w:val="00875816"/>
    <w:rsid w:val="00875877"/>
    <w:rsid w:val="008762A0"/>
    <w:rsid w:val="00876D65"/>
    <w:rsid w:val="0087700E"/>
    <w:rsid w:val="00877E2A"/>
    <w:rsid w:val="00880277"/>
    <w:rsid w:val="00880364"/>
    <w:rsid w:val="0088084D"/>
    <w:rsid w:val="00881043"/>
    <w:rsid w:val="008811AD"/>
    <w:rsid w:val="00881381"/>
    <w:rsid w:val="00881556"/>
    <w:rsid w:val="00881B68"/>
    <w:rsid w:val="0088212D"/>
    <w:rsid w:val="0088238E"/>
    <w:rsid w:val="00882607"/>
    <w:rsid w:val="00882688"/>
    <w:rsid w:val="00883B2E"/>
    <w:rsid w:val="00884015"/>
    <w:rsid w:val="008840A7"/>
    <w:rsid w:val="00884483"/>
    <w:rsid w:val="00884BD5"/>
    <w:rsid w:val="00884FB4"/>
    <w:rsid w:val="0088510F"/>
    <w:rsid w:val="008859D3"/>
    <w:rsid w:val="00886215"/>
    <w:rsid w:val="00886722"/>
    <w:rsid w:val="00886B17"/>
    <w:rsid w:val="00887E85"/>
    <w:rsid w:val="008905B9"/>
    <w:rsid w:val="00890C03"/>
    <w:rsid w:val="00891592"/>
    <w:rsid w:val="008915D5"/>
    <w:rsid w:val="008916FE"/>
    <w:rsid w:val="00891E6A"/>
    <w:rsid w:val="00891E9E"/>
    <w:rsid w:val="008927A2"/>
    <w:rsid w:val="00893337"/>
    <w:rsid w:val="00893396"/>
    <w:rsid w:val="008939B4"/>
    <w:rsid w:val="00894C29"/>
    <w:rsid w:val="00894C85"/>
    <w:rsid w:val="00894D98"/>
    <w:rsid w:val="00895DA8"/>
    <w:rsid w:val="0089611D"/>
    <w:rsid w:val="0089683A"/>
    <w:rsid w:val="00896C90"/>
    <w:rsid w:val="00897407"/>
    <w:rsid w:val="00897ABA"/>
    <w:rsid w:val="00897D5E"/>
    <w:rsid w:val="00897F31"/>
    <w:rsid w:val="008A015C"/>
    <w:rsid w:val="008A015D"/>
    <w:rsid w:val="008A051B"/>
    <w:rsid w:val="008A098F"/>
    <w:rsid w:val="008A0BAD"/>
    <w:rsid w:val="008A116C"/>
    <w:rsid w:val="008A1583"/>
    <w:rsid w:val="008A160F"/>
    <w:rsid w:val="008A1A67"/>
    <w:rsid w:val="008A1C4A"/>
    <w:rsid w:val="008A1E07"/>
    <w:rsid w:val="008A29ED"/>
    <w:rsid w:val="008A2E98"/>
    <w:rsid w:val="008A2F68"/>
    <w:rsid w:val="008A317B"/>
    <w:rsid w:val="008A31FF"/>
    <w:rsid w:val="008A3950"/>
    <w:rsid w:val="008A4587"/>
    <w:rsid w:val="008A4674"/>
    <w:rsid w:val="008A48BC"/>
    <w:rsid w:val="008A4B35"/>
    <w:rsid w:val="008A4BAC"/>
    <w:rsid w:val="008A5A03"/>
    <w:rsid w:val="008A5EA6"/>
    <w:rsid w:val="008A6135"/>
    <w:rsid w:val="008A6DAA"/>
    <w:rsid w:val="008A744B"/>
    <w:rsid w:val="008A756C"/>
    <w:rsid w:val="008A7971"/>
    <w:rsid w:val="008A7B28"/>
    <w:rsid w:val="008A7DB5"/>
    <w:rsid w:val="008B04A7"/>
    <w:rsid w:val="008B070F"/>
    <w:rsid w:val="008B0887"/>
    <w:rsid w:val="008B1A74"/>
    <w:rsid w:val="008B3592"/>
    <w:rsid w:val="008B3829"/>
    <w:rsid w:val="008B4C7D"/>
    <w:rsid w:val="008B4FA6"/>
    <w:rsid w:val="008B5282"/>
    <w:rsid w:val="008B53FC"/>
    <w:rsid w:val="008B5972"/>
    <w:rsid w:val="008B5FE5"/>
    <w:rsid w:val="008B6A8C"/>
    <w:rsid w:val="008B6DA6"/>
    <w:rsid w:val="008B744C"/>
    <w:rsid w:val="008B752D"/>
    <w:rsid w:val="008B7623"/>
    <w:rsid w:val="008B7C17"/>
    <w:rsid w:val="008C07F8"/>
    <w:rsid w:val="008C087C"/>
    <w:rsid w:val="008C0B26"/>
    <w:rsid w:val="008C1197"/>
    <w:rsid w:val="008C13FD"/>
    <w:rsid w:val="008C2A2E"/>
    <w:rsid w:val="008C2D01"/>
    <w:rsid w:val="008C2E9F"/>
    <w:rsid w:val="008C376B"/>
    <w:rsid w:val="008C39D9"/>
    <w:rsid w:val="008C3E60"/>
    <w:rsid w:val="008C3FEF"/>
    <w:rsid w:val="008C40E6"/>
    <w:rsid w:val="008C4233"/>
    <w:rsid w:val="008C441F"/>
    <w:rsid w:val="008C57F9"/>
    <w:rsid w:val="008C5962"/>
    <w:rsid w:val="008C5EB4"/>
    <w:rsid w:val="008C5EC3"/>
    <w:rsid w:val="008C5FD0"/>
    <w:rsid w:val="008C68FE"/>
    <w:rsid w:val="008C6B50"/>
    <w:rsid w:val="008C7278"/>
    <w:rsid w:val="008C7592"/>
    <w:rsid w:val="008C78F7"/>
    <w:rsid w:val="008D0018"/>
    <w:rsid w:val="008D0570"/>
    <w:rsid w:val="008D099B"/>
    <w:rsid w:val="008D0F7A"/>
    <w:rsid w:val="008D1285"/>
    <w:rsid w:val="008D19B8"/>
    <w:rsid w:val="008D2826"/>
    <w:rsid w:val="008D33D2"/>
    <w:rsid w:val="008D3872"/>
    <w:rsid w:val="008D38AF"/>
    <w:rsid w:val="008D3E28"/>
    <w:rsid w:val="008D466B"/>
    <w:rsid w:val="008D4CA1"/>
    <w:rsid w:val="008D4FC0"/>
    <w:rsid w:val="008D514D"/>
    <w:rsid w:val="008D6764"/>
    <w:rsid w:val="008D6796"/>
    <w:rsid w:val="008D68E4"/>
    <w:rsid w:val="008D6967"/>
    <w:rsid w:val="008D7557"/>
    <w:rsid w:val="008E0506"/>
    <w:rsid w:val="008E0560"/>
    <w:rsid w:val="008E0CFF"/>
    <w:rsid w:val="008E1BA6"/>
    <w:rsid w:val="008E26DA"/>
    <w:rsid w:val="008E3810"/>
    <w:rsid w:val="008E38E6"/>
    <w:rsid w:val="008E3A53"/>
    <w:rsid w:val="008E400E"/>
    <w:rsid w:val="008E4297"/>
    <w:rsid w:val="008E4985"/>
    <w:rsid w:val="008E4BFE"/>
    <w:rsid w:val="008E5D6B"/>
    <w:rsid w:val="008E68D4"/>
    <w:rsid w:val="008E6B10"/>
    <w:rsid w:val="008E6BC7"/>
    <w:rsid w:val="008E736A"/>
    <w:rsid w:val="008E74D0"/>
    <w:rsid w:val="008E76F0"/>
    <w:rsid w:val="008E7BC7"/>
    <w:rsid w:val="008E7CD1"/>
    <w:rsid w:val="008F0411"/>
    <w:rsid w:val="008F046B"/>
    <w:rsid w:val="008F066A"/>
    <w:rsid w:val="008F068C"/>
    <w:rsid w:val="008F0E81"/>
    <w:rsid w:val="008F1342"/>
    <w:rsid w:val="008F15FE"/>
    <w:rsid w:val="008F1768"/>
    <w:rsid w:val="008F2306"/>
    <w:rsid w:val="008F2CDA"/>
    <w:rsid w:val="008F2D29"/>
    <w:rsid w:val="008F2DBF"/>
    <w:rsid w:val="008F33BC"/>
    <w:rsid w:val="008F3BFB"/>
    <w:rsid w:val="008F3C3A"/>
    <w:rsid w:val="008F46E0"/>
    <w:rsid w:val="008F4B24"/>
    <w:rsid w:val="008F4EBA"/>
    <w:rsid w:val="008F5187"/>
    <w:rsid w:val="008F57B8"/>
    <w:rsid w:val="008F60D8"/>
    <w:rsid w:val="008F6A01"/>
    <w:rsid w:val="008F6BA9"/>
    <w:rsid w:val="008F703B"/>
    <w:rsid w:val="00900B60"/>
    <w:rsid w:val="00900F79"/>
    <w:rsid w:val="00900FDE"/>
    <w:rsid w:val="00901C3D"/>
    <w:rsid w:val="00902001"/>
    <w:rsid w:val="00902004"/>
    <w:rsid w:val="00902217"/>
    <w:rsid w:val="009023F3"/>
    <w:rsid w:val="00902727"/>
    <w:rsid w:val="009030E3"/>
    <w:rsid w:val="0090312B"/>
    <w:rsid w:val="00903C23"/>
    <w:rsid w:val="00903D4C"/>
    <w:rsid w:val="00904043"/>
    <w:rsid w:val="009040CD"/>
    <w:rsid w:val="009052FB"/>
    <w:rsid w:val="00905880"/>
    <w:rsid w:val="00906369"/>
    <w:rsid w:val="0090700F"/>
    <w:rsid w:val="009075B2"/>
    <w:rsid w:val="00910767"/>
    <w:rsid w:val="00910D94"/>
    <w:rsid w:val="00910FF2"/>
    <w:rsid w:val="00911163"/>
    <w:rsid w:val="009112AF"/>
    <w:rsid w:val="009115E2"/>
    <w:rsid w:val="00911813"/>
    <w:rsid w:val="00911BA0"/>
    <w:rsid w:val="00911CA0"/>
    <w:rsid w:val="00911FAE"/>
    <w:rsid w:val="0091209B"/>
    <w:rsid w:val="0091225E"/>
    <w:rsid w:val="009122DE"/>
    <w:rsid w:val="00912E91"/>
    <w:rsid w:val="00913057"/>
    <w:rsid w:val="00913058"/>
    <w:rsid w:val="00913852"/>
    <w:rsid w:val="00913FCF"/>
    <w:rsid w:val="00914FB9"/>
    <w:rsid w:val="009153CD"/>
    <w:rsid w:val="00915475"/>
    <w:rsid w:val="009156B7"/>
    <w:rsid w:val="0091690E"/>
    <w:rsid w:val="00916A68"/>
    <w:rsid w:val="0091736D"/>
    <w:rsid w:val="009200C4"/>
    <w:rsid w:val="009208BD"/>
    <w:rsid w:val="0092096B"/>
    <w:rsid w:val="00920A27"/>
    <w:rsid w:val="00920F33"/>
    <w:rsid w:val="009219B1"/>
    <w:rsid w:val="009221E4"/>
    <w:rsid w:val="00922B2D"/>
    <w:rsid w:val="00922C90"/>
    <w:rsid w:val="00923128"/>
    <w:rsid w:val="00923373"/>
    <w:rsid w:val="009237F0"/>
    <w:rsid w:val="00923C9C"/>
    <w:rsid w:val="009244A7"/>
    <w:rsid w:val="00924E76"/>
    <w:rsid w:val="00925500"/>
    <w:rsid w:val="00925590"/>
    <w:rsid w:val="00925B1A"/>
    <w:rsid w:val="00925B24"/>
    <w:rsid w:val="00926BB8"/>
    <w:rsid w:val="00926C79"/>
    <w:rsid w:val="00927783"/>
    <w:rsid w:val="00927931"/>
    <w:rsid w:val="00927C21"/>
    <w:rsid w:val="00927D1F"/>
    <w:rsid w:val="0093019B"/>
    <w:rsid w:val="0093037A"/>
    <w:rsid w:val="0093066F"/>
    <w:rsid w:val="00930E19"/>
    <w:rsid w:val="009313C8"/>
    <w:rsid w:val="00932092"/>
    <w:rsid w:val="00932290"/>
    <w:rsid w:val="0093244C"/>
    <w:rsid w:val="0093245E"/>
    <w:rsid w:val="009326C2"/>
    <w:rsid w:val="0093350C"/>
    <w:rsid w:val="00933527"/>
    <w:rsid w:val="00933AE7"/>
    <w:rsid w:val="00933CBE"/>
    <w:rsid w:val="00933E98"/>
    <w:rsid w:val="009344B3"/>
    <w:rsid w:val="00934F6B"/>
    <w:rsid w:val="00935956"/>
    <w:rsid w:val="00935A1A"/>
    <w:rsid w:val="00936E4A"/>
    <w:rsid w:val="00936FA4"/>
    <w:rsid w:val="00937390"/>
    <w:rsid w:val="00937991"/>
    <w:rsid w:val="009401A7"/>
    <w:rsid w:val="00940271"/>
    <w:rsid w:val="0094083F"/>
    <w:rsid w:val="00940A3E"/>
    <w:rsid w:val="0094107C"/>
    <w:rsid w:val="0094154D"/>
    <w:rsid w:val="009415D9"/>
    <w:rsid w:val="009415E7"/>
    <w:rsid w:val="00941C58"/>
    <w:rsid w:val="00942595"/>
    <w:rsid w:val="00942872"/>
    <w:rsid w:val="009428DC"/>
    <w:rsid w:val="00942D3F"/>
    <w:rsid w:val="00942F70"/>
    <w:rsid w:val="00943AA9"/>
    <w:rsid w:val="00944253"/>
    <w:rsid w:val="009444E8"/>
    <w:rsid w:val="00945026"/>
    <w:rsid w:val="00945C95"/>
    <w:rsid w:val="00945F7D"/>
    <w:rsid w:val="0094675F"/>
    <w:rsid w:val="00946A91"/>
    <w:rsid w:val="00946ABE"/>
    <w:rsid w:val="00946AC9"/>
    <w:rsid w:val="00946D8C"/>
    <w:rsid w:val="00946F3B"/>
    <w:rsid w:val="009473C3"/>
    <w:rsid w:val="00947679"/>
    <w:rsid w:val="009504DC"/>
    <w:rsid w:val="00951114"/>
    <w:rsid w:val="00951552"/>
    <w:rsid w:val="0095155F"/>
    <w:rsid w:val="00951FDF"/>
    <w:rsid w:val="00952918"/>
    <w:rsid w:val="00952B9C"/>
    <w:rsid w:val="00952E99"/>
    <w:rsid w:val="00953115"/>
    <w:rsid w:val="009533BC"/>
    <w:rsid w:val="009535D6"/>
    <w:rsid w:val="00953A59"/>
    <w:rsid w:val="00954429"/>
    <w:rsid w:val="00954558"/>
    <w:rsid w:val="009550F9"/>
    <w:rsid w:val="00955180"/>
    <w:rsid w:val="00955305"/>
    <w:rsid w:val="00955EF0"/>
    <w:rsid w:val="00955FE3"/>
    <w:rsid w:val="009561BE"/>
    <w:rsid w:val="009563CE"/>
    <w:rsid w:val="00956EA0"/>
    <w:rsid w:val="0095767B"/>
    <w:rsid w:val="009578CC"/>
    <w:rsid w:val="00957B6B"/>
    <w:rsid w:val="00957FBD"/>
    <w:rsid w:val="00960077"/>
    <w:rsid w:val="009605E2"/>
    <w:rsid w:val="00960E85"/>
    <w:rsid w:val="0096159D"/>
    <w:rsid w:val="00961673"/>
    <w:rsid w:val="00961C5F"/>
    <w:rsid w:val="00961FB3"/>
    <w:rsid w:val="00962481"/>
    <w:rsid w:val="009626F3"/>
    <w:rsid w:val="00962BA4"/>
    <w:rsid w:val="00962DF6"/>
    <w:rsid w:val="00963211"/>
    <w:rsid w:val="0096352A"/>
    <w:rsid w:val="00963801"/>
    <w:rsid w:val="00963D01"/>
    <w:rsid w:val="00963E3F"/>
    <w:rsid w:val="00964625"/>
    <w:rsid w:val="0096538C"/>
    <w:rsid w:val="009659D4"/>
    <w:rsid w:val="00965AF8"/>
    <w:rsid w:val="00965E9F"/>
    <w:rsid w:val="0096644F"/>
    <w:rsid w:val="009669CF"/>
    <w:rsid w:val="00966DC0"/>
    <w:rsid w:val="00967281"/>
    <w:rsid w:val="009672F9"/>
    <w:rsid w:val="009700C1"/>
    <w:rsid w:val="009702A1"/>
    <w:rsid w:val="00970A38"/>
    <w:rsid w:val="00972572"/>
    <w:rsid w:val="0097295E"/>
    <w:rsid w:val="00972AAD"/>
    <w:rsid w:val="00972C2A"/>
    <w:rsid w:val="00972C90"/>
    <w:rsid w:val="0097348D"/>
    <w:rsid w:val="0097394D"/>
    <w:rsid w:val="00973F33"/>
    <w:rsid w:val="0097461A"/>
    <w:rsid w:val="00974621"/>
    <w:rsid w:val="0097466C"/>
    <w:rsid w:val="009746F9"/>
    <w:rsid w:val="0097490E"/>
    <w:rsid w:val="00974A69"/>
    <w:rsid w:val="00974EC9"/>
    <w:rsid w:val="00974F6C"/>
    <w:rsid w:val="00975F3B"/>
    <w:rsid w:val="0097621C"/>
    <w:rsid w:val="00976328"/>
    <w:rsid w:val="009764E2"/>
    <w:rsid w:val="0097680D"/>
    <w:rsid w:val="009771CF"/>
    <w:rsid w:val="00977247"/>
    <w:rsid w:val="00977858"/>
    <w:rsid w:val="0098043E"/>
    <w:rsid w:val="00980520"/>
    <w:rsid w:val="0098148D"/>
    <w:rsid w:val="0098162B"/>
    <w:rsid w:val="009816B1"/>
    <w:rsid w:val="00981D89"/>
    <w:rsid w:val="00982438"/>
    <w:rsid w:val="0098397F"/>
    <w:rsid w:val="00983B14"/>
    <w:rsid w:val="00983D5B"/>
    <w:rsid w:val="00983FB6"/>
    <w:rsid w:val="0098404C"/>
    <w:rsid w:val="009841C3"/>
    <w:rsid w:val="00984970"/>
    <w:rsid w:val="00985283"/>
    <w:rsid w:val="00985A59"/>
    <w:rsid w:val="00985BD5"/>
    <w:rsid w:val="00985CE7"/>
    <w:rsid w:val="009866A7"/>
    <w:rsid w:val="00986A82"/>
    <w:rsid w:val="00986AC8"/>
    <w:rsid w:val="00986C77"/>
    <w:rsid w:val="00986FEC"/>
    <w:rsid w:val="0098742C"/>
    <w:rsid w:val="00987763"/>
    <w:rsid w:val="00987F66"/>
    <w:rsid w:val="00991CB0"/>
    <w:rsid w:val="00992005"/>
    <w:rsid w:val="0099249E"/>
    <w:rsid w:val="00992656"/>
    <w:rsid w:val="00993021"/>
    <w:rsid w:val="0099344D"/>
    <w:rsid w:val="009936F6"/>
    <w:rsid w:val="0099448E"/>
    <w:rsid w:val="0099476B"/>
    <w:rsid w:val="00994FC2"/>
    <w:rsid w:val="0099513F"/>
    <w:rsid w:val="00995992"/>
    <w:rsid w:val="009959E7"/>
    <w:rsid w:val="009959EE"/>
    <w:rsid w:val="00996363"/>
    <w:rsid w:val="0099656C"/>
    <w:rsid w:val="00996DC3"/>
    <w:rsid w:val="0099765B"/>
    <w:rsid w:val="00997DB4"/>
    <w:rsid w:val="00997DE5"/>
    <w:rsid w:val="009A03E5"/>
    <w:rsid w:val="009A05E1"/>
    <w:rsid w:val="009A0806"/>
    <w:rsid w:val="009A0F3B"/>
    <w:rsid w:val="009A1086"/>
    <w:rsid w:val="009A113B"/>
    <w:rsid w:val="009A1474"/>
    <w:rsid w:val="009A181E"/>
    <w:rsid w:val="009A1BB4"/>
    <w:rsid w:val="009A2628"/>
    <w:rsid w:val="009A3200"/>
    <w:rsid w:val="009A3270"/>
    <w:rsid w:val="009A33AC"/>
    <w:rsid w:val="009A35AF"/>
    <w:rsid w:val="009A3685"/>
    <w:rsid w:val="009A36C2"/>
    <w:rsid w:val="009A3D58"/>
    <w:rsid w:val="009A568F"/>
    <w:rsid w:val="009A585B"/>
    <w:rsid w:val="009A593A"/>
    <w:rsid w:val="009A5D0C"/>
    <w:rsid w:val="009A5E15"/>
    <w:rsid w:val="009A6C58"/>
    <w:rsid w:val="009A6E84"/>
    <w:rsid w:val="009A6F12"/>
    <w:rsid w:val="009A70A7"/>
    <w:rsid w:val="009A73F9"/>
    <w:rsid w:val="009A768B"/>
    <w:rsid w:val="009A7693"/>
    <w:rsid w:val="009A773B"/>
    <w:rsid w:val="009A7E7F"/>
    <w:rsid w:val="009B0017"/>
    <w:rsid w:val="009B007A"/>
    <w:rsid w:val="009B0531"/>
    <w:rsid w:val="009B0897"/>
    <w:rsid w:val="009B09A2"/>
    <w:rsid w:val="009B0DFE"/>
    <w:rsid w:val="009B142C"/>
    <w:rsid w:val="009B17D9"/>
    <w:rsid w:val="009B18E9"/>
    <w:rsid w:val="009B1C27"/>
    <w:rsid w:val="009B1C49"/>
    <w:rsid w:val="009B2155"/>
    <w:rsid w:val="009B2433"/>
    <w:rsid w:val="009B3D64"/>
    <w:rsid w:val="009B3FB3"/>
    <w:rsid w:val="009B4030"/>
    <w:rsid w:val="009B413D"/>
    <w:rsid w:val="009B48F6"/>
    <w:rsid w:val="009B4DE9"/>
    <w:rsid w:val="009B4FAD"/>
    <w:rsid w:val="009B5AD3"/>
    <w:rsid w:val="009B5D9D"/>
    <w:rsid w:val="009B5E0A"/>
    <w:rsid w:val="009B68AA"/>
    <w:rsid w:val="009B6EC5"/>
    <w:rsid w:val="009B6F9C"/>
    <w:rsid w:val="009B709C"/>
    <w:rsid w:val="009B79CC"/>
    <w:rsid w:val="009B7BD9"/>
    <w:rsid w:val="009C02BB"/>
    <w:rsid w:val="009C0883"/>
    <w:rsid w:val="009C0FC5"/>
    <w:rsid w:val="009C1437"/>
    <w:rsid w:val="009C15F0"/>
    <w:rsid w:val="009C165D"/>
    <w:rsid w:val="009C1C7D"/>
    <w:rsid w:val="009C2299"/>
    <w:rsid w:val="009C2443"/>
    <w:rsid w:val="009C26A4"/>
    <w:rsid w:val="009C2F69"/>
    <w:rsid w:val="009C2FD2"/>
    <w:rsid w:val="009C3731"/>
    <w:rsid w:val="009C383C"/>
    <w:rsid w:val="009C4273"/>
    <w:rsid w:val="009C4E22"/>
    <w:rsid w:val="009C55DD"/>
    <w:rsid w:val="009C5DFB"/>
    <w:rsid w:val="009C5F07"/>
    <w:rsid w:val="009C6E50"/>
    <w:rsid w:val="009C776B"/>
    <w:rsid w:val="009C77C8"/>
    <w:rsid w:val="009C7DD5"/>
    <w:rsid w:val="009D0069"/>
    <w:rsid w:val="009D0436"/>
    <w:rsid w:val="009D09F1"/>
    <w:rsid w:val="009D0D67"/>
    <w:rsid w:val="009D10D1"/>
    <w:rsid w:val="009D1378"/>
    <w:rsid w:val="009D1966"/>
    <w:rsid w:val="009D1E67"/>
    <w:rsid w:val="009D1ED9"/>
    <w:rsid w:val="009D2824"/>
    <w:rsid w:val="009D2A5B"/>
    <w:rsid w:val="009D3ECB"/>
    <w:rsid w:val="009D4290"/>
    <w:rsid w:val="009D4351"/>
    <w:rsid w:val="009D4752"/>
    <w:rsid w:val="009D4DCB"/>
    <w:rsid w:val="009D56B4"/>
    <w:rsid w:val="009D5A01"/>
    <w:rsid w:val="009D5FD7"/>
    <w:rsid w:val="009D62AE"/>
    <w:rsid w:val="009D640B"/>
    <w:rsid w:val="009D694B"/>
    <w:rsid w:val="009D6A02"/>
    <w:rsid w:val="009D6C2C"/>
    <w:rsid w:val="009D70FE"/>
    <w:rsid w:val="009D713F"/>
    <w:rsid w:val="009D747C"/>
    <w:rsid w:val="009D7CB9"/>
    <w:rsid w:val="009D7D18"/>
    <w:rsid w:val="009D7D1C"/>
    <w:rsid w:val="009D7D90"/>
    <w:rsid w:val="009D7E18"/>
    <w:rsid w:val="009D7EB5"/>
    <w:rsid w:val="009D7F62"/>
    <w:rsid w:val="009E0BF1"/>
    <w:rsid w:val="009E0E15"/>
    <w:rsid w:val="009E17A1"/>
    <w:rsid w:val="009E18A0"/>
    <w:rsid w:val="009E227D"/>
    <w:rsid w:val="009E2FC6"/>
    <w:rsid w:val="009E38DF"/>
    <w:rsid w:val="009E3DEE"/>
    <w:rsid w:val="009E4389"/>
    <w:rsid w:val="009E4D49"/>
    <w:rsid w:val="009E5019"/>
    <w:rsid w:val="009E5590"/>
    <w:rsid w:val="009E6D02"/>
    <w:rsid w:val="009E7548"/>
    <w:rsid w:val="009E7737"/>
    <w:rsid w:val="009F04A1"/>
    <w:rsid w:val="009F056B"/>
    <w:rsid w:val="009F069C"/>
    <w:rsid w:val="009F13A6"/>
    <w:rsid w:val="009F1F43"/>
    <w:rsid w:val="009F2454"/>
    <w:rsid w:val="009F2553"/>
    <w:rsid w:val="009F288B"/>
    <w:rsid w:val="009F28E0"/>
    <w:rsid w:val="009F2C97"/>
    <w:rsid w:val="009F2E68"/>
    <w:rsid w:val="009F2F37"/>
    <w:rsid w:val="009F347C"/>
    <w:rsid w:val="009F36BD"/>
    <w:rsid w:val="009F3DD3"/>
    <w:rsid w:val="009F42B3"/>
    <w:rsid w:val="009F4321"/>
    <w:rsid w:val="009F4826"/>
    <w:rsid w:val="009F49E2"/>
    <w:rsid w:val="009F4E04"/>
    <w:rsid w:val="009F54E0"/>
    <w:rsid w:val="009F5772"/>
    <w:rsid w:val="009F5DFF"/>
    <w:rsid w:val="009F65C1"/>
    <w:rsid w:val="009F7310"/>
    <w:rsid w:val="009F7505"/>
    <w:rsid w:val="009F7697"/>
    <w:rsid w:val="009F7934"/>
    <w:rsid w:val="009F7B61"/>
    <w:rsid w:val="009F7BD9"/>
    <w:rsid w:val="009F7F15"/>
    <w:rsid w:val="009F7F4D"/>
    <w:rsid w:val="00A00233"/>
    <w:rsid w:val="00A002CA"/>
    <w:rsid w:val="00A00A8F"/>
    <w:rsid w:val="00A01136"/>
    <w:rsid w:val="00A014EB"/>
    <w:rsid w:val="00A01689"/>
    <w:rsid w:val="00A0262F"/>
    <w:rsid w:val="00A02BE9"/>
    <w:rsid w:val="00A02C85"/>
    <w:rsid w:val="00A02D49"/>
    <w:rsid w:val="00A03483"/>
    <w:rsid w:val="00A04659"/>
    <w:rsid w:val="00A0488E"/>
    <w:rsid w:val="00A04E21"/>
    <w:rsid w:val="00A04E91"/>
    <w:rsid w:val="00A04F1B"/>
    <w:rsid w:val="00A0501B"/>
    <w:rsid w:val="00A061EE"/>
    <w:rsid w:val="00A06F51"/>
    <w:rsid w:val="00A07197"/>
    <w:rsid w:val="00A07249"/>
    <w:rsid w:val="00A07A07"/>
    <w:rsid w:val="00A10219"/>
    <w:rsid w:val="00A10370"/>
    <w:rsid w:val="00A10C7E"/>
    <w:rsid w:val="00A10CB4"/>
    <w:rsid w:val="00A111C9"/>
    <w:rsid w:val="00A11302"/>
    <w:rsid w:val="00A1167E"/>
    <w:rsid w:val="00A11E47"/>
    <w:rsid w:val="00A121BC"/>
    <w:rsid w:val="00A1238C"/>
    <w:rsid w:val="00A12493"/>
    <w:rsid w:val="00A12808"/>
    <w:rsid w:val="00A12F8D"/>
    <w:rsid w:val="00A135EF"/>
    <w:rsid w:val="00A13ECC"/>
    <w:rsid w:val="00A13EDE"/>
    <w:rsid w:val="00A14049"/>
    <w:rsid w:val="00A1436C"/>
    <w:rsid w:val="00A148C5"/>
    <w:rsid w:val="00A14947"/>
    <w:rsid w:val="00A15946"/>
    <w:rsid w:val="00A160A7"/>
    <w:rsid w:val="00A1613B"/>
    <w:rsid w:val="00A16924"/>
    <w:rsid w:val="00A16C53"/>
    <w:rsid w:val="00A17C11"/>
    <w:rsid w:val="00A17DFF"/>
    <w:rsid w:val="00A17E3B"/>
    <w:rsid w:val="00A17F26"/>
    <w:rsid w:val="00A20598"/>
    <w:rsid w:val="00A20F36"/>
    <w:rsid w:val="00A2155B"/>
    <w:rsid w:val="00A215E7"/>
    <w:rsid w:val="00A2199C"/>
    <w:rsid w:val="00A2222A"/>
    <w:rsid w:val="00A2349A"/>
    <w:rsid w:val="00A237AD"/>
    <w:rsid w:val="00A23B97"/>
    <w:rsid w:val="00A24091"/>
    <w:rsid w:val="00A24AA9"/>
    <w:rsid w:val="00A25679"/>
    <w:rsid w:val="00A25BF2"/>
    <w:rsid w:val="00A25E25"/>
    <w:rsid w:val="00A25E4D"/>
    <w:rsid w:val="00A26DD1"/>
    <w:rsid w:val="00A26F86"/>
    <w:rsid w:val="00A27A42"/>
    <w:rsid w:val="00A27C89"/>
    <w:rsid w:val="00A27CF3"/>
    <w:rsid w:val="00A3031E"/>
    <w:rsid w:val="00A303F3"/>
    <w:rsid w:val="00A312AC"/>
    <w:rsid w:val="00A31419"/>
    <w:rsid w:val="00A31625"/>
    <w:rsid w:val="00A31801"/>
    <w:rsid w:val="00A31922"/>
    <w:rsid w:val="00A31A8F"/>
    <w:rsid w:val="00A31B5D"/>
    <w:rsid w:val="00A31E30"/>
    <w:rsid w:val="00A32195"/>
    <w:rsid w:val="00A326B2"/>
    <w:rsid w:val="00A32A83"/>
    <w:rsid w:val="00A32D6F"/>
    <w:rsid w:val="00A32FBA"/>
    <w:rsid w:val="00A33320"/>
    <w:rsid w:val="00A335F2"/>
    <w:rsid w:val="00A343B2"/>
    <w:rsid w:val="00A344FB"/>
    <w:rsid w:val="00A346BC"/>
    <w:rsid w:val="00A34E10"/>
    <w:rsid w:val="00A35C0B"/>
    <w:rsid w:val="00A361F0"/>
    <w:rsid w:val="00A368DB"/>
    <w:rsid w:val="00A368DD"/>
    <w:rsid w:val="00A36AB9"/>
    <w:rsid w:val="00A36BD7"/>
    <w:rsid w:val="00A40142"/>
    <w:rsid w:val="00A404D0"/>
    <w:rsid w:val="00A405A4"/>
    <w:rsid w:val="00A41065"/>
    <w:rsid w:val="00A41433"/>
    <w:rsid w:val="00A41539"/>
    <w:rsid w:val="00A4167C"/>
    <w:rsid w:val="00A416CA"/>
    <w:rsid w:val="00A42285"/>
    <w:rsid w:val="00A423AA"/>
    <w:rsid w:val="00A42D37"/>
    <w:rsid w:val="00A42F66"/>
    <w:rsid w:val="00A44D3A"/>
    <w:rsid w:val="00A454E0"/>
    <w:rsid w:val="00A45791"/>
    <w:rsid w:val="00A45F76"/>
    <w:rsid w:val="00A461B7"/>
    <w:rsid w:val="00A476DF"/>
    <w:rsid w:val="00A4787C"/>
    <w:rsid w:val="00A47BC3"/>
    <w:rsid w:val="00A50321"/>
    <w:rsid w:val="00A504D6"/>
    <w:rsid w:val="00A50579"/>
    <w:rsid w:val="00A50987"/>
    <w:rsid w:val="00A50BC1"/>
    <w:rsid w:val="00A510A7"/>
    <w:rsid w:val="00A51EA0"/>
    <w:rsid w:val="00A52095"/>
    <w:rsid w:val="00A52698"/>
    <w:rsid w:val="00A532AC"/>
    <w:rsid w:val="00A534B2"/>
    <w:rsid w:val="00A53772"/>
    <w:rsid w:val="00A539A3"/>
    <w:rsid w:val="00A53A3A"/>
    <w:rsid w:val="00A53EC6"/>
    <w:rsid w:val="00A545A8"/>
    <w:rsid w:val="00A54758"/>
    <w:rsid w:val="00A55136"/>
    <w:rsid w:val="00A55734"/>
    <w:rsid w:val="00A55842"/>
    <w:rsid w:val="00A55C0F"/>
    <w:rsid w:val="00A560B9"/>
    <w:rsid w:val="00A561CC"/>
    <w:rsid w:val="00A56380"/>
    <w:rsid w:val="00A56539"/>
    <w:rsid w:val="00A5699E"/>
    <w:rsid w:val="00A56E4C"/>
    <w:rsid w:val="00A56ED2"/>
    <w:rsid w:val="00A56EFD"/>
    <w:rsid w:val="00A56F72"/>
    <w:rsid w:val="00A575C6"/>
    <w:rsid w:val="00A57749"/>
    <w:rsid w:val="00A579BA"/>
    <w:rsid w:val="00A57D49"/>
    <w:rsid w:val="00A60C85"/>
    <w:rsid w:val="00A614F3"/>
    <w:rsid w:val="00A619F0"/>
    <w:rsid w:val="00A61ADC"/>
    <w:rsid w:val="00A61DC4"/>
    <w:rsid w:val="00A6208F"/>
    <w:rsid w:val="00A620D3"/>
    <w:rsid w:val="00A62132"/>
    <w:rsid w:val="00A6213E"/>
    <w:rsid w:val="00A62A7C"/>
    <w:rsid w:val="00A62CFF"/>
    <w:rsid w:val="00A62E3B"/>
    <w:rsid w:val="00A64CAF"/>
    <w:rsid w:val="00A66451"/>
    <w:rsid w:val="00A66977"/>
    <w:rsid w:val="00A6716B"/>
    <w:rsid w:val="00A67646"/>
    <w:rsid w:val="00A678A7"/>
    <w:rsid w:val="00A67C75"/>
    <w:rsid w:val="00A67CD4"/>
    <w:rsid w:val="00A70019"/>
    <w:rsid w:val="00A701EF"/>
    <w:rsid w:val="00A708FB"/>
    <w:rsid w:val="00A70D1C"/>
    <w:rsid w:val="00A725A6"/>
    <w:rsid w:val="00A72FAD"/>
    <w:rsid w:val="00A733B5"/>
    <w:rsid w:val="00A73550"/>
    <w:rsid w:val="00A73F41"/>
    <w:rsid w:val="00A74831"/>
    <w:rsid w:val="00A75236"/>
    <w:rsid w:val="00A75502"/>
    <w:rsid w:val="00A756A4"/>
    <w:rsid w:val="00A7613A"/>
    <w:rsid w:val="00A76221"/>
    <w:rsid w:val="00A76503"/>
    <w:rsid w:val="00A76A4C"/>
    <w:rsid w:val="00A7752D"/>
    <w:rsid w:val="00A775D3"/>
    <w:rsid w:val="00A77EEE"/>
    <w:rsid w:val="00A801D1"/>
    <w:rsid w:val="00A805CD"/>
    <w:rsid w:val="00A809B9"/>
    <w:rsid w:val="00A818CC"/>
    <w:rsid w:val="00A823C7"/>
    <w:rsid w:val="00A82A2B"/>
    <w:rsid w:val="00A82C64"/>
    <w:rsid w:val="00A83A1F"/>
    <w:rsid w:val="00A83C71"/>
    <w:rsid w:val="00A84BCE"/>
    <w:rsid w:val="00A84C58"/>
    <w:rsid w:val="00A85001"/>
    <w:rsid w:val="00A852C5"/>
    <w:rsid w:val="00A864C0"/>
    <w:rsid w:val="00A8698E"/>
    <w:rsid w:val="00A86C0D"/>
    <w:rsid w:val="00A86EE6"/>
    <w:rsid w:val="00A87092"/>
    <w:rsid w:val="00A8713F"/>
    <w:rsid w:val="00A87414"/>
    <w:rsid w:val="00A875CE"/>
    <w:rsid w:val="00A876FC"/>
    <w:rsid w:val="00A90103"/>
    <w:rsid w:val="00A901BA"/>
    <w:rsid w:val="00A90BA1"/>
    <w:rsid w:val="00A90CF5"/>
    <w:rsid w:val="00A90D8E"/>
    <w:rsid w:val="00A90EEF"/>
    <w:rsid w:val="00A9149A"/>
    <w:rsid w:val="00A91B36"/>
    <w:rsid w:val="00A925F5"/>
    <w:rsid w:val="00A9297D"/>
    <w:rsid w:val="00A92AAD"/>
    <w:rsid w:val="00A932D6"/>
    <w:rsid w:val="00A93E24"/>
    <w:rsid w:val="00A94706"/>
    <w:rsid w:val="00A94A23"/>
    <w:rsid w:val="00A94C85"/>
    <w:rsid w:val="00A94D1D"/>
    <w:rsid w:val="00A94EAE"/>
    <w:rsid w:val="00A951E1"/>
    <w:rsid w:val="00A953CD"/>
    <w:rsid w:val="00A9573F"/>
    <w:rsid w:val="00A959CA"/>
    <w:rsid w:val="00A95BDE"/>
    <w:rsid w:val="00A96138"/>
    <w:rsid w:val="00A96657"/>
    <w:rsid w:val="00A96E3A"/>
    <w:rsid w:val="00A974E8"/>
    <w:rsid w:val="00A9787F"/>
    <w:rsid w:val="00A979DA"/>
    <w:rsid w:val="00A97A9A"/>
    <w:rsid w:val="00AA0038"/>
    <w:rsid w:val="00AA0671"/>
    <w:rsid w:val="00AA18C0"/>
    <w:rsid w:val="00AA1F76"/>
    <w:rsid w:val="00AA216F"/>
    <w:rsid w:val="00AA2531"/>
    <w:rsid w:val="00AA25B4"/>
    <w:rsid w:val="00AA2CB3"/>
    <w:rsid w:val="00AA2F65"/>
    <w:rsid w:val="00AA33EA"/>
    <w:rsid w:val="00AA3B76"/>
    <w:rsid w:val="00AA3BBB"/>
    <w:rsid w:val="00AA3E08"/>
    <w:rsid w:val="00AA3F1F"/>
    <w:rsid w:val="00AA3F3F"/>
    <w:rsid w:val="00AA4BED"/>
    <w:rsid w:val="00AA4E4A"/>
    <w:rsid w:val="00AA51EC"/>
    <w:rsid w:val="00AA5A6A"/>
    <w:rsid w:val="00AA75B7"/>
    <w:rsid w:val="00AA7ACC"/>
    <w:rsid w:val="00AB01D8"/>
    <w:rsid w:val="00AB0B83"/>
    <w:rsid w:val="00AB1595"/>
    <w:rsid w:val="00AB1E09"/>
    <w:rsid w:val="00AB262C"/>
    <w:rsid w:val="00AB28C5"/>
    <w:rsid w:val="00AB34B5"/>
    <w:rsid w:val="00AB410B"/>
    <w:rsid w:val="00AB446F"/>
    <w:rsid w:val="00AB45E1"/>
    <w:rsid w:val="00AB466F"/>
    <w:rsid w:val="00AB4837"/>
    <w:rsid w:val="00AB4B78"/>
    <w:rsid w:val="00AB4FDE"/>
    <w:rsid w:val="00AB5330"/>
    <w:rsid w:val="00AB5487"/>
    <w:rsid w:val="00AB54C0"/>
    <w:rsid w:val="00AB5F20"/>
    <w:rsid w:val="00AB5F2F"/>
    <w:rsid w:val="00AB6C62"/>
    <w:rsid w:val="00AB70C0"/>
    <w:rsid w:val="00AB7747"/>
    <w:rsid w:val="00AB7DD0"/>
    <w:rsid w:val="00AC0016"/>
    <w:rsid w:val="00AC0072"/>
    <w:rsid w:val="00AC0658"/>
    <w:rsid w:val="00AC0F1A"/>
    <w:rsid w:val="00AC1285"/>
    <w:rsid w:val="00AC14CE"/>
    <w:rsid w:val="00AC19BA"/>
    <w:rsid w:val="00AC216B"/>
    <w:rsid w:val="00AC26B9"/>
    <w:rsid w:val="00AC289B"/>
    <w:rsid w:val="00AC2A56"/>
    <w:rsid w:val="00AC2B80"/>
    <w:rsid w:val="00AC2D78"/>
    <w:rsid w:val="00AC3030"/>
    <w:rsid w:val="00AC32F4"/>
    <w:rsid w:val="00AC3519"/>
    <w:rsid w:val="00AC370F"/>
    <w:rsid w:val="00AC379D"/>
    <w:rsid w:val="00AC3CA6"/>
    <w:rsid w:val="00AC3F59"/>
    <w:rsid w:val="00AC4D06"/>
    <w:rsid w:val="00AC64ED"/>
    <w:rsid w:val="00AC65E2"/>
    <w:rsid w:val="00AC6F2A"/>
    <w:rsid w:val="00AC7902"/>
    <w:rsid w:val="00AC798A"/>
    <w:rsid w:val="00AC7D04"/>
    <w:rsid w:val="00AD055E"/>
    <w:rsid w:val="00AD2929"/>
    <w:rsid w:val="00AD2963"/>
    <w:rsid w:val="00AD2B28"/>
    <w:rsid w:val="00AD2C73"/>
    <w:rsid w:val="00AD328E"/>
    <w:rsid w:val="00AD396E"/>
    <w:rsid w:val="00AD3E5E"/>
    <w:rsid w:val="00AD47A7"/>
    <w:rsid w:val="00AD487A"/>
    <w:rsid w:val="00AD48CC"/>
    <w:rsid w:val="00AD4A1D"/>
    <w:rsid w:val="00AD5168"/>
    <w:rsid w:val="00AD517A"/>
    <w:rsid w:val="00AD52AE"/>
    <w:rsid w:val="00AD5BC4"/>
    <w:rsid w:val="00AD662A"/>
    <w:rsid w:val="00AD71C1"/>
    <w:rsid w:val="00AD72BB"/>
    <w:rsid w:val="00AD739B"/>
    <w:rsid w:val="00AD74A1"/>
    <w:rsid w:val="00AE0541"/>
    <w:rsid w:val="00AE0C30"/>
    <w:rsid w:val="00AE0CBD"/>
    <w:rsid w:val="00AE0DBE"/>
    <w:rsid w:val="00AE134D"/>
    <w:rsid w:val="00AE1E65"/>
    <w:rsid w:val="00AE2496"/>
    <w:rsid w:val="00AE2D32"/>
    <w:rsid w:val="00AE2F14"/>
    <w:rsid w:val="00AE354A"/>
    <w:rsid w:val="00AE3CD7"/>
    <w:rsid w:val="00AE4274"/>
    <w:rsid w:val="00AE4636"/>
    <w:rsid w:val="00AE490B"/>
    <w:rsid w:val="00AE4B2D"/>
    <w:rsid w:val="00AE4BB3"/>
    <w:rsid w:val="00AE4DC4"/>
    <w:rsid w:val="00AE4F9E"/>
    <w:rsid w:val="00AE5975"/>
    <w:rsid w:val="00AE5BED"/>
    <w:rsid w:val="00AE5FCD"/>
    <w:rsid w:val="00AE6078"/>
    <w:rsid w:val="00AE6A97"/>
    <w:rsid w:val="00AE7205"/>
    <w:rsid w:val="00AE7476"/>
    <w:rsid w:val="00AE7E5F"/>
    <w:rsid w:val="00AF01CC"/>
    <w:rsid w:val="00AF0758"/>
    <w:rsid w:val="00AF081B"/>
    <w:rsid w:val="00AF08E7"/>
    <w:rsid w:val="00AF0CBF"/>
    <w:rsid w:val="00AF0D60"/>
    <w:rsid w:val="00AF0E77"/>
    <w:rsid w:val="00AF1C68"/>
    <w:rsid w:val="00AF257F"/>
    <w:rsid w:val="00AF2BD4"/>
    <w:rsid w:val="00AF31F4"/>
    <w:rsid w:val="00AF33CF"/>
    <w:rsid w:val="00AF361D"/>
    <w:rsid w:val="00AF417B"/>
    <w:rsid w:val="00AF491A"/>
    <w:rsid w:val="00AF49EA"/>
    <w:rsid w:val="00AF4D50"/>
    <w:rsid w:val="00AF5167"/>
    <w:rsid w:val="00AF5648"/>
    <w:rsid w:val="00AF5FD6"/>
    <w:rsid w:val="00AF6179"/>
    <w:rsid w:val="00AF6B15"/>
    <w:rsid w:val="00AF799E"/>
    <w:rsid w:val="00AF7A31"/>
    <w:rsid w:val="00AF7A84"/>
    <w:rsid w:val="00AF7C13"/>
    <w:rsid w:val="00AF7ECC"/>
    <w:rsid w:val="00AF7F25"/>
    <w:rsid w:val="00B002ED"/>
    <w:rsid w:val="00B00478"/>
    <w:rsid w:val="00B00A0B"/>
    <w:rsid w:val="00B00B89"/>
    <w:rsid w:val="00B01CAD"/>
    <w:rsid w:val="00B0237D"/>
    <w:rsid w:val="00B02B39"/>
    <w:rsid w:val="00B02FBF"/>
    <w:rsid w:val="00B03374"/>
    <w:rsid w:val="00B03BCE"/>
    <w:rsid w:val="00B03D94"/>
    <w:rsid w:val="00B03DB7"/>
    <w:rsid w:val="00B0427A"/>
    <w:rsid w:val="00B044BC"/>
    <w:rsid w:val="00B0473A"/>
    <w:rsid w:val="00B04ECE"/>
    <w:rsid w:val="00B04F66"/>
    <w:rsid w:val="00B05C35"/>
    <w:rsid w:val="00B05DD8"/>
    <w:rsid w:val="00B05E58"/>
    <w:rsid w:val="00B068EE"/>
    <w:rsid w:val="00B06FC9"/>
    <w:rsid w:val="00B07912"/>
    <w:rsid w:val="00B07938"/>
    <w:rsid w:val="00B07E22"/>
    <w:rsid w:val="00B10362"/>
    <w:rsid w:val="00B10F4F"/>
    <w:rsid w:val="00B11075"/>
    <w:rsid w:val="00B11545"/>
    <w:rsid w:val="00B1177B"/>
    <w:rsid w:val="00B11D38"/>
    <w:rsid w:val="00B11DD1"/>
    <w:rsid w:val="00B122E2"/>
    <w:rsid w:val="00B1287B"/>
    <w:rsid w:val="00B1295A"/>
    <w:rsid w:val="00B1315D"/>
    <w:rsid w:val="00B13313"/>
    <w:rsid w:val="00B13329"/>
    <w:rsid w:val="00B13434"/>
    <w:rsid w:val="00B1396C"/>
    <w:rsid w:val="00B13D9E"/>
    <w:rsid w:val="00B14232"/>
    <w:rsid w:val="00B14593"/>
    <w:rsid w:val="00B14AC1"/>
    <w:rsid w:val="00B15692"/>
    <w:rsid w:val="00B15838"/>
    <w:rsid w:val="00B15BF1"/>
    <w:rsid w:val="00B15CA5"/>
    <w:rsid w:val="00B17940"/>
    <w:rsid w:val="00B17E40"/>
    <w:rsid w:val="00B20A45"/>
    <w:rsid w:val="00B212F2"/>
    <w:rsid w:val="00B21DC9"/>
    <w:rsid w:val="00B2259A"/>
    <w:rsid w:val="00B22941"/>
    <w:rsid w:val="00B22C5C"/>
    <w:rsid w:val="00B23837"/>
    <w:rsid w:val="00B23A1D"/>
    <w:rsid w:val="00B23A51"/>
    <w:rsid w:val="00B23F1A"/>
    <w:rsid w:val="00B24379"/>
    <w:rsid w:val="00B245C5"/>
    <w:rsid w:val="00B24F30"/>
    <w:rsid w:val="00B2510C"/>
    <w:rsid w:val="00B251C3"/>
    <w:rsid w:val="00B25586"/>
    <w:rsid w:val="00B2592B"/>
    <w:rsid w:val="00B25B20"/>
    <w:rsid w:val="00B2621C"/>
    <w:rsid w:val="00B2639D"/>
    <w:rsid w:val="00B267F4"/>
    <w:rsid w:val="00B26D9E"/>
    <w:rsid w:val="00B27930"/>
    <w:rsid w:val="00B30B85"/>
    <w:rsid w:val="00B30BD2"/>
    <w:rsid w:val="00B30C91"/>
    <w:rsid w:val="00B30E22"/>
    <w:rsid w:val="00B30EA9"/>
    <w:rsid w:val="00B30F57"/>
    <w:rsid w:val="00B311FA"/>
    <w:rsid w:val="00B317D0"/>
    <w:rsid w:val="00B31839"/>
    <w:rsid w:val="00B31ABF"/>
    <w:rsid w:val="00B320D7"/>
    <w:rsid w:val="00B3235F"/>
    <w:rsid w:val="00B326CB"/>
    <w:rsid w:val="00B32A6F"/>
    <w:rsid w:val="00B32C7B"/>
    <w:rsid w:val="00B332A2"/>
    <w:rsid w:val="00B335A0"/>
    <w:rsid w:val="00B337D8"/>
    <w:rsid w:val="00B33BE3"/>
    <w:rsid w:val="00B33F33"/>
    <w:rsid w:val="00B345F3"/>
    <w:rsid w:val="00B34823"/>
    <w:rsid w:val="00B34D5D"/>
    <w:rsid w:val="00B34F63"/>
    <w:rsid w:val="00B35913"/>
    <w:rsid w:val="00B35C15"/>
    <w:rsid w:val="00B3744E"/>
    <w:rsid w:val="00B37E39"/>
    <w:rsid w:val="00B37ED0"/>
    <w:rsid w:val="00B40AB0"/>
    <w:rsid w:val="00B40BDC"/>
    <w:rsid w:val="00B40CF2"/>
    <w:rsid w:val="00B4132D"/>
    <w:rsid w:val="00B41AEB"/>
    <w:rsid w:val="00B41BB2"/>
    <w:rsid w:val="00B430C6"/>
    <w:rsid w:val="00B43B05"/>
    <w:rsid w:val="00B447DD"/>
    <w:rsid w:val="00B44BDB"/>
    <w:rsid w:val="00B4558A"/>
    <w:rsid w:val="00B455C6"/>
    <w:rsid w:val="00B455CB"/>
    <w:rsid w:val="00B45ED2"/>
    <w:rsid w:val="00B45FB8"/>
    <w:rsid w:val="00B46007"/>
    <w:rsid w:val="00B46B25"/>
    <w:rsid w:val="00B46CEF"/>
    <w:rsid w:val="00B473EA"/>
    <w:rsid w:val="00B478CE"/>
    <w:rsid w:val="00B47EC2"/>
    <w:rsid w:val="00B47FF7"/>
    <w:rsid w:val="00B50933"/>
    <w:rsid w:val="00B50FE3"/>
    <w:rsid w:val="00B510D2"/>
    <w:rsid w:val="00B5111C"/>
    <w:rsid w:val="00B51258"/>
    <w:rsid w:val="00B51BFB"/>
    <w:rsid w:val="00B51C2A"/>
    <w:rsid w:val="00B52BD0"/>
    <w:rsid w:val="00B530A7"/>
    <w:rsid w:val="00B5316C"/>
    <w:rsid w:val="00B533C6"/>
    <w:rsid w:val="00B536C0"/>
    <w:rsid w:val="00B539EE"/>
    <w:rsid w:val="00B53A97"/>
    <w:rsid w:val="00B53B5D"/>
    <w:rsid w:val="00B53F46"/>
    <w:rsid w:val="00B5433E"/>
    <w:rsid w:val="00B5460C"/>
    <w:rsid w:val="00B54888"/>
    <w:rsid w:val="00B56953"/>
    <w:rsid w:val="00B57249"/>
    <w:rsid w:val="00B57260"/>
    <w:rsid w:val="00B57CC5"/>
    <w:rsid w:val="00B600C2"/>
    <w:rsid w:val="00B6055E"/>
    <w:rsid w:val="00B60B26"/>
    <w:rsid w:val="00B60FEC"/>
    <w:rsid w:val="00B60FF0"/>
    <w:rsid w:val="00B61240"/>
    <w:rsid w:val="00B61509"/>
    <w:rsid w:val="00B621E9"/>
    <w:rsid w:val="00B6287F"/>
    <w:rsid w:val="00B62967"/>
    <w:rsid w:val="00B62F35"/>
    <w:rsid w:val="00B63132"/>
    <w:rsid w:val="00B6317D"/>
    <w:rsid w:val="00B63D5E"/>
    <w:rsid w:val="00B63FCF"/>
    <w:rsid w:val="00B64626"/>
    <w:rsid w:val="00B64A90"/>
    <w:rsid w:val="00B65530"/>
    <w:rsid w:val="00B6588D"/>
    <w:rsid w:val="00B65D89"/>
    <w:rsid w:val="00B669E0"/>
    <w:rsid w:val="00B67547"/>
    <w:rsid w:val="00B67F1D"/>
    <w:rsid w:val="00B70270"/>
    <w:rsid w:val="00B705BE"/>
    <w:rsid w:val="00B709D1"/>
    <w:rsid w:val="00B71134"/>
    <w:rsid w:val="00B71FEA"/>
    <w:rsid w:val="00B7267A"/>
    <w:rsid w:val="00B729D5"/>
    <w:rsid w:val="00B730AC"/>
    <w:rsid w:val="00B73B87"/>
    <w:rsid w:val="00B74AA5"/>
    <w:rsid w:val="00B74C5A"/>
    <w:rsid w:val="00B759FD"/>
    <w:rsid w:val="00B75DFC"/>
    <w:rsid w:val="00B76D00"/>
    <w:rsid w:val="00B7723F"/>
    <w:rsid w:val="00B77548"/>
    <w:rsid w:val="00B77A0D"/>
    <w:rsid w:val="00B77ADA"/>
    <w:rsid w:val="00B77B32"/>
    <w:rsid w:val="00B80440"/>
    <w:rsid w:val="00B804A0"/>
    <w:rsid w:val="00B804DE"/>
    <w:rsid w:val="00B80534"/>
    <w:rsid w:val="00B8099A"/>
    <w:rsid w:val="00B8152B"/>
    <w:rsid w:val="00B816BB"/>
    <w:rsid w:val="00B818B2"/>
    <w:rsid w:val="00B819C9"/>
    <w:rsid w:val="00B81A2A"/>
    <w:rsid w:val="00B8261B"/>
    <w:rsid w:val="00B8283F"/>
    <w:rsid w:val="00B82906"/>
    <w:rsid w:val="00B832BE"/>
    <w:rsid w:val="00B8343C"/>
    <w:rsid w:val="00B83A0A"/>
    <w:rsid w:val="00B83D1A"/>
    <w:rsid w:val="00B83D30"/>
    <w:rsid w:val="00B83DFD"/>
    <w:rsid w:val="00B83FB1"/>
    <w:rsid w:val="00B8407A"/>
    <w:rsid w:val="00B8415F"/>
    <w:rsid w:val="00B8433C"/>
    <w:rsid w:val="00B843EB"/>
    <w:rsid w:val="00B848C2"/>
    <w:rsid w:val="00B850C7"/>
    <w:rsid w:val="00B851D1"/>
    <w:rsid w:val="00B8540C"/>
    <w:rsid w:val="00B85534"/>
    <w:rsid w:val="00B858D9"/>
    <w:rsid w:val="00B85BC3"/>
    <w:rsid w:val="00B85E6F"/>
    <w:rsid w:val="00B861EC"/>
    <w:rsid w:val="00B86290"/>
    <w:rsid w:val="00B86C55"/>
    <w:rsid w:val="00B87491"/>
    <w:rsid w:val="00B87F4A"/>
    <w:rsid w:val="00B900FD"/>
    <w:rsid w:val="00B91117"/>
    <w:rsid w:val="00B916D7"/>
    <w:rsid w:val="00B918F4"/>
    <w:rsid w:val="00B91D9F"/>
    <w:rsid w:val="00B92635"/>
    <w:rsid w:val="00B928CD"/>
    <w:rsid w:val="00B92A8B"/>
    <w:rsid w:val="00B92C09"/>
    <w:rsid w:val="00B92C28"/>
    <w:rsid w:val="00B93573"/>
    <w:rsid w:val="00B93CE0"/>
    <w:rsid w:val="00B942E6"/>
    <w:rsid w:val="00B9455A"/>
    <w:rsid w:val="00B94662"/>
    <w:rsid w:val="00B9496E"/>
    <w:rsid w:val="00B94A48"/>
    <w:rsid w:val="00B95537"/>
    <w:rsid w:val="00B95A84"/>
    <w:rsid w:val="00B95B0D"/>
    <w:rsid w:val="00B95B57"/>
    <w:rsid w:val="00B95D02"/>
    <w:rsid w:val="00B96545"/>
    <w:rsid w:val="00B966A8"/>
    <w:rsid w:val="00B96FD9"/>
    <w:rsid w:val="00B97532"/>
    <w:rsid w:val="00B97683"/>
    <w:rsid w:val="00B97BBF"/>
    <w:rsid w:val="00B97DAA"/>
    <w:rsid w:val="00BA007B"/>
    <w:rsid w:val="00BA0162"/>
    <w:rsid w:val="00BA09A8"/>
    <w:rsid w:val="00BA12B0"/>
    <w:rsid w:val="00BA29E9"/>
    <w:rsid w:val="00BA2D61"/>
    <w:rsid w:val="00BA33BF"/>
    <w:rsid w:val="00BA38DD"/>
    <w:rsid w:val="00BA3997"/>
    <w:rsid w:val="00BA3AFD"/>
    <w:rsid w:val="00BA49AE"/>
    <w:rsid w:val="00BA4D04"/>
    <w:rsid w:val="00BA6157"/>
    <w:rsid w:val="00BA7142"/>
    <w:rsid w:val="00BB004E"/>
    <w:rsid w:val="00BB0081"/>
    <w:rsid w:val="00BB04DC"/>
    <w:rsid w:val="00BB05F3"/>
    <w:rsid w:val="00BB0FB7"/>
    <w:rsid w:val="00BB110D"/>
    <w:rsid w:val="00BB1BDC"/>
    <w:rsid w:val="00BB1C0F"/>
    <w:rsid w:val="00BB20EE"/>
    <w:rsid w:val="00BB2327"/>
    <w:rsid w:val="00BB237C"/>
    <w:rsid w:val="00BB258A"/>
    <w:rsid w:val="00BB3025"/>
    <w:rsid w:val="00BB313E"/>
    <w:rsid w:val="00BB3498"/>
    <w:rsid w:val="00BB3650"/>
    <w:rsid w:val="00BB41A3"/>
    <w:rsid w:val="00BB4764"/>
    <w:rsid w:val="00BB4924"/>
    <w:rsid w:val="00BB5183"/>
    <w:rsid w:val="00BB563F"/>
    <w:rsid w:val="00BB572A"/>
    <w:rsid w:val="00BB5F75"/>
    <w:rsid w:val="00BB6302"/>
    <w:rsid w:val="00BB69E2"/>
    <w:rsid w:val="00BB6B9E"/>
    <w:rsid w:val="00BB70A6"/>
    <w:rsid w:val="00BB7B9F"/>
    <w:rsid w:val="00BC0B10"/>
    <w:rsid w:val="00BC0F60"/>
    <w:rsid w:val="00BC14CE"/>
    <w:rsid w:val="00BC1770"/>
    <w:rsid w:val="00BC1B49"/>
    <w:rsid w:val="00BC2011"/>
    <w:rsid w:val="00BC31D9"/>
    <w:rsid w:val="00BC32DC"/>
    <w:rsid w:val="00BC33D3"/>
    <w:rsid w:val="00BC35B6"/>
    <w:rsid w:val="00BC3F71"/>
    <w:rsid w:val="00BC44F5"/>
    <w:rsid w:val="00BC4623"/>
    <w:rsid w:val="00BC480A"/>
    <w:rsid w:val="00BC4AF6"/>
    <w:rsid w:val="00BC4FAE"/>
    <w:rsid w:val="00BC5196"/>
    <w:rsid w:val="00BC5DD6"/>
    <w:rsid w:val="00BC5E93"/>
    <w:rsid w:val="00BC5FD2"/>
    <w:rsid w:val="00BC6331"/>
    <w:rsid w:val="00BC6CBA"/>
    <w:rsid w:val="00BC729C"/>
    <w:rsid w:val="00BC7657"/>
    <w:rsid w:val="00BC780F"/>
    <w:rsid w:val="00BC7A54"/>
    <w:rsid w:val="00BD02EC"/>
    <w:rsid w:val="00BD0558"/>
    <w:rsid w:val="00BD093F"/>
    <w:rsid w:val="00BD0FFE"/>
    <w:rsid w:val="00BD12F3"/>
    <w:rsid w:val="00BD1B51"/>
    <w:rsid w:val="00BD2326"/>
    <w:rsid w:val="00BD2653"/>
    <w:rsid w:val="00BD267B"/>
    <w:rsid w:val="00BD2802"/>
    <w:rsid w:val="00BD3294"/>
    <w:rsid w:val="00BD37F4"/>
    <w:rsid w:val="00BD399A"/>
    <w:rsid w:val="00BD3AE0"/>
    <w:rsid w:val="00BD457E"/>
    <w:rsid w:val="00BD4596"/>
    <w:rsid w:val="00BD5906"/>
    <w:rsid w:val="00BD5FB9"/>
    <w:rsid w:val="00BD6963"/>
    <w:rsid w:val="00BD709B"/>
    <w:rsid w:val="00BD794D"/>
    <w:rsid w:val="00BE039B"/>
    <w:rsid w:val="00BE047F"/>
    <w:rsid w:val="00BE0865"/>
    <w:rsid w:val="00BE08C8"/>
    <w:rsid w:val="00BE0A23"/>
    <w:rsid w:val="00BE0B2A"/>
    <w:rsid w:val="00BE1405"/>
    <w:rsid w:val="00BE17BF"/>
    <w:rsid w:val="00BE1E67"/>
    <w:rsid w:val="00BE203F"/>
    <w:rsid w:val="00BE285A"/>
    <w:rsid w:val="00BE299D"/>
    <w:rsid w:val="00BE2E15"/>
    <w:rsid w:val="00BE312D"/>
    <w:rsid w:val="00BE3435"/>
    <w:rsid w:val="00BE382F"/>
    <w:rsid w:val="00BE3976"/>
    <w:rsid w:val="00BE3A9D"/>
    <w:rsid w:val="00BE3D1F"/>
    <w:rsid w:val="00BE4302"/>
    <w:rsid w:val="00BE4431"/>
    <w:rsid w:val="00BE477D"/>
    <w:rsid w:val="00BE5245"/>
    <w:rsid w:val="00BE52FD"/>
    <w:rsid w:val="00BE5346"/>
    <w:rsid w:val="00BE590E"/>
    <w:rsid w:val="00BE5FC5"/>
    <w:rsid w:val="00BE60DF"/>
    <w:rsid w:val="00BE659C"/>
    <w:rsid w:val="00BE6A9B"/>
    <w:rsid w:val="00BE7FA0"/>
    <w:rsid w:val="00BF0963"/>
    <w:rsid w:val="00BF0A84"/>
    <w:rsid w:val="00BF0C40"/>
    <w:rsid w:val="00BF1C20"/>
    <w:rsid w:val="00BF2032"/>
    <w:rsid w:val="00BF263E"/>
    <w:rsid w:val="00BF2FCE"/>
    <w:rsid w:val="00BF37E9"/>
    <w:rsid w:val="00BF3D25"/>
    <w:rsid w:val="00BF3E23"/>
    <w:rsid w:val="00BF3FEA"/>
    <w:rsid w:val="00BF48DA"/>
    <w:rsid w:val="00BF4F2B"/>
    <w:rsid w:val="00BF50C6"/>
    <w:rsid w:val="00BF5430"/>
    <w:rsid w:val="00BF582E"/>
    <w:rsid w:val="00BF5CCB"/>
    <w:rsid w:val="00BF5EFA"/>
    <w:rsid w:val="00BF6434"/>
    <w:rsid w:val="00BF6821"/>
    <w:rsid w:val="00BF6B10"/>
    <w:rsid w:val="00BF7D34"/>
    <w:rsid w:val="00C000EE"/>
    <w:rsid w:val="00C00AEC"/>
    <w:rsid w:val="00C00F5A"/>
    <w:rsid w:val="00C00FE2"/>
    <w:rsid w:val="00C00FE6"/>
    <w:rsid w:val="00C0138A"/>
    <w:rsid w:val="00C015EA"/>
    <w:rsid w:val="00C01C74"/>
    <w:rsid w:val="00C02347"/>
    <w:rsid w:val="00C027CA"/>
    <w:rsid w:val="00C02EF4"/>
    <w:rsid w:val="00C03EC4"/>
    <w:rsid w:val="00C04AA7"/>
    <w:rsid w:val="00C05C1C"/>
    <w:rsid w:val="00C05CBF"/>
    <w:rsid w:val="00C05F69"/>
    <w:rsid w:val="00C06059"/>
    <w:rsid w:val="00C064C9"/>
    <w:rsid w:val="00C068A8"/>
    <w:rsid w:val="00C0698D"/>
    <w:rsid w:val="00C06B49"/>
    <w:rsid w:val="00C07219"/>
    <w:rsid w:val="00C07943"/>
    <w:rsid w:val="00C10578"/>
    <w:rsid w:val="00C10719"/>
    <w:rsid w:val="00C1110C"/>
    <w:rsid w:val="00C11693"/>
    <w:rsid w:val="00C11A94"/>
    <w:rsid w:val="00C11E2C"/>
    <w:rsid w:val="00C12836"/>
    <w:rsid w:val="00C1323C"/>
    <w:rsid w:val="00C132A6"/>
    <w:rsid w:val="00C133F3"/>
    <w:rsid w:val="00C1347E"/>
    <w:rsid w:val="00C135BC"/>
    <w:rsid w:val="00C13DE2"/>
    <w:rsid w:val="00C13EA0"/>
    <w:rsid w:val="00C13EA9"/>
    <w:rsid w:val="00C14C3B"/>
    <w:rsid w:val="00C15118"/>
    <w:rsid w:val="00C156E7"/>
    <w:rsid w:val="00C15B65"/>
    <w:rsid w:val="00C15BDF"/>
    <w:rsid w:val="00C15C95"/>
    <w:rsid w:val="00C15EF4"/>
    <w:rsid w:val="00C15F2E"/>
    <w:rsid w:val="00C15F5D"/>
    <w:rsid w:val="00C1613A"/>
    <w:rsid w:val="00C162F7"/>
    <w:rsid w:val="00C1642C"/>
    <w:rsid w:val="00C164BC"/>
    <w:rsid w:val="00C1657B"/>
    <w:rsid w:val="00C1692A"/>
    <w:rsid w:val="00C1699A"/>
    <w:rsid w:val="00C16E44"/>
    <w:rsid w:val="00C170F7"/>
    <w:rsid w:val="00C175D9"/>
    <w:rsid w:val="00C20AF1"/>
    <w:rsid w:val="00C20AF4"/>
    <w:rsid w:val="00C20DD6"/>
    <w:rsid w:val="00C21045"/>
    <w:rsid w:val="00C2121E"/>
    <w:rsid w:val="00C21D75"/>
    <w:rsid w:val="00C21D92"/>
    <w:rsid w:val="00C21FE7"/>
    <w:rsid w:val="00C2233C"/>
    <w:rsid w:val="00C22906"/>
    <w:rsid w:val="00C22BC8"/>
    <w:rsid w:val="00C22C8D"/>
    <w:rsid w:val="00C22EFA"/>
    <w:rsid w:val="00C230A9"/>
    <w:rsid w:val="00C2342C"/>
    <w:rsid w:val="00C234AF"/>
    <w:rsid w:val="00C2494B"/>
    <w:rsid w:val="00C2596A"/>
    <w:rsid w:val="00C27537"/>
    <w:rsid w:val="00C2796A"/>
    <w:rsid w:val="00C27AEB"/>
    <w:rsid w:val="00C27BE5"/>
    <w:rsid w:val="00C3025A"/>
    <w:rsid w:val="00C31001"/>
    <w:rsid w:val="00C31886"/>
    <w:rsid w:val="00C31BF1"/>
    <w:rsid w:val="00C3201D"/>
    <w:rsid w:val="00C3260D"/>
    <w:rsid w:val="00C326BC"/>
    <w:rsid w:val="00C328FE"/>
    <w:rsid w:val="00C32B90"/>
    <w:rsid w:val="00C33255"/>
    <w:rsid w:val="00C332AD"/>
    <w:rsid w:val="00C334EE"/>
    <w:rsid w:val="00C33507"/>
    <w:rsid w:val="00C33609"/>
    <w:rsid w:val="00C33B53"/>
    <w:rsid w:val="00C33D81"/>
    <w:rsid w:val="00C3400A"/>
    <w:rsid w:val="00C341C7"/>
    <w:rsid w:val="00C3421B"/>
    <w:rsid w:val="00C3486F"/>
    <w:rsid w:val="00C35CCA"/>
    <w:rsid w:val="00C360FB"/>
    <w:rsid w:val="00C37BBD"/>
    <w:rsid w:val="00C40342"/>
    <w:rsid w:val="00C4038F"/>
    <w:rsid w:val="00C4043B"/>
    <w:rsid w:val="00C40D0D"/>
    <w:rsid w:val="00C41077"/>
    <w:rsid w:val="00C4121D"/>
    <w:rsid w:val="00C41361"/>
    <w:rsid w:val="00C43558"/>
    <w:rsid w:val="00C4409D"/>
    <w:rsid w:val="00C441B1"/>
    <w:rsid w:val="00C44542"/>
    <w:rsid w:val="00C44C41"/>
    <w:rsid w:val="00C44D1A"/>
    <w:rsid w:val="00C44E72"/>
    <w:rsid w:val="00C4567C"/>
    <w:rsid w:val="00C45A06"/>
    <w:rsid w:val="00C4616A"/>
    <w:rsid w:val="00C473AD"/>
    <w:rsid w:val="00C47E2D"/>
    <w:rsid w:val="00C47E5B"/>
    <w:rsid w:val="00C500CE"/>
    <w:rsid w:val="00C503DC"/>
    <w:rsid w:val="00C50503"/>
    <w:rsid w:val="00C509F1"/>
    <w:rsid w:val="00C50F7D"/>
    <w:rsid w:val="00C51883"/>
    <w:rsid w:val="00C51A47"/>
    <w:rsid w:val="00C521D0"/>
    <w:rsid w:val="00C5269E"/>
    <w:rsid w:val="00C52BBE"/>
    <w:rsid w:val="00C52F27"/>
    <w:rsid w:val="00C5309B"/>
    <w:rsid w:val="00C537D1"/>
    <w:rsid w:val="00C53ADD"/>
    <w:rsid w:val="00C53B43"/>
    <w:rsid w:val="00C54A19"/>
    <w:rsid w:val="00C54A32"/>
    <w:rsid w:val="00C55009"/>
    <w:rsid w:val="00C5500F"/>
    <w:rsid w:val="00C5505C"/>
    <w:rsid w:val="00C55104"/>
    <w:rsid w:val="00C55CBC"/>
    <w:rsid w:val="00C55F0B"/>
    <w:rsid w:val="00C56D16"/>
    <w:rsid w:val="00C572C0"/>
    <w:rsid w:val="00C60F24"/>
    <w:rsid w:val="00C60F99"/>
    <w:rsid w:val="00C619D4"/>
    <w:rsid w:val="00C61A7E"/>
    <w:rsid w:val="00C61E4B"/>
    <w:rsid w:val="00C6209E"/>
    <w:rsid w:val="00C62130"/>
    <w:rsid w:val="00C62582"/>
    <w:rsid w:val="00C62708"/>
    <w:rsid w:val="00C63305"/>
    <w:rsid w:val="00C63524"/>
    <w:rsid w:val="00C63E65"/>
    <w:rsid w:val="00C6421C"/>
    <w:rsid w:val="00C6434D"/>
    <w:rsid w:val="00C64793"/>
    <w:rsid w:val="00C64BD9"/>
    <w:rsid w:val="00C64BFF"/>
    <w:rsid w:val="00C653B5"/>
    <w:rsid w:val="00C65CD2"/>
    <w:rsid w:val="00C662AD"/>
    <w:rsid w:val="00C66895"/>
    <w:rsid w:val="00C66D3E"/>
    <w:rsid w:val="00C66EBC"/>
    <w:rsid w:val="00C703C8"/>
    <w:rsid w:val="00C704E9"/>
    <w:rsid w:val="00C70B38"/>
    <w:rsid w:val="00C718E5"/>
    <w:rsid w:val="00C71F93"/>
    <w:rsid w:val="00C729C7"/>
    <w:rsid w:val="00C739DB"/>
    <w:rsid w:val="00C73D1B"/>
    <w:rsid w:val="00C73DC6"/>
    <w:rsid w:val="00C74278"/>
    <w:rsid w:val="00C75542"/>
    <w:rsid w:val="00C75597"/>
    <w:rsid w:val="00C75D57"/>
    <w:rsid w:val="00C76139"/>
    <w:rsid w:val="00C763C9"/>
    <w:rsid w:val="00C763D1"/>
    <w:rsid w:val="00C76D7F"/>
    <w:rsid w:val="00C77438"/>
    <w:rsid w:val="00C77755"/>
    <w:rsid w:val="00C80057"/>
    <w:rsid w:val="00C80290"/>
    <w:rsid w:val="00C8049E"/>
    <w:rsid w:val="00C80891"/>
    <w:rsid w:val="00C80E8D"/>
    <w:rsid w:val="00C8126A"/>
    <w:rsid w:val="00C81547"/>
    <w:rsid w:val="00C818C6"/>
    <w:rsid w:val="00C818E6"/>
    <w:rsid w:val="00C81DF5"/>
    <w:rsid w:val="00C82232"/>
    <w:rsid w:val="00C82461"/>
    <w:rsid w:val="00C82913"/>
    <w:rsid w:val="00C82A7B"/>
    <w:rsid w:val="00C82AAD"/>
    <w:rsid w:val="00C82B27"/>
    <w:rsid w:val="00C82C65"/>
    <w:rsid w:val="00C83012"/>
    <w:rsid w:val="00C83092"/>
    <w:rsid w:val="00C831D9"/>
    <w:rsid w:val="00C8383E"/>
    <w:rsid w:val="00C83C3C"/>
    <w:rsid w:val="00C83F70"/>
    <w:rsid w:val="00C84742"/>
    <w:rsid w:val="00C84922"/>
    <w:rsid w:val="00C8506E"/>
    <w:rsid w:val="00C851B5"/>
    <w:rsid w:val="00C85B37"/>
    <w:rsid w:val="00C85BD3"/>
    <w:rsid w:val="00C862B5"/>
    <w:rsid w:val="00C86439"/>
    <w:rsid w:val="00C8652F"/>
    <w:rsid w:val="00C8734B"/>
    <w:rsid w:val="00C874C0"/>
    <w:rsid w:val="00C87B25"/>
    <w:rsid w:val="00C87BD4"/>
    <w:rsid w:val="00C87E76"/>
    <w:rsid w:val="00C900F0"/>
    <w:rsid w:val="00C90DC1"/>
    <w:rsid w:val="00C91339"/>
    <w:rsid w:val="00C91FC4"/>
    <w:rsid w:val="00C924A3"/>
    <w:rsid w:val="00C9326F"/>
    <w:rsid w:val="00C93462"/>
    <w:rsid w:val="00C93812"/>
    <w:rsid w:val="00C93DF5"/>
    <w:rsid w:val="00C944FF"/>
    <w:rsid w:val="00C9577C"/>
    <w:rsid w:val="00C95E58"/>
    <w:rsid w:val="00C965C2"/>
    <w:rsid w:val="00C96714"/>
    <w:rsid w:val="00C96ACE"/>
    <w:rsid w:val="00C96C71"/>
    <w:rsid w:val="00C972B1"/>
    <w:rsid w:val="00C97351"/>
    <w:rsid w:val="00CA0A5B"/>
    <w:rsid w:val="00CA14EA"/>
    <w:rsid w:val="00CA1538"/>
    <w:rsid w:val="00CA2CCE"/>
    <w:rsid w:val="00CA3630"/>
    <w:rsid w:val="00CA398D"/>
    <w:rsid w:val="00CA3B6B"/>
    <w:rsid w:val="00CA43FD"/>
    <w:rsid w:val="00CA470E"/>
    <w:rsid w:val="00CA483C"/>
    <w:rsid w:val="00CA48AF"/>
    <w:rsid w:val="00CA4B58"/>
    <w:rsid w:val="00CA5180"/>
    <w:rsid w:val="00CA5700"/>
    <w:rsid w:val="00CA6169"/>
    <w:rsid w:val="00CA6258"/>
    <w:rsid w:val="00CA667A"/>
    <w:rsid w:val="00CA728F"/>
    <w:rsid w:val="00CA78EA"/>
    <w:rsid w:val="00CA7EF8"/>
    <w:rsid w:val="00CB03AF"/>
    <w:rsid w:val="00CB0B88"/>
    <w:rsid w:val="00CB0F9C"/>
    <w:rsid w:val="00CB1224"/>
    <w:rsid w:val="00CB1290"/>
    <w:rsid w:val="00CB1439"/>
    <w:rsid w:val="00CB1BE6"/>
    <w:rsid w:val="00CB1C52"/>
    <w:rsid w:val="00CB1E5C"/>
    <w:rsid w:val="00CB1EFD"/>
    <w:rsid w:val="00CB2133"/>
    <w:rsid w:val="00CB2142"/>
    <w:rsid w:val="00CB304C"/>
    <w:rsid w:val="00CB358F"/>
    <w:rsid w:val="00CB3CB6"/>
    <w:rsid w:val="00CB4DA5"/>
    <w:rsid w:val="00CB4EC4"/>
    <w:rsid w:val="00CB58D8"/>
    <w:rsid w:val="00CB5EB0"/>
    <w:rsid w:val="00CB658F"/>
    <w:rsid w:val="00CB693E"/>
    <w:rsid w:val="00CB69EE"/>
    <w:rsid w:val="00CB6A10"/>
    <w:rsid w:val="00CB6E25"/>
    <w:rsid w:val="00CB723D"/>
    <w:rsid w:val="00CB733F"/>
    <w:rsid w:val="00CB75BA"/>
    <w:rsid w:val="00CB75BC"/>
    <w:rsid w:val="00CB7718"/>
    <w:rsid w:val="00CC1579"/>
    <w:rsid w:val="00CC270E"/>
    <w:rsid w:val="00CC3238"/>
    <w:rsid w:val="00CC34AD"/>
    <w:rsid w:val="00CC45AF"/>
    <w:rsid w:val="00CC489B"/>
    <w:rsid w:val="00CC4C4D"/>
    <w:rsid w:val="00CC5E95"/>
    <w:rsid w:val="00CC6B2B"/>
    <w:rsid w:val="00CC6C0E"/>
    <w:rsid w:val="00CC6E1C"/>
    <w:rsid w:val="00CC6E86"/>
    <w:rsid w:val="00CC6F3F"/>
    <w:rsid w:val="00CC6F65"/>
    <w:rsid w:val="00CC72E1"/>
    <w:rsid w:val="00CC76BF"/>
    <w:rsid w:val="00CC7A8E"/>
    <w:rsid w:val="00CD0768"/>
    <w:rsid w:val="00CD07E2"/>
    <w:rsid w:val="00CD0DDA"/>
    <w:rsid w:val="00CD1751"/>
    <w:rsid w:val="00CD1A57"/>
    <w:rsid w:val="00CD1AFF"/>
    <w:rsid w:val="00CD1B47"/>
    <w:rsid w:val="00CD1B7A"/>
    <w:rsid w:val="00CD22E7"/>
    <w:rsid w:val="00CD22EB"/>
    <w:rsid w:val="00CD2A31"/>
    <w:rsid w:val="00CD2BCD"/>
    <w:rsid w:val="00CD2EF1"/>
    <w:rsid w:val="00CD318A"/>
    <w:rsid w:val="00CD326E"/>
    <w:rsid w:val="00CD32CB"/>
    <w:rsid w:val="00CD3A4C"/>
    <w:rsid w:val="00CD3A7E"/>
    <w:rsid w:val="00CD471B"/>
    <w:rsid w:val="00CD49FB"/>
    <w:rsid w:val="00CD4AE6"/>
    <w:rsid w:val="00CD4C2E"/>
    <w:rsid w:val="00CD5180"/>
    <w:rsid w:val="00CD55CF"/>
    <w:rsid w:val="00CD5644"/>
    <w:rsid w:val="00CD5C88"/>
    <w:rsid w:val="00CD6A8A"/>
    <w:rsid w:val="00CD6E31"/>
    <w:rsid w:val="00CD6FA7"/>
    <w:rsid w:val="00CD7057"/>
    <w:rsid w:val="00CD75F9"/>
    <w:rsid w:val="00CE029C"/>
    <w:rsid w:val="00CE03E2"/>
    <w:rsid w:val="00CE0EBC"/>
    <w:rsid w:val="00CE10E9"/>
    <w:rsid w:val="00CE1634"/>
    <w:rsid w:val="00CE1681"/>
    <w:rsid w:val="00CE220C"/>
    <w:rsid w:val="00CE2910"/>
    <w:rsid w:val="00CE2B3B"/>
    <w:rsid w:val="00CE2EB7"/>
    <w:rsid w:val="00CE2F3F"/>
    <w:rsid w:val="00CE3074"/>
    <w:rsid w:val="00CE341E"/>
    <w:rsid w:val="00CE3908"/>
    <w:rsid w:val="00CE49A9"/>
    <w:rsid w:val="00CE4ECF"/>
    <w:rsid w:val="00CE502D"/>
    <w:rsid w:val="00CE5393"/>
    <w:rsid w:val="00CE5A24"/>
    <w:rsid w:val="00CE5A3D"/>
    <w:rsid w:val="00CE5C08"/>
    <w:rsid w:val="00CE6708"/>
    <w:rsid w:val="00CE71BB"/>
    <w:rsid w:val="00CE71CF"/>
    <w:rsid w:val="00CE78C4"/>
    <w:rsid w:val="00CE7F13"/>
    <w:rsid w:val="00CE7F67"/>
    <w:rsid w:val="00CE7FC2"/>
    <w:rsid w:val="00CF00FC"/>
    <w:rsid w:val="00CF0411"/>
    <w:rsid w:val="00CF0839"/>
    <w:rsid w:val="00CF157B"/>
    <w:rsid w:val="00CF15E5"/>
    <w:rsid w:val="00CF1EB4"/>
    <w:rsid w:val="00CF1F56"/>
    <w:rsid w:val="00CF20A0"/>
    <w:rsid w:val="00CF278D"/>
    <w:rsid w:val="00CF293C"/>
    <w:rsid w:val="00CF2B32"/>
    <w:rsid w:val="00CF36BE"/>
    <w:rsid w:val="00CF48E4"/>
    <w:rsid w:val="00CF4C2C"/>
    <w:rsid w:val="00CF52B1"/>
    <w:rsid w:val="00CF54E5"/>
    <w:rsid w:val="00CF5D0B"/>
    <w:rsid w:val="00CF5D0D"/>
    <w:rsid w:val="00CF6000"/>
    <w:rsid w:val="00CF6136"/>
    <w:rsid w:val="00CF645E"/>
    <w:rsid w:val="00CF6472"/>
    <w:rsid w:val="00CF675F"/>
    <w:rsid w:val="00CF6B7D"/>
    <w:rsid w:val="00CF6D45"/>
    <w:rsid w:val="00CF6F69"/>
    <w:rsid w:val="00CF7BBA"/>
    <w:rsid w:val="00D003F3"/>
    <w:rsid w:val="00D00D4A"/>
    <w:rsid w:val="00D01E45"/>
    <w:rsid w:val="00D025D3"/>
    <w:rsid w:val="00D03514"/>
    <w:rsid w:val="00D0364F"/>
    <w:rsid w:val="00D0374D"/>
    <w:rsid w:val="00D03E8C"/>
    <w:rsid w:val="00D03EF7"/>
    <w:rsid w:val="00D03FBC"/>
    <w:rsid w:val="00D04851"/>
    <w:rsid w:val="00D0496C"/>
    <w:rsid w:val="00D049D5"/>
    <w:rsid w:val="00D04CA0"/>
    <w:rsid w:val="00D05405"/>
    <w:rsid w:val="00D05B2D"/>
    <w:rsid w:val="00D05D0B"/>
    <w:rsid w:val="00D05E77"/>
    <w:rsid w:val="00D066B0"/>
    <w:rsid w:val="00D06834"/>
    <w:rsid w:val="00D06A02"/>
    <w:rsid w:val="00D06CF1"/>
    <w:rsid w:val="00D077FE"/>
    <w:rsid w:val="00D07BD4"/>
    <w:rsid w:val="00D07D70"/>
    <w:rsid w:val="00D101FB"/>
    <w:rsid w:val="00D103E1"/>
    <w:rsid w:val="00D10407"/>
    <w:rsid w:val="00D104E6"/>
    <w:rsid w:val="00D10A72"/>
    <w:rsid w:val="00D1188D"/>
    <w:rsid w:val="00D11A83"/>
    <w:rsid w:val="00D127E1"/>
    <w:rsid w:val="00D12D4E"/>
    <w:rsid w:val="00D12F82"/>
    <w:rsid w:val="00D1373E"/>
    <w:rsid w:val="00D141EE"/>
    <w:rsid w:val="00D1469B"/>
    <w:rsid w:val="00D146FE"/>
    <w:rsid w:val="00D15608"/>
    <w:rsid w:val="00D156D0"/>
    <w:rsid w:val="00D15BD0"/>
    <w:rsid w:val="00D160FD"/>
    <w:rsid w:val="00D166BF"/>
    <w:rsid w:val="00D168AA"/>
    <w:rsid w:val="00D16B94"/>
    <w:rsid w:val="00D16BC2"/>
    <w:rsid w:val="00D16F21"/>
    <w:rsid w:val="00D173A4"/>
    <w:rsid w:val="00D176D4"/>
    <w:rsid w:val="00D17705"/>
    <w:rsid w:val="00D17DC5"/>
    <w:rsid w:val="00D17F36"/>
    <w:rsid w:val="00D17F8D"/>
    <w:rsid w:val="00D20D55"/>
    <w:rsid w:val="00D20F65"/>
    <w:rsid w:val="00D212D3"/>
    <w:rsid w:val="00D21582"/>
    <w:rsid w:val="00D2176D"/>
    <w:rsid w:val="00D217AB"/>
    <w:rsid w:val="00D21ADD"/>
    <w:rsid w:val="00D21F01"/>
    <w:rsid w:val="00D222AD"/>
    <w:rsid w:val="00D2239E"/>
    <w:rsid w:val="00D2323A"/>
    <w:rsid w:val="00D23D50"/>
    <w:rsid w:val="00D23D7C"/>
    <w:rsid w:val="00D2443B"/>
    <w:rsid w:val="00D251C4"/>
    <w:rsid w:val="00D25210"/>
    <w:rsid w:val="00D25293"/>
    <w:rsid w:val="00D25F5B"/>
    <w:rsid w:val="00D26036"/>
    <w:rsid w:val="00D26500"/>
    <w:rsid w:val="00D26A99"/>
    <w:rsid w:val="00D2744A"/>
    <w:rsid w:val="00D2761D"/>
    <w:rsid w:val="00D278C6"/>
    <w:rsid w:val="00D27B16"/>
    <w:rsid w:val="00D27D1C"/>
    <w:rsid w:val="00D27EB1"/>
    <w:rsid w:val="00D3081D"/>
    <w:rsid w:val="00D308ED"/>
    <w:rsid w:val="00D30AAA"/>
    <w:rsid w:val="00D30D6E"/>
    <w:rsid w:val="00D311B9"/>
    <w:rsid w:val="00D315AA"/>
    <w:rsid w:val="00D31D2D"/>
    <w:rsid w:val="00D32FA4"/>
    <w:rsid w:val="00D33090"/>
    <w:rsid w:val="00D330A7"/>
    <w:rsid w:val="00D33D3D"/>
    <w:rsid w:val="00D33EA4"/>
    <w:rsid w:val="00D34081"/>
    <w:rsid w:val="00D3439A"/>
    <w:rsid w:val="00D34C0B"/>
    <w:rsid w:val="00D36D86"/>
    <w:rsid w:val="00D3758D"/>
    <w:rsid w:val="00D37999"/>
    <w:rsid w:val="00D37C77"/>
    <w:rsid w:val="00D37E6C"/>
    <w:rsid w:val="00D41235"/>
    <w:rsid w:val="00D41C93"/>
    <w:rsid w:val="00D428AA"/>
    <w:rsid w:val="00D43240"/>
    <w:rsid w:val="00D432CC"/>
    <w:rsid w:val="00D43303"/>
    <w:rsid w:val="00D43AE2"/>
    <w:rsid w:val="00D444F7"/>
    <w:rsid w:val="00D4482E"/>
    <w:rsid w:val="00D454D2"/>
    <w:rsid w:val="00D45879"/>
    <w:rsid w:val="00D4589E"/>
    <w:rsid w:val="00D45FED"/>
    <w:rsid w:val="00D46289"/>
    <w:rsid w:val="00D46489"/>
    <w:rsid w:val="00D46980"/>
    <w:rsid w:val="00D46C1F"/>
    <w:rsid w:val="00D46C25"/>
    <w:rsid w:val="00D46F94"/>
    <w:rsid w:val="00D47282"/>
    <w:rsid w:val="00D47630"/>
    <w:rsid w:val="00D47BF2"/>
    <w:rsid w:val="00D50A34"/>
    <w:rsid w:val="00D50AD7"/>
    <w:rsid w:val="00D50E23"/>
    <w:rsid w:val="00D50E73"/>
    <w:rsid w:val="00D510E0"/>
    <w:rsid w:val="00D51460"/>
    <w:rsid w:val="00D51549"/>
    <w:rsid w:val="00D517BC"/>
    <w:rsid w:val="00D51D65"/>
    <w:rsid w:val="00D51FE5"/>
    <w:rsid w:val="00D520A2"/>
    <w:rsid w:val="00D528E3"/>
    <w:rsid w:val="00D52945"/>
    <w:rsid w:val="00D52A1B"/>
    <w:rsid w:val="00D52C4D"/>
    <w:rsid w:val="00D53241"/>
    <w:rsid w:val="00D53528"/>
    <w:rsid w:val="00D535FF"/>
    <w:rsid w:val="00D53A39"/>
    <w:rsid w:val="00D53EFA"/>
    <w:rsid w:val="00D541EE"/>
    <w:rsid w:val="00D54576"/>
    <w:rsid w:val="00D554BB"/>
    <w:rsid w:val="00D5655D"/>
    <w:rsid w:val="00D569A5"/>
    <w:rsid w:val="00D57194"/>
    <w:rsid w:val="00D57301"/>
    <w:rsid w:val="00D601FE"/>
    <w:rsid w:val="00D60201"/>
    <w:rsid w:val="00D605C2"/>
    <w:rsid w:val="00D6177C"/>
    <w:rsid w:val="00D62C37"/>
    <w:rsid w:val="00D62DDC"/>
    <w:rsid w:val="00D63164"/>
    <w:rsid w:val="00D63686"/>
    <w:rsid w:val="00D6373E"/>
    <w:rsid w:val="00D639B2"/>
    <w:rsid w:val="00D63B7F"/>
    <w:rsid w:val="00D63E49"/>
    <w:rsid w:val="00D649AC"/>
    <w:rsid w:val="00D64E47"/>
    <w:rsid w:val="00D64F9E"/>
    <w:rsid w:val="00D65D35"/>
    <w:rsid w:val="00D6626F"/>
    <w:rsid w:val="00D666DD"/>
    <w:rsid w:val="00D66F29"/>
    <w:rsid w:val="00D66FE2"/>
    <w:rsid w:val="00D673B2"/>
    <w:rsid w:val="00D67544"/>
    <w:rsid w:val="00D676D2"/>
    <w:rsid w:val="00D67E22"/>
    <w:rsid w:val="00D67E9C"/>
    <w:rsid w:val="00D67F1C"/>
    <w:rsid w:val="00D67F23"/>
    <w:rsid w:val="00D700AB"/>
    <w:rsid w:val="00D704B4"/>
    <w:rsid w:val="00D707EE"/>
    <w:rsid w:val="00D70BD1"/>
    <w:rsid w:val="00D70D33"/>
    <w:rsid w:val="00D712CE"/>
    <w:rsid w:val="00D71A88"/>
    <w:rsid w:val="00D71F8B"/>
    <w:rsid w:val="00D72434"/>
    <w:rsid w:val="00D7272C"/>
    <w:rsid w:val="00D728AF"/>
    <w:rsid w:val="00D72A2B"/>
    <w:rsid w:val="00D72D19"/>
    <w:rsid w:val="00D72F0C"/>
    <w:rsid w:val="00D73472"/>
    <w:rsid w:val="00D73481"/>
    <w:rsid w:val="00D73ACF"/>
    <w:rsid w:val="00D73D6A"/>
    <w:rsid w:val="00D73E5D"/>
    <w:rsid w:val="00D746FC"/>
    <w:rsid w:val="00D747C8"/>
    <w:rsid w:val="00D74854"/>
    <w:rsid w:val="00D74BCD"/>
    <w:rsid w:val="00D752B2"/>
    <w:rsid w:val="00D75493"/>
    <w:rsid w:val="00D75770"/>
    <w:rsid w:val="00D75AF0"/>
    <w:rsid w:val="00D75D14"/>
    <w:rsid w:val="00D75DB4"/>
    <w:rsid w:val="00D760E0"/>
    <w:rsid w:val="00D7650C"/>
    <w:rsid w:val="00D76E35"/>
    <w:rsid w:val="00D773FB"/>
    <w:rsid w:val="00D77537"/>
    <w:rsid w:val="00D805CC"/>
    <w:rsid w:val="00D8174C"/>
    <w:rsid w:val="00D81CB5"/>
    <w:rsid w:val="00D81F05"/>
    <w:rsid w:val="00D82153"/>
    <w:rsid w:val="00D822F4"/>
    <w:rsid w:val="00D82903"/>
    <w:rsid w:val="00D8297A"/>
    <w:rsid w:val="00D82FF1"/>
    <w:rsid w:val="00D835B6"/>
    <w:rsid w:val="00D84617"/>
    <w:rsid w:val="00D849A6"/>
    <w:rsid w:val="00D84C8B"/>
    <w:rsid w:val="00D84E66"/>
    <w:rsid w:val="00D85055"/>
    <w:rsid w:val="00D8586F"/>
    <w:rsid w:val="00D86181"/>
    <w:rsid w:val="00D86283"/>
    <w:rsid w:val="00D86393"/>
    <w:rsid w:val="00D86769"/>
    <w:rsid w:val="00D86F92"/>
    <w:rsid w:val="00D90298"/>
    <w:rsid w:val="00D908DC"/>
    <w:rsid w:val="00D912AE"/>
    <w:rsid w:val="00D9168D"/>
    <w:rsid w:val="00D9175B"/>
    <w:rsid w:val="00D923B8"/>
    <w:rsid w:val="00D92AD4"/>
    <w:rsid w:val="00D92C69"/>
    <w:rsid w:val="00D932FB"/>
    <w:rsid w:val="00D93505"/>
    <w:rsid w:val="00D94134"/>
    <w:rsid w:val="00D94A7C"/>
    <w:rsid w:val="00D94E6C"/>
    <w:rsid w:val="00D95870"/>
    <w:rsid w:val="00D95896"/>
    <w:rsid w:val="00D95E4E"/>
    <w:rsid w:val="00D96212"/>
    <w:rsid w:val="00D974E2"/>
    <w:rsid w:val="00D97575"/>
    <w:rsid w:val="00D97A46"/>
    <w:rsid w:val="00DA092B"/>
    <w:rsid w:val="00DA0BCD"/>
    <w:rsid w:val="00DA0F64"/>
    <w:rsid w:val="00DA1376"/>
    <w:rsid w:val="00DA14F1"/>
    <w:rsid w:val="00DA176A"/>
    <w:rsid w:val="00DA18D1"/>
    <w:rsid w:val="00DA20BD"/>
    <w:rsid w:val="00DA2758"/>
    <w:rsid w:val="00DA2A0A"/>
    <w:rsid w:val="00DA2A2F"/>
    <w:rsid w:val="00DA3137"/>
    <w:rsid w:val="00DA3AFE"/>
    <w:rsid w:val="00DA3BEA"/>
    <w:rsid w:val="00DA4388"/>
    <w:rsid w:val="00DA43D1"/>
    <w:rsid w:val="00DA4524"/>
    <w:rsid w:val="00DA492F"/>
    <w:rsid w:val="00DA5578"/>
    <w:rsid w:val="00DA587C"/>
    <w:rsid w:val="00DA596F"/>
    <w:rsid w:val="00DA60F8"/>
    <w:rsid w:val="00DA66D0"/>
    <w:rsid w:val="00DA6D83"/>
    <w:rsid w:val="00DB00B3"/>
    <w:rsid w:val="00DB118B"/>
    <w:rsid w:val="00DB15C5"/>
    <w:rsid w:val="00DB1ABC"/>
    <w:rsid w:val="00DB1E71"/>
    <w:rsid w:val="00DB2383"/>
    <w:rsid w:val="00DB287B"/>
    <w:rsid w:val="00DB2983"/>
    <w:rsid w:val="00DB2AAD"/>
    <w:rsid w:val="00DB3091"/>
    <w:rsid w:val="00DB34CC"/>
    <w:rsid w:val="00DB3B91"/>
    <w:rsid w:val="00DB4B5C"/>
    <w:rsid w:val="00DB4C01"/>
    <w:rsid w:val="00DB537E"/>
    <w:rsid w:val="00DB55EC"/>
    <w:rsid w:val="00DB670F"/>
    <w:rsid w:val="00DB6A86"/>
    <w:rsid w:val="00DB6FA1"/>
    <w:rsid w:val="00DB7040"/>
    <w:rsid w:val="00DB71E1"/>
    <w:rsid w:val="00DB7AC0"/>
    <w:rsid w:val="00DB7DB5"/>
    <w:rsid w:val="00DC0443"/>
    <w:rsid w:val="00DC07A3"/>
    <w:rsid w:val="00DC1257"/>
    <w:rsid w:val="00DC1F5E"/>
    <w:rsid w:val="00DC2040"/>
    <w:rsid w:val="00DC210B"/>
    <w:rsid w:val="00DC214A"/>
    <w:rsid w:val="00DC257C"/>
    <w:rsid w:val="00DC2F57"/>
    <w:rsid w:val="00DC30EE"/>
    <w:rsid w:val="00DC3BF1"/>
    <w:rsid w:val="00DC3DC0"/>
    <w:rsid w:val="00DC40BB"/>
    <w:rsid w:val="00DC43B5"/>
    <w:rsid w:val="00DC47BF"/>
    <w:rsid w:val="00DC4DE3"/>
    <w:rsid w:val="00DC5B2B"/>
    <w:rsid w:val="00DC6198"/>
    <w:rsid w:val="00DC684B"/>
    <w:rsid w:val="00DC6A6A"/>
    <w:rsid w:val="00DC6DD8"/>
    <w:rsid w:val="00DC71B6"/>
    <w:rsid w:val="00DC731E"/>
    <w:rsid w:val="00DC75B8"/>
    <w:rsid w:val="00DC79CC"/>
    <w:rsid w:val="00DC7D94"/>
    <w:rsid w:val="00DC7E9A"/>
    <w:rsid w:val="00DC7FC6"/>
    <w:rsid w:val="00DD0966"/>
    <w:rsid w:val="00DD0A3E"/>
    <w:rsid w:val="00DD0E5B"/>
    <w:rsid w:val="00DD1860"/>
    <w:rsid w:val="00DD199C"/>
    <w:rsid w:val="00DD19A3"/>
    <w:rsid w:val="00DD21EE"/>
    <w:rsid w:val="00DD23D7"/>
    <w:rsid w:val="00DD2703"/>
    <w:rsid w:val="00DD2784"/>
    <w:rsid w:val="00DD294E"/>
    <w:rsid w:val="00DD2B7E"/>
    <w:rsid w:val="00DD2D4A"/>
    <w:rsid w:val="00DD2F32"/>
    <w:rsid w:val="00DD318D"/>
    <w:rsid w:val="00DD3DD4"/>
    <w:rsid w:val="00DD4784"/>
    <w:rsid w:val="00DD4D80"/>
    <w:rsid w:val="00DD509D"/>
    <w:rsid w:val="00DD610F"/>
    <w:rsid w:val="00DD66CF"/>
    <w:rsid w:val="00DD6AE4"/>
    <w:rsid w:val="00DD723C"/>
    <w:rsid w:val="00DD7245"/>
    <w:rsid w:val="00DD73B3"/>
    <w:rsid w:val="00DD7834"/>
    <w:rsid w:val="00DE00B3"/>
    <w:rsid w:val="00DE0109"/>
    <w:rsid w:val="00DE0EA0"/>
    <w:rsid w:val="00DE119F"/>
    <w:rsid w:val="00DE1371"/>
    <w:rsid w:val="00DE13D8"/>
    <w:rsid w:val="00DE20BD"/>
    <w:rsid w:val="00DE2C4D"/>
    <w:rsid w:val="00DE31E4"/>
    <w:rsid w:val="00DE33A4"/>
    <w:rsid w:val="00DE366D"/>
    <w:rsid w:val="00DE4191"/>
    <w:rsid w:val="00DE454B"/>
    <w:rsid w:val="00DE4953"/>
    <w:rsid w:val="00DE4A47"/>
    <w:rsid w:val="00DE6289"/>
    <w:rsid w:val="00DE68A0"/>
    <w:rsid w:val="00DE68EB"/>
    <w:rsid w:val="00DE6987"/>
    <w:rsid w:val="00DE6BC6"/>
    <w:rsid w:val="00DE76C8"/>
    <w:rsid w:val="00DE7775"/>
    <w:rsid w:val="00DE7ADC"/>
    <w:rsid w:val="00DF113D"/>
    <w:rsid w:val="00DF2C60"/>
    <w:rsid w:val="00DF2E12"/>
    <w:rsid w:val="00DF31AE"/>
    <w:rsid w:val="00DF32F6"/>
    <w:rsid w:val="00DF34E9"/>
    <w:rsid w:val="00DF359F"/>
    <w:rsid w:val="00DF3F92"/>
    <w:rsid w:val="00DF449F"/>
    <w:rsid w:val="00DF44E2"/>
    <w:rsid w:val="00DF514A"/>
    <w:rsid w:val="00DF52FE"/>
    <w:rsid w:val="00DF5924"/>
    <w:rsid w:val="00DF6690"/>
    <w:rsid w:val="00DF67E2"/>
    <w:rsid w:val="00DF6804"/>
    <w:rsid w:val="00DF6D55"/>
    <w:rsid w:val="00DF6EE4"/>
    <w:rsid w:val="00DF72BF"/>
    <w:rsid w:val="00E018D4"/>
    <w:rsid w:val="00E01AF0"/>
    <w:rsid w:val="00E02B32"/>
    <w:rsid w:val="00E02C43"/>
    <w:rsid w:val="00E032FF"/>
    <w:rsid w:val="00E0358D"/>
    <w:rsid w:val="00E03636"/>
    <w:rsid w:val="00E041A6"/>
    <w:rsid w:val="00E04323"/>
    <w:rsid w:val="00E043C0"/>
    <w:rsid w:val="00E04861"/>
    <w:rsid w:val="00E04F2C"/>
    <w:rsid w:val="00E04F37"/>
    <w:rsid w:val="00E05B9B"/>
    <w:rsid w:val="00E066AB"/>
    <w:rsid w:val="00E070A2"/>
    <w:rsid w:val="00E072DB"/>
    <w:rsid w:val="00E07564"/>
    <w:rsid w:val="00E0788A"/>
    <w:rsid w:val="00E07EBA"/>
    <w:rsid w:val="00E10154"/>
    <w:rsid w:val="00E1028A"/>
    <w:rsid w:val="00E1116B"/>
    <w:rsid w:val="00E111F6"/>
    <w:rsid w:val="00E112E1"/>
    <w:rsid w:val="00E11A3F"/>
    <w:rsid w:val="00E1206A"/>
    <w:rsid w:val="00E12C8A"/>
    <w:rsid w:val="00E1310B"/>
    <w:rsid w:val="00E131CE"/>
    <w:rsid w:val="00E13297"/>
    <w:rsid w:val="00E150FB"/>
    <w:rsid w:val="00E15197"/>
    <w:rsid w:val="00E154AC"/>
    <w:rsid w:val="00E156F5"/>
    <w:rsid w:val="00E15FD0"/>
    <w:rsid w:val="00E1608A"/>
    <w:rsid w:val="00E16A64"/>
    <w:rsid w:val="00E16BB8"/>
    <w:rsid w:val="00E17127"/>
    <w:rsid w:val="00E175AC"/>
    <w:rsid w:val="00E2052D"/>
    <w:rsid w:val="00E218E4"/>
    <w:rsid w:val="00E21B01"/>
    <w:rsid w:val="00E21F15"/>
    <w:rsid w:val="00E21FB7"/>
    <w:rsid w:val="00E220E7"/>
    <w:rsid w:val="00E22775"/>
    <w:rsid w:val="00E22C03"/>
    <w:rsid w:val="00E231AB"/>
    <w:rsid w:val="00E2345C"/>
    <w:rsid w:val="00E237C9"/>
    <w:rsid w:val="00E2486C"/>
    <w:rsid w:val="00E248CD"/>
    <w:rsid w:val="00E24B49"/>
    <w:rsid w:val="00E257EE"/>
    <w:rsid w:val="00E260ED"/>
    <w:rsid w:val="00E2656A"/>
    <w:rsid w:val="00E2679C"/>
    <w:rsid w:val="00E26EAF"/>
    <w:rsid w:val="00E27A47"/>
    <w:rsid w:val="00E27F89"/>
    <w:rsid w:val="00E30510"/>
    <w:rsid w:val="00E3051C"/>
    <w:rsid w:val="00E30A43"/>
    <w:rsid w:val="00E30FE8"/>
    <w:rsid w:val="00E31771"/>
    <w:rsid w:val="00E318E8"/>
    <w:rsid w:val="00E32765"/>
    <w:rsid w:val="00E32D21"/>
    <w:rsid w:val="00E32E2B"/>
    <w:rsid w:val="00E33CBD"/>
    <w:rsid w:val="00E3489D"/>
    <w:rsid w:val="00E34EE0"/>
    <w:rsid w:val="00E35065"/>
    <w:rsid w:val="00E351FA"/>
    <w:rsid w:val="00E35E3A"/>
    <w:rsid w:val="00E361A4"/>
    <w:rsid w:val="00E363A1"/>
    <w:rsid w:val="00E36A30"/>
    <w:rsid w:val="00E37AA1"/>
    <w:rsid w:val="00E37EA3"/>
    <w:rsid w:val="00E37FCB"/>
    <w:rsid w:val="00E40046"/>
    <w:rsid w:val="00E4055E"/>
    <w:rsid w:val="00E405A1"/>
    <w:rsid w:val="00E4081A"/>
    <w:rsid w:val="00E412D0"/>
    <w:rsid w:val="00E41A86"/>
    <w:rsid w:val="00E41C8F"/>
    <w:rsid w:val="00E41DB1"/>
    <w:rsid w:val="00E41FCD"/>
    <w:rsid w:val="00E42E0F"/>
    <w:rsid w:val="00E43A11"/>
    <w:rsid w:val="00E43EAF"/>
    <w:rsid w:val="00E4409C"/>
    <w:rsid w:val="00E44371"/>
    <w:rsid w:val="00E44EBD"/>
    <w:rsid w:val="00E453A6"/>
    <w:rsid w:val="00E454EE"/>
    <w:rsid w:val="00E45580"/>
    <w:rsid w:val="00E45604"/>
    <w:rsid w:val="00E45908"/>
    <w:rsid w:val="00E45986"/>
    <w:rsid w:val="00E466AF"/>
    <w:rsid w:val="00E4730B"/>
    <w:rsid w:val="00E47430"/>
    <w:rsid w:val="00E4763A"/>
    <w:rsid w:val="00E47697"/>
    <w:rsid w:val="00E500E2"/>
    <w:rsid w:val="00E502D2"/>
    <w:rsid w:val="00E506BC"/>
    <w:rsid w:val="00E50A18"/>
    <w:rsid w:val="00E50E5B"/>
    <w:rsid w:val="00E50FE3"/>
    <w:rsid w:val="00E519AF"/>
    <w:rsid w:val="00E51A95"/>
    <w:rsid w:val="00E51B7D"/>
    <w:rsid w:val="00E51D86"/>
    <w:rsid w:val="00E531FE"/>
    <w:rsid w:val="00E53229"/>
    <w:rsid w:val="00E539FE"/>
    <w:rsid w:val="00E53DDB"/>
    <w:rsid w:val="00E549DF"/>
    <w:rsid w:val="00E54B38"/>
    <w:rsid w:val="00E54D98"/>
    <w:rsid w:val="00E558B5"/>
    <w:rsid w:val="00E55FE1"/>
    <w:rsid w:val="00E56322"/>
    <w:rsid w:val="00E56671"/>
    <w:rsid w:val="00E56D2A"/>
    <w:rsid w:val="00E57204"/>
    <w:rsid w:val="00E5799E"/>
    <w:rsid w:val="00E6013B"/>
    <w:rsid w:val="00E60982"/>
    <w:rsid w:val="00E6120F"/>
    <w:rsid w:val="00E6260E"/>
    <w:rsid w:val="00E62B89"/>
    <w:rsid w:val="00E62C62"/>
    <w:rsid w:val="00E62C8C"/>
    <w:rsid w:val="00E63BB8"/>
    <w:rsid w:val="00E63DD1"/>
    <w:rsid w:val="00E64A73"/>
    <w:rsid w:val="00E654C1"/>
    <w:rsid w:val="00E65A4F"/>
    <w:rsid w:val="00E65D97"/>
    <w:rsid w:val="00E66296"/>
    <w:rsid w:val="00E66516"/>
    <w:rsid w:val="00E66819"/>
    <w:rsid w:val="00E669EA"/>
    <w:rsid w:val="00E66BC6"/>
    <w:rsid w:val="00E66C86"/>
    <w:rsid w:val="00E66D25"/>
    <w:rsid w:val="00E7037A"/>
    <w:rsid w:val="00E70B67"/>
    <w:rsid w:val="00E71342"/>
    <w:rsid w:val="00E71578"/>
    <w:rsid w:val="00E71681"/>
    <w:rsid w:val="00E717DE"/>
    <w:rsid w:val="00E71DAB"/>
    <w:rsid w:val="00E726A7"/>
    <w:rsid w:val="00E72A5A"/>
    <w:rsid w:val="00E73354"/>
    <w:rsid w:val="00E73577"/>
    <w:rsid w:val="00E739D5"/>
    <w:rsid w:val="00E73A69"/>
    <w:rsid w:val="00E73A86"/>
    <w:rsid w:val="00E73CD8"/>
    <w:rsid w:val="00E746FD"/>
    <w:rsid w:val="00E753F0"/>
    <w:rsid w:val="00E761B6"/>
    <w:rsid w:val="00E76422"/>
    <w:rsid w:val="00E76FD0"/>
    <w:rsid w:val="00E77194"/>
    <w:rsid w:val="00E7746F"/>
    <w:rsid w:val="00E803DF"/>
    <w:rsid w:val="00E810A0"/>
    <w:rsid w:val="00E81412"/>
    <w:rsid w:val="00E81415"/>
    <w:rsid w:val="00E81AF5"/>
    <w:rsid w:val="00E824BE"/>
    <w:rsid w:val="00E826B8"/>
    <w:rsid w:val="00E836A6"/>
    <w:rsid w:val="00E83738"/>
    <w:rsid w:val="00E83B2D"/>
    <w:rsid w:val="00E84403"/>
    <w:rsid w:val="00E84D64"/>
    <w:rsid w:val="00E85336"/>
    <w:rsid w:val="00E8597A"/>
    <w:rsid w:val="00E85C78"/>
    <w:rsid w:val="00E85F89"/>
    <w:rsid w:val="00E86541"/>
    <w:rsid w:val="00E86A8F"/>
    <w:rsid w:val="00E86B4E"/>
    <w:rsid w:val="00E86B84"/>
    <w:rsid w:val="00E86E4A"/>
    <w:rsid w:val="00E86FDB"/>
    <w:rsid w:val="00E8740F"/>
    <w:rsid w:val="00E87C80"/>
    <w:rsid w:val="00E87F22"/>
    <w:rsid w:val="00E903AB"/>
    <w:rsid w:val="00E90919"/>
    <w:rsid w:val="00E90EC7"/>
    <w:rsid w:val="00E90F4E"/>
    <w:rsid w:val="00E910F7"/>
    <w:rsid w:val="00E9157A"/>
    <w:rsid w:val="00E91831"/>
    <w:rsid w:val="00E91E3B"/>
    <w:rsid w:val="00E91F77"/>
    <w:rsid w:val="00E921E3"/>
    <w:rsid w:val="00E9242D"/>
    <w:rsid w:val="00E93678"/>
    <w:rsid w:val="00E93748"/>
    <w:rsid w:val="00E93803"/>
    <w:rsid w:val="00E939C2"/>
    <w:rsid w:val="00E94618"/>
    <w:rsid w:val="00E9493C"/>
    <w:rsid w:val="00E94A0D"/>
    <w:rsid w:val="00E94C80"/>
    <w:rsid w:val="00E94E0B"/>
    <w:rsid w:val="00E95551"/>
    <w:rsid w:val="00E9598A"/>
    <w:rsid w:val="00E95ADE"/>
    <w:rsid w:val="00E95B9B"/>
    <w:rsid w:val="00E960AE"/>
    <w:rsid w:val="00E9672E"/>
    <w:rsid w:val="00E96BDB"/>
    <w:rsid w:val="00EA06A1"/>
    <w:rsid w:val="00EA1463"/>
    <w:rsid w:val="00EA1B13"/>
    <w:rsid w:val="00EA26D5"/>
    <w:rsid w:val="00EA2823"/>
    <w:rsid w:val="00EA3522"/>
    <w:rsid w:val="00EA3A08"/>
    <w:rsid w:val="00EA3AC1"/>
    <w:rsid w:val="00EA42FB"/>
    <w:rsid w:val="00EA4F46"/>
    <w:rsid w:val="00EA6624"/>
    <w:rsid w:val="00EA6CD7"/>
    <w:rsid w:val="00EA6E5F"/>
    <w:rsid w:val="00EA78F5"/>
    <w:rsid w:val="00EA796E"/>
    <w:rsid w:val="00EA7CCE"/>
    <w:rsid w:val="00EB04A3"/>
    <w:rsid w:val="00EB068D"/>
    <w:rsid w:val="00EB0FAE"/>
    <w:rsid w:val="00EB1257"/>
    <w:rsid w:val="00EB16D9"/>
    <w:rsid w:val="00EB1979"/>
    <w:rsid w:val="00EB26F6"/>
    <w:rsid w:val="00EB2792"/>
    <w:rsid w:val="00EB2A80"/>
    <w:rsid w:val="00EB2F84"/>
    <w:rsid w:val="00EB35E9"/>
    <w:rsid w:val="00EB3A23"/>
    <w:rsid w:val="00EB4143"/>
    <w:rsid w:val="00EB44D6"/>
    <w:rsid w:val="00EB4529"/>
    <w:rsid w:val="00EB50D2"/>
    <w:rsid w:val="00EB5255"/>
    <w:rsid w:val="00EB5676"/>
    <w:rsid w:val="00EB585D"/>
    <w:rsid w:val="00EB5A30"/>
    <w:rsid w:val="00EB5C47"/>
    <w:rsid w:val="00EB5C58"/>
    <w:rsid w:val="00EB5E12"/>
    <w:rsid w:val="00EB628E"/>
    <w:rsid w:val="00EB62B2"/>
    <w:rsid w:val="00EB65A9"/>
    <w:rsid w:val="00EB7266"/>
    <w:rsid w:val="00EB73E8"/>
    <w:rsid w:val="00EB7CD9"/>
    <w:rsid w:val="00EB7FA4"/>
    <w:rsid w:val="00EC04D5"/>
    <w:rsid w:val="00EC27B1"/>
    <w:rsid w:val="00EC2BD4"/>
    <w:rsid w:val="00EC30F9"/>
    <w:rsid w:val="00EC3EA5"/>
    <w:rsid w:val="00EC4064"/>
    <w:rsid w:val="00EC40D3"/>
    <w:rsid w:val="00EC412A"/>
    <w:rsid w:val="00EC4171"/>
    <w:rsid w:val="00EC4834"/>
    <w:rsid w:val="00EC55A5"/>
    <w:rsid w:val="00EC5702"/>
    <w:rsid w:val="00EC5A9A"/>
    <w:rsid w:val="00EC5E69"/>
    <w:rsid w:val="00EC5F44"/>
    <w:rsid w:val="00EC6619"/>
    <w:rsid w:val="00EC7EEE"/>
    <w:rsid w:val="00ED054F"/>
    <w:rsid w:val="00ED0639"/>
    <w:rsid w:val="00ED0747"/>
    <w:rsid w:val="00ED0AD0"/>
    <w:rsid w:val="00ED0DFE"/>
    <w:rsid w:val="00ED0F9B"/>
    <w:rsid w:val="00ED1262"/>
    <w:rsid w:val="00ED146D"/>
    <w:rsid w:val="00ED1521"/>
    <w:rsid w:val="00ED15CE"/>
    <w:rsid w:val="00ED1958"/>
    <w:rsid w:val="00ED1E0E"/>
    <w:rsid w:val="00ED21D1"/>
    <w:rsid w:val="00ED2286"/>
    <w:rsid w:val="00ED23C4"/>
    <w:rsid w:val="00ED27E1"/>
    <w:rsid w:val="00ED2949"/>
    <w:rsid w:val="00ED2958"/>
    <w:rsid w:val="00ED2B11"/>
    <w:rsid w:val="00ED2D4E"/>
    <w:rsid w:val="00ED2D73"/>
    <w:rsid w:val="00ED2EE1"/>
    <w:rsid w:val="00ED3857"/>
    <w:rsid w:val="00ED3BF7"/>
    <w:rsid w:val="00ED3D38"/>
    <w:rsid w:val="00ED3E01"/>
    <w:rsid w:val="00ED41FA"/>
    <w:rsid w:val="00ED43A7"/>
    <w:rsid w:val="00ED4580"/>
    <w:rsid w:val="00ED4943"/>
    <w:rsid w:val="00ED4B8F"/>
    <w:rsid w:val="00ED4D29"/>
    <w:rsid w:val="00ED513C"/>
    <w:rsid w:val="00ED51B1"/>
    <w:rsid w:val="00ED55E1"/>
    <w:rsid w:val="00ED5D59"/>
    <w:rsid w:val="00ED5DD5"/>
    <w:rsid w:val="00ED6560"/>
    <w:rsid w:val="00ED75B8"/>
    <w:rsid w:val="00ED7A0B"/>
    <w:rsid w:val="00ED7F2C"/>
    <w:rsid w:val="00EE061C"/>
    <w:rsid w:val="00EE164F"/>
    <w:rsid w:val="00EE1F32"/>
    <w:rsid w:val="00EE22DE"/>
    <w:rsid w:val="00EE2412"/>
    <w:rsid w:val="00EE2620"/>
    <w:rsid w:val="00EE339C"/>
    <w:rsid w:val="00EE3435"/>
    <w:rsid w:val="00EE4BB0"/>
    <w:rsid w:val="00EE4CE7"/>
    <w:rsid w:val="00EE5038"/>
    <w:rsid w:val="00EE5D46"/>
    <w:rsid w:val="00EE5DA4"/>
    <w:rsid w:val="00EE5E71"/>
    <w:rsid w:val="00EE6211"/>
    <w:rsid w:val="00EE671E"/>
    <w:rsid w:val="00EE69F6"/>
    <w:rsid w:val="00EE6E45"/>
    <w:rsid w:val="00EE706C"/>
    <w:rsid w:val="00EE7AB7"/>
    <w:rsid w:val="00EE7E65"/>
    <w:rsid w:val="00EF005A"/>
    <w:rsid w:val="00EF097A"/>
    <w:rsid w:val="00EF1784"/>
    <w:rsid w:val="00EF1B50"/>
    <w:rsid w:val="00EF1E81"/>
    <w:rsid w:val="00EF3384"/>
    <w:rsid w:val="00EF3DC1"/>
    <w:rsid w:val="00EF3FC8"/>
    <w:rsid w:val="00EF410B"/>
    <w:rsid w:val="00EF448A"/>
    <w:rsid w:val="00EF452D"/>
    <w:rsid w:val="00EF4755"/>
    <w:rsid w:val="00EF48F9"/>
    <w:rsid w:val="00EF5E59"/>
    <w:rsid w:val="00EF5E85"/>
    <w:rsid w:val="00EF66A1"/>
    <w:rsid w:val="00EF6A0B"/>
    <w:rsid w:val="00EF6E00"/>
    <w:rsid w:val="00EF6F9C"/>
    <w:rsid w:val="00EF6FD1"/>
    <w:rsid w:val="00EF700F"/>
    <w:rsid w:val="00EF7135"/>
    <w:rsid w:val="00EF73C7"/>
    <w:rsid w:val="00EF7C77"/>
    <w:rsid w:val="00F005F2"/>
    <w:rsid w:val="00F0230C"/>
    <w:rsid w:val="00F0231B"/>
    <w:rsid w:val="00F027C3"/>
    <w:rsid w:val="00F027DB"/>
    <w:rsid w:val="00F02E1F"/>
    <w:rsid w:val="00F04A82"/>
    <w:rsid w:val="00F0528F"/>
    <w:rsid w:val="00F05A4F"/>
    <w:rsid w:val="00F05BD9"/>
    <w:rsid w:val="00F06914"/>
    <w:rsid w:val="00F077A1"/>
    <w:rsid w:val="00F078C4"/>
    <w:rsid w:val="00F078FD"/>
    <w:rsid w:val="00F07A2F"/>
    <w:rsid w:val="00F07C68"/>
    <w:rsid w:val="00F07C83"/>
    <w:rsid w:val="00F10540"/>
    <w:rsid w:val="00F109CF"/>
    <w:rsid w:val="00F1240B"/>
    <w:rsid w:val="00F136FC"/>
    <w:rsid w:val="00F13D83"/>
    <w:rsid w:val="00F146C0"/>
    <w:rsid w:val="00F14992"/>
    <w:rsid w:val="00F14A7A"/>
    <w:rsid w:val="00F14A8C"/>
    <w:rsid w:val="00F150CA"/>
    <w:rsid w:val="00F15320"/>
    <w:rsid w:val="00F15A1D"/>
    <w:rsid w:val="00F161B0"/>
    <w:rsid w:val="00F16E0E"/>
    <w:rsid w:val="00F17573"/>
    <w:rsid w:val="00F17FC3"/>
    <w:rsid w:val="00F20BAD"/>
    <w:rsid w:val="00F20CBB"/>
    <w:rsid w:val="00F2124D"/>
    <w:rsid w:val="00F21522"/>
    <w:rsid w:val="00F215A5"/>
    <w:rsid w:val="00F21A60"/>
    <w:rsid w:val="00F22095"/>
    <w:rsid w:val="00F226E0"/>
    <w:rsid w:val="00F2274E"/>
    <w:rsid w:val="00F22985"/>
    <w:rsid w:val="00F233AE"/>
    <w:rsid w:val="00F2381C"/>
    <w:rsid w:val="00F23E43"/>
    <w:rsid w:val="00F24020"/>
    <w:rsid w:val="00F24CF2"/>
    <w:rsid w:val="00F25100"/>
    <w:rsid w:val="00F25508"/>
    <w:rsid w:val="00F25913"/>
    <w:rsid w:val="00F25F8C"/>
    <w:rsid w:val="00F26C62"/>
    <w:rsid w:val="00F2729D"/>
    <w:rsid w:val="00F27575"/>
    <w:rsid w:val="00F2773E"/>
    <w:rsid w:val="00F27E47"/>
    <w:rsid w:val="00F30124"/>
    <w:rsid w:val="00F302DF"/>
    <w:rsid w:val="00F30467"/>
    <w:rsid w:val="00F3133A"/>
    <w:rsid w:val="00F31609"/>
    <w:rsid w:val="00F31713"/>
    <w:rsid w:val="00F31F35"/>
    <w:rsid w:val="00F3221A"/>
    <w:rsid w:val="00F32CF5"/>
    <w:rsid w:val="00F331C7"/>
    <w:rsid w:val="00F3383E"/>
    <w:rsid w:val="00F347C0"/>
    <w:rsid w:val="00F34F96"/>
    <w:rsid w:val="00F3518A"/>
    <w:rsid w:val="00F352EE"/>
    <w:rsid w:val="00F35430"/>
    <w:rsid w:val="00F354C5"/>
    <w:rsid w:val="00F35AC1"/>
    <w:rsid w:val="00F36056"/>
    <w:rsid w:val="00F37084"/>
    <w:rsid w:val="00F37153"/>
    <w:rsid w:val="00F37F83"/>
    <w:rsid w:val="00F40709"/>
    <w:rsid w:val="00F40715"/>
    <w:rsid w:val="00F40D8F"/>
    <w:rsid w:val="00F40FC2"/>
    <w:rsid w:val="00F413A7"/>
    <w:rsid w:val="00F41696"/>
    <w:rsid w:val="00F41FFF"/>
    <w:rsid w:val="00F431B9"/>
    <w:rsid w:val="00F434B2"/>
    <w:rsid w:val="00F437D3"/>
    <w:rsid w:val="00F43802"/>
    <w:rsid w:val="00F43EBC"/>
    <w:rsid w:val="00F4404B"/>
    <w:rsid w:val="00F444CE"/>
    <w:rsid w:val="00F4463E"/>
    <w:rsid w:val="00F44A58"/>
    <w:rsid w:val="00F44B42"/>
    <w:rsid w:val="00F456C6"/>
    <w:rsid w:val="00F45BB8"/>
    <w:rsid w:val="00F45FC7"/>
    <w:rsid w:val="00F461C7"/>
    <w:rsid w:val="00F465A7"/>
    <w:rsid w:val="00F4745E"/>
    <w:rsid w:val="00F50517"/>
    <w:rsid w:val="00F5085B"/>
    <w:rsid w:val="00F5098A"/>
    <w:rsid w:val="00F50B7C"/>
    <w:rsid w:val="00F51625"/>
    <w:rsid w:val="00F51AA3"/>
    <w:rsid w:val="00F51E0D"/>
    <w:rsid w:val="00F520B1"/>
    <w:rsid w:val="00F52114"/>
    <w:rsid w:val="00F522D8"/>
    <w:rsid w:val="00F524DA"/>
    <w:rsid w:val="00F5273C"/>
    <w:rsid w:val="00F52A0B"/>
    <w:rsid w:val="00F52CDA"/>
    <w:rsid w:val="00F52EE1"/>
    <w:rsid w:val="00F536F5"/>
    <w:rsid w:val="00F5385E"/>
    <w:rsid w:val="00F538E9"/>
    <w:rsid w:val="00F53B8E"/>
    <w:rsid w:val="00F550E6"/>
    <w:rsid w:val="00F556E3"/>
    <w:rsid w:val="00F55955"/>
    <w:rsid w:val="00F55A51"/>
    <w:rsid w:val="00F560CE"/>
    <w:rsid w:val="00F5663A"/>
    <w:rsid w:val="00F5688F"/>
    <w:rsid w:val="00F56E76"/>
    <w:rsid w:val="00F576A9"/>
    <w:rsid w:val="00F57EAE"/>
    <w:rsid w:val="00F57F3D"/>
    <w:rsid w:val="00F57F65"/>
    <w:rsid w:val="00F57FF2"/>
    <w:rsid w:val="00F602CC"/>
    <w:rsid w:val="00F602D5"/>
    <w:rsid w:val="00F610C5"/>
    <w:rsid w:val="00F61560"/>
    <w:rsid w:val="00F619C5"/>
    <w:rsid w:val="00F61CDC"/>
    <w:rsid w:val="00F62457"/>
    <w:rsid w:val="00F626FB"/>
    <w:rsid w:val="00F62989"/>
    <w:rsid w:val="00F62F6C"/>
    <w:rsid w:val="00F6383E"/>
    <w:rsid w:val="00F64A74"/>
    <w:rsid w:val="00F64B57"/>
    <w:rsid w:val="00F6587D"/>
    <w:rsid w:val="00F65E80"/>
    <w:rsid w:val="00F65F02"/>
    <w:rsid w:val="00F66006"/>
    <w:rsid w:val="00F66379"/>
    <w:rsid w:val="00F66725"/>
    <w:rsid w:val="00F66EE1"/>
    <w:rsid w:val="00F67060"/>
    <w:rsid w:val="00F673CF"/>
    <w:rsid w:val="00F679DC"/>
    <w:rsid w:val="00F67D1B"/>
    <w:rsid w:val="00F7027C"/>
    <w:rsid w:val="00F70664"/>
    <w:rsid w:val="00F7136E"/>
    <w:rsid w:val="00F713A9"/>
    <w:rsid w:val="00F717D4"/>
    <w:rsid w:val="00F71840"/>
    <w:rsid w:val="00F7198C"/>
    <w:rsid w:val="00F71D2F"/>
    <w:rsid w:val="00F71DA3"/>
    <w:rsid w:val="00F71F23"/>
    <w:rsid w:val="00F724F3"/>
    <w:rsid w:val="00F72815"/>
    <w:rsid w:val="00F72B04"/>
    <w:rsid w:val="00F72D67"/>
    <w:rsid w:val="00F72E7E"/>
    <w:rsid w:val="00F7326B"/>
    <w:rsid w:val="00F73682"/>
    <w:rsid w:val="00F736F1"/>
    <w:rsid w:val="00F73954"/>
    <w:rsid w:val="00F73A78"/>
    <w:rsid w:val="00F74212"/>
    <w:rsid w:val="00F742AB"/>
    <w:rsid w:val="00F74345"/>
    <w:rsid w:val="00F745D3"/>
    <w:rsid w:val="00F753F9"/>
    <w:rsid w:val="00F75469"/>
    <w:rsid w:val="00F75C82"/>
    <w:rsid w:val="00F76660"/>
    <w:rsid w:val="00F7678D"/>
    <w:rsid w:val="00F803F0"/>
    <w:rsid w:val="00F80A0A"/>
    <w:rsid w:val="00F81166"/>
    <w:rsid w:val="00F81255"/>
    <w:rsid w:val="00F81313"/>
    <w:rsid w:val="00F81639"/>
    <w:rsid w:val="00F818B1"/>
    <w:rsid w:val="00F81DB6"/>
    <w:rsid w:val="00F823A6"/>
    <w:rsid w:val="00F826E5"/>
    <w:rsid w:val="00F82B19"/>
    <w:rsid w:val="00F83230"/>
    <w:rsid w:val="00F83A22"/>
    <w:rsid w:val="00F83DD8"/>
    <w:rsid w:val="00F8449B"/>
    <w:rsid w:val="00F845D2"/>
    <w:rsid w:val="00F84CAF"/>
    <w:rsid w:val="00F84E0F"/>
    <w:rsid w:val="00F8590B"/>
    <w:rsid w:val="00F86931"/>
    <w:rsid w:val="00F86D93"/>
    <w:rsid w:val="00F87474"/>
    <w:rsid w:val="00F8769F"/>
    <w:rsid w:val="00F878EE"/>
    <w:rsid w:val="00F90AC3"/>
    <w:rsid w:val="00F9143A"/>
    <w:rsid w:val="00F9162A"/>
    <w:rsid w:val="00F918BB"/>
    <w:rsid w:val="00F91F08"/>
    <w:rsid w:val="00F9212D"/>
    <w:rsid w:val="00F9285A"/>
    <w:rsid w:val="00F929AA"/>
    <w:rsid w:val="00F92C58"/>
    <w:rsid w:val="00F92D3C"/>
    <w:rsid w:val="00F9324E"/>
    <w:rsid w:val="00F93270"/>
    <w:rsid w:val="00F93878"/>
    <w:rsid w:val="00F938C1"/>
    <w:rsid w:val="00F9438C"/>
    <w:rsid w:val="00F965DA"/>
    <w:rsid w:val="00F96B0E"/>
    <w:rsid w:val="00F97E44"/>
    <w:rsid w:val="00FA01E5"/>
    <w:rsid w:val="00FA0319"/>
    <w:rsid w:val="00FA0846"/>
    <w:rsid w:val="00FA0DC4"/>
    <w:rsid w:val="00FA16F2"/>
    <w:rsid w:val="00FA1B24"/>
    <w:rsid w:val="00FA2A4C"/>
    <w:rsid w:val="00FA2E05"/>
    <w:rsid w:val="00FA393E"/>
    <w:rsid w:val="00FA3D68"/>
    <w:rsid w:val="00FA406A"/>
    <w:rsid w:val="00FA4151"/>
    <w:rsid w:val="00FA5445"/>
    <w:rsid w:val="00FA6A3D"/>
    <w:rsid w:val="00FB04A6"/>
    <w:rsid w:val="00FB0851"/>
    <w:rsid w:val="00FB090E"/>
    <w:rsid w:val="00FB0A3B"/>
    <w:rsid w:val="00FB0ADA"/>
    <w:rsid w:val="00FB16C1"/>
    <w:rsid w:val="00FB23E6"/>
    <w:rsid w:val="00FB363B"/>
    <w:rsid w:val="00FB42E7"/>
    <w:rsid w:val="00FB4368"/>
    <w:rsid w:val="00FB47BE"/>
    <w:rsid w:val="00FB4AA5"/>
    <w:rsid w:val="00FB503A"/>
    <w:rsid w:val="00FB516C"/>
    <w:rsid w:val="00FB5434"/>
    <w:rsid w:val="00FB5726"/>
    <w:rsid w:val="00FB64A8"/>
    <w:rsid w:val="00FB6B0E"/>
    <w:rsid w:val="00FB771E"/>
    <w:rsid w:val="00FB7CEB"/>
    <w:rsid w:val="00FB7F85"/>
    <w:rsid w:val="00FC09EA"/>
    <w:rsid w:val="00FC1AC7"/>
    <w:rsid w:val="00FC1EDC"/>
    <w:rsid w:val="00FC299F"/>
    <w:rsid w:val="00FC2B0F"/>
    <w:rsid w:val="00FC31B3"/>
    <w:rsid w:val="00FC3525"/>
    <w:rsid w:val="00FC3642"/>
    <w:rsid w:val="00FC3760"/>
    <w:rsid w:val="00FC3765"/>
    <w:rsid w:val="00FC3BFD"/>
    <w:rsid w:val="00FC3DCC"/>
    <w:rsid w:val="00FC428A"/>
    <w:rsid w:val="00FC4EE2"/>
    <w:rsid w:val="00FC5041"/>
    <w:rsid w:val="00FC51D0"/>
    <w:rsid w:val="00FC5FBC"/>
    <w:rsid w:val="00FC647F"/>
    <w:rsid w:val="00FC69FD"/>
    <w:rsid w:val="00FC6A3E"/>
    <w:rsid w:val="00FC6A95"/>
    <w:rsid w:val="00FC6B2B"/>
    <w:rsid w:val="00FC70FD"/>
    <w:rsid w:val="00FC710B"/>
    <w:rsid w:val="00FC75FB"/>
    <w:rsid w:val="00FC760E"/>
    <w:rsid w:val="00FC7A60"/>
    <w:rsid w:val="00FC7D13"/>
    <w:rsid w:val="00FD0236"/>
    <w:rsid w:val="00FD03CA"/>
    <w:rsid w:val="00FD0832"/>
    <w:rsid w:val="00FD1452"/>
    <w:rsid w:val="00FD18F4"/>
    <w:rsid w:val="00FD20E2"/>
    <w:rsid w:val="00FD27DA"/>
    <w:rsid w:val="00FD29EA"/>
    <w:rsid w:val="00FD343A"/>
    <w:rsid w:val="00FD3E95"/>
    <w:rsid w:val="00FD45EE"/>
    <w:rsid w:val="00FD4E0C"/>
    <w:rsid w:val="00FD54A9"/>
    <w:rsid w:val="00FD54DB"/>
    <w:rsid w:val="00FD5777"/>
    <w:rsid w:val="00FD57F4"/>
    <w:rsid w:val="00FD5896"/>
    <w:rsid w:val="00FD5D51"/>
    <w:rsid w:val="00FD619F"/>
    <w:rsid w:val="00FD6299"/>
    <w:rsid w:val="00FD696A"/>
    <w:rsid w:val="00FD7242"/>
    <w:rsid w:val="00FD7688"/>
    <w:rsid w:val="00FE09B9"/>
    <w:rsid w:val="00FE1AC1"/>
    <w:rsid w:val="00FE1DC2"/>
    <w:rsid w:val="00FE1FC5"/>
    <w:rsid w:val="00FE26E3"/>
    <w:rsid w:val="00FE377E"/>
    <w:rsid w:val="00FE38B0"/>
    <w:rsid w:val="00FE3B06"/>
    <w:rsid w:val="00FE3F19"/>
    <w:rsid w:val="00FE407D"/>
    <w:rsid w:val="00FE4BE9"/>
    <w:rsid w:val="00FE5058"/>
    <w:rsid w:val="00FE6211"/>
    <w:rsid w:val="00FE62D1"/>
    <w:rsid w:val="00FE6D9D"/>
    <w:rsid w:val="00FE73DA"/>
    <w:rsid w:val="00FE7EBE"/>
    <w:rsid w:val="00FF0930"/>
    <w:rsid w:val="00FF0C85"/>
    <w:rsid w:val="00FF0DE8"/>
    <w:rsid w:val="00FF14EA"/>
    <w:rsid w:val="00FF19BD"/>
    <w:rsid w:val="00FF1A3C"/>
    <w:rsid w:val="00FF200E"/>
    <w:rsid w:val="00FF2585"/>
    <w:rsid w:val="00FF28FD"/>
    <w:rsid w:val="00FF2A79"/>
    <w:rsid w:val="00FF2E87"/>
    <w:rsid w:val="00FF2F35"/>
    <w:rsid w:val="00FF34F0"/>
    <w:rsid w:val="00FF3F51"/>
    <w:rsid w:val="00FF3F8F"/>
    <w:rsid w:val="00FF3FF6"/>
    <w:rsid w:val="00FF42B3"/>
    <w:rsid w:val="00FF4442"/>
    <w:rsid w:val="00FF4684"/>
    <w:rsid w:val="00FF47D7"/>
    <w:rsid w:val="00FF4904"/>
    <w:rsid w:val="00FF5135"/>
    <w:rsid w:val="00FF5951"/>
    <w:rsid w:val="00FF5AC1"/>
    <w:rsid w:val="00FF72E3"/>
    <w:rsid w:val="00FF768B"/>
    <w:rsid w:val="00FF77F0"/>
    <w:rsid w:val="01066A48"/>
    <w:rsid w:val="01106300"/>
    <w:rsid w:val="01290F7E"/>
    <w:rsid w:val="015D1E09"/>
    <w:rsid w:val="017E0EBA"/>
    <w:rsid w:val="019E75CC"/>
    <w:rsid w:val="01B0745E"/>
    <w:rsid w:val="01C56009"/>
    <w:rsid w:val="01C768BF"/>
    <w:rsid w:val="01DC1F93"/>
    <w:rsid w:val="020B72F4"/>
    <w:rsid w:val="022A66D9"/>
    <w:rsid w:val="02405F8A"/>
    <w:rsid w:val="02697903"/>
    <w:rsid w:val="02AB05EC"/>
    <w:rsid w:val="02C40A9A"/>
    <w:rsid w:val="02CB619B"/>
    <w:rsid w:val="02D54924"/>
    <w:rsid w:val="02E910F0"/>
    <w:rsid w:val="02EB4BAF"/>
    <w:rsid w:val="02F96569"/>
    <w:rsid w:val="02FD5597"/>
    <w:rsid w:val="03007C0D"/>
    <w:rsid w:val="032006CC"/>
    <w:rsid w:val="032A1114"/>
    <w:rsid w:val="033C49A3"/>
    <w:rsid w:val="0361037F"/>
    <w:rsid w:val="036220FE"/>
    <w:rsid w:val="03AC7ED7"/>
    <w:rsid w:val="03D3435B"/>
    <w:rsid w:val="03E4146D"/>
    <w:rsid w:val="03EA08A3"/>
    <w:rsid w:val="03EA7B21"/>
    <w:rsid w:val="03FF6D74"/>
    <w:rsid w:val="042F3757"/>
    <w:rsid w:val="04351B1E"/>
    <w:rsid w:val="045E7B85"/>
    <w:rsid w:val="04737F79"/>
    <w:rsid w:val="04C3330F"/>
    <w:rsid w:val="04C64694"/>
    <w:rsid w:val="04F55751"/>
    <w:rsid w:val="05093AB6"/>
    <w:rsid w:val="050B5F79"/>
    <w:rsid w:val="051200B1"/>
    <w:rsid w:val="053D01B1"/>
    <w:rsid w:val="05404C1F"/>
    <w:rsid w:val="054531A6"/>
    <w:rsid w:val="055066C8"/>
    <w:rsid w:val="05921402"/>
    <w:rsid w:val="05957C02"/>
    <w:rsid w:val="05A57EF8"/>
    <w:rsid w:val="05B07DFE"/>
    <w:rsid w:val="05E67670"/>
    <w:rsid w:val="05F83EAE"/>
    <w:rsid w:val="0600705A"/>
    <w:rsid w:val="06145943"/>
    <w:rsid w:val="063E7D85"/>
    <w:rsid w:val="06491672"/>
    <w:rsid w:val="0661309E"/>
    <w:rsid w:val="06675F45"/>
    <w:rsid w:val="06752C46"/>
    <w:rsid w:val="06A94188"/>
    <w:rsid w:val="06B33C36"/>
    <w:rsid w:val="06B84C89"/>
    <w:rsid w:val="06BC3110"/>
    <w:rsid w:val="070278EC"/>
    <w:rsid w:val="07222ED9"/>
    <w:rsid w:val="07293586"/>
    <w:rsid w:val="07295285"/>
    <w:rsid w:val="072E20DE"/>
    <w:rsid w:val="073C01D5"/>
    <w:rsid w:val="07512DF9"/>
    <w:rsid w:val="07636392"/>
    <w:rsid w:val="07770C56"/>
    <w:rsid w:val="07C826AC"/>
    <w:rsid w:val="07CC49A0"/>
    <w:rsid w:val="07CF4038"/>
    <w:rsid w:val="07F61E99"/>
    <w:rsid w:val="07FC1369"/>
    <w:rsid w:val="08027C86"/>
    <w:rsid w:val="080D4B60"/>
    <w:rsid w:val="081447CD"/>
    <w:rsid w:val="08487273"/>
    <w:rsid w:val="084A0F56"/>
    <w:rsid w:val="08622ABC"/>
    <w:rsid w:val="08786EA5"/>
    <w:rsid w:val="08846593"/>
    <w:rsid w:val="0897212F"/>
    <w:rsid w:val="08A87BF3"/>
    <w:rsid w:val="08C01BC7"/>
    <w:rsid w:val="08DA0EE6"/>
    <w:rsid w:val="090B72F2"/>
    <w:rsid w:val="090C4E18"/>
    <w:rsid w:val="09101357"/>
    <w:rsid w:val="092217DD"/>
    <w:rsid w:val="093A7294"/>
    <w:rsid w:val="09520ED8"/>
    <w:rsid w:val="0963132F"/>
    <w:rsid w:val="099F1CFD"/>
    <w:rsid w:val="09A410CC"/>
    <w:rsid w:val="09AA1DED"/>
    <w:rsid w:val="09AC4B61"/>
    <w:rsid w:val="09B60B1D"/>
    <w:rsid w:val="09BA1AD6"/>
    <w:rsid w:val="09ED2E9B"/>
    <w:rsid w:val="0A0C0BC7"/>
    <w:rsid w:val="0A1421D6"/>
    <w:rsid w:val="0A263993"/>
    <w:rsid w:val="0A2D3AC2"/>
    <w:rsid w:val="0A3F21EB"/>
    <w:rsid w:val="0A4B50C4"/>
    <w:rsid w:val="0A4B5AEA"/>
    <w:rsid w:val="0A4B63FA"/>
    <w:rsid w:val="0A5C7CF1"/>
    <w:rsid w:val="0A684239"/>
    <w:rsid w:val="0A823B7B"/>
    <w:rsid w:val="0A9D3E9E"/>
    <w:rsid w:val="0AA755DF"/>
    <w:rsid w:val="0AB565E6"/>
    <w:rsid w:val="0AB731E2"/>
    <w:rsid w:val="0ADF6D37"/>
    <w:rsid w:val="0AE778EA"/>
    <w:rsid w:val="0AE84944"/>
    <w:rsid w:val="0AF96793"/>
    <w:rsid w:val="0B120D44"/>
    <w:rsid w:val="0B1A1A6E"/>
    <w:rsid w:val="0B2202C0"/>
    <w:rsid w:val="0B2D0C5C"/>
    <w:rsid w:val="0B2E376B"/>
    <w:rsid w:val="0B373CA0"/>
    <w:rsid w:val="0B74788C"/>
    <w:rsid w:val="0B813077"/>
    <w:rsid w:val="0B854172"/>
    <w:rsid w:val="0B867352"/>
    <w:rsid w:val="0B941583"/>
    <w:rsid w:val="0BA01E41"/>
    <w:rsid w:val="0BA321FF"/>
    <w:rsid w:val="0BB513E4"/>
    <w:rsid w:val="0BC001E0"/>
    <w:rsid w:val="0BC625D5"/>
    <w:rsid w:val="0BD27BF6"/>
    <w:rsid w:val="0BD92688"/>
    <w:rsid w:val="0BF62BD3"/>
    <w:rsid w:val="0C0F6C46"/>
    <w:rsid w:val="0C1F4E31"/>
    <w:rsid w:val="0C3B3C7D"/>
    <w:rsid w:val="0C3E4DE2"/>
    <w:rsid w:val="0C574653"/>
    <w:rsid w:val="0C793E23"/>
    <w:rsid w:val="0C7B669B"/>
    <w:rsid w:val="0C830983"/>
    <w:rsid w:val="0C96101D"/>
    <w:rsid w:val="0C9674CD"/>
    <w:rsid w:val="0C9B4F06"/>
    <w:rsid w:val="0CA84E57"/>
    <w:rsid w:val="0CAB2EAE"/>
    <w:rsid w:val="0CDF6944"/>
    <w:rsid w:val="0D000804"/>
    <w:rsid w:val="0D0429D6"/>
    <w:rsid w:val="0D186481"/>
    <w:rsid w:val="0D39796F"/>
    <w:rsid w:val="0D42705A"/>
    <w:rsid w:val="0D47548D"/>
    <w:rsid w:val="0D621C7D"/>
    <w:rsid w:val="0D645222"/>
    <w:rsid w:val="0D842C2E"/>
    <w:rsid w:val="0D8C4BF5"/>
    <w:rsid w:val="0DEF71E2"/>
    <w:rsid w:val="0E3C7567"/>
    <w:rsid w:val="0E533A71"/>
    <w:rsid w:val="0E6417EE"/>
    <w:rsid w:val="0E73034D"/>
    <w:rsid w:val="0E77256C"/>
    <w:rsid w:val="0E8C6BCD"/>
    <w:rsid w:val="0E944EAA"/>
    <w:rsid w:val="0E9E6512"/>
    <w:rsid w:val="0EA0228A"/>
    <w:rsid w:val="0EB82E8C"/>
    <w:rsid w:val="0EB93639"/>
    <w:rsid w:val="0EE74B50"/>
    <w:rsid w:val="0EE817A7"/>
    <w:rsid w:val="0F032410"/>
    <w:rsid w:val="0F0F6966"/>
    <w:rsid w:val="0F13775A"/>
    <w:rsid w:val="0F1F399D"/>
    <w:rsid w:val="0F5F45FE"/>
    <w:rsid w:val="0F641D30"/>
    <w:rsid w:val="0F693D05"/>
    <w:rsid w:val="0F6E4136"/>
    <w:rsid w:val="0F7672BB"/>
    <w:rsid w:val="0F805FA8"/>
    <w:rsid w:val="0F9A112B"/>
    <w:rsid w:val="0FC612BA"/>
    <w:rsid w:val="0FD26A7E"/>
    <w:rsid w:val="0FE863E6"/>
    <w:rsid w:val="0FF46BE1"/>
    <w:rsid w:val="100E1475"/>
    <w:rsid w:val="10374A67"/>
    <w:rsid w:val="106D2F64"/>
    <w:rsid w:val="108D2CE2"/>
    <w:rsid w:val="10B63710"/>
    <w:rsid w:val="10C75A02"/>
    <w:rsid w:val="10E06F65"/>
    <w:rsid w:val="10E22328"/>
    <w:rsid w:val="10F10820"/>
    <w:rsid w:val="11044CB6"/>
    <w:rsid w:val="111331E7"/>
    <w:rsid w:val="111C2F7A"/>
    <w:rsid w:val="111D5570"/>
    <w:rsid w:val="114E4340"/>
    <w:rsid w:val="115321FD"/>
    <w:rsid w:val="11547B94"/>
    <w:rsid w:val="11665CA1"/>
    <w:rsid w:val="11751945"/>
    <w:rsid w:val="1177112D"/>
    <w:rsid w:val="119F5A09"/>
    <w:rsid w:val="11A7392F"/>
    <w:rsid w:val="11AD6919"/>
    <w:rsid w:val="11C64E2C"/>
    <w:rsid w:val="11F052D6"/>
    <w:rsid w:val="12005A87"/>
    <w:rsid w:val="12152D8D"/>
    <w:rsid w:val="12167C03"/>
    <w:rsid w:val="12217394"/>
    <w:rsid w:val="127C55CA"/>
    <w:rsid w:val="128E41BC"/>
    <w:rsid w:val="128E689D"/>
    <w:rsid w:val="12AD4141"/>
    <w:rsid w:val="12BB554B"/>
    <w:rsid w:val="12CB7B09"/>
    <w:rsid w:val="12E97FFC"/>
    <w:rsid w:val="12F220C8"/>
    <w:rsid w:val="13163ED5"/>
    <w:rsid w:val="13193F32"/>
    <w:rsid w:val="131E305D"/>
    <w:rsid w:val="13482623"/>
    <w:rsid w:val="13502880"/>
    <w:rsid w:val="135A4A32"/>
    <w:rsid w:val="135B70C7"/>
    <w:rsid w:val="137354D6"/>
    <w:rsid w:val="138F114C"/>
    <w:rsid w:val="13951726"/>
    <w:rsid w:val="139D1904"/>
    <w:rsid w:val="13C62DD7"/>
    <w:rsid w:val="13F90BB1"/>
    <w:rsid w:val="140D7BEF"/>
    <w:rsid w:val="1421336F"/>
    <w:rsid w:val="142A2486"/>
    <w:rsid w:val="14396509"/>
    <w:rsid w:val="14752984"/>
    <w:rsid w:val="149030BD"/>
    <w:rsid w:val="14B922F8"/>
    <w:rsid w:val="14C43D41"/>
    <w:rsid w:val="14CB070C"/>
    <w:rsid w:val="14DD2C3C"/>
    <w:rsid w:val="14DE3B0C"/>
    <w:rsid w:val="1508102A"/>
    <w:rsid w:val="152B4932"/>
    <w:rsid w:val="153B4ABB"/>
    <w:rsid w:val="15411B05"/>
    <w:rsid w:val="15584512"/>
    <w:rsid w:val="15972F00"/>
    <w:rsid w:val="15EC6639"/>
    <w:rsid w:val="16087E1D"/>
    <w:rsid w:val="16115454"/>
    <w:rsid w:val="16462363"/>
    <w:rsid w:val="16531557"/>
    <w:rsid w:val="165A3F0C"/>
    <w:rsid w:val="16897AA8"/>
    <w:rsid w:val="168B10C2"/>
    <w:rsid w:val="169052DA"/>
    <w:rsid w:val="16A36DBB"/>
    <w:rsid w:val="16C42F21"/>
    <w:rsid w:val="16C436B9"/>
    <w:rsid w:val="16EF45FD"/>
    <w:rsid w:val="171E6442"/>
    <w:rsid w:val="171F34FA"/>
    <w:rsid w:val="17542F4B"/>
    <w:rsid w:val="175F6038"/>
    <w:rsid w:val="17701D14"/>
    <w:rsid w:val="17735226"/>
    <w:rsid w:val="17764A91"/>
    <w:rsid w:val="1782733C"/>
    <w:rsid w:val="17885FB1"/>
    <w:rsid w:val="178B2E8F"/>
    <w:rsid w:val="17A97DA5"/>
    <w:rsid w:val="17AA6BDF"/>
    <w:rsid w:val="17DC73FB"/>
    <w:rsid w:val="17F453F5"/>
    <w:rsid w:val="17F9141B"/>
    <w:rsid w:val="17F95807"/>
    <w:rsid w:val="1803764E"/>
    <w:rsid w:val="180725A6"/>
    <w:rsid w:val="181E6344"/>
    <w:rsid w:val="18202ECE"/>
    <w:rsid w:val="18215A9C"/>
    <w:rsid w:val="18573CCA"/>
    <w:rsid w:val="18645DFB"/>
    <w:rsid w:val="18700B1F"/>
    <w:rsid w:val="1871054E"/>
    <w:rsid w:val="18737847"/>
    <w:rsid w:val="187A2CF3"/>
    <w:rsid w:val="189F624C"/>
    <w:rsid w:val="18AB2524"/>
    <w:rsid w:val="18E05657"/>
    <w:rsid w:val="193D197C"/>
    <w:rsid w:val="19777A51"/>
    <w:rsid w:val="197A60DC"/>
    <w:rsid w:val="19A71570"/>
    <w:rsid w:val="19A854F4"/>
    <w:rsid w:val="19D94DBD"/>
    <w:rsid w:val="19DE7212"/>
    <w:rsid w:val="1A1C66C0"/>
    <w:rsid w:val="1A2B10F9"/>
    <w:rsid w:val="1A42393B"/>
    <w:rsid w:val="1A880D79"/>
    <w:rsid w:val="1A92147F"/>
    <w:rsid w:val="1AA000EA"/>
    <w:rsid w:val="1AA06301"/>
    <w:rsid w:val="1AA2382E"/>
    <w:rsid w:val="1AAD45DE"/>
    <w:rsid w:val="1ACA0A0B"/>
    <w:rsid w:val="1AE0322F"/>
    <w:rsid w:val="1AE264CB"/>
    <w:rsid w:val="1AE52B19"/>
    <w:rsid w:val="1AF23E6D"/>
    <w:rsid w:val="1AF57E02"/>
    <w:rsid w:val="1B046F80"/>
    <w:rsid w:val="1B08112E"/>
    <w:rsid w:val="1B113FB4"/>
    <w:rsid w:val="1B2C7A13"/>
    <w:rsid w:val="1B2D7E45"/>
    <w:rsid w:val="1B3267B5"/>
    <w:rsid w:val="1B40161D"/>
    <w:rsid w:val="1B441859"/>
    <w:rsid w:val="1B6146D1"/>
    <w:rsid w:val="1B6606B1"/>
    <w:rsid w:val="1B6B7DF1"/>
    <w:rsid w:val="1B897AEC"/>
    <w:rsid w:val="1BA710FC"/>
    <w:rsid w:val="1BA9551F"/>
    <w:rsid w:val="1BB90B51"/>
    <w:rsid w:val="1BCC1317"/>
    <w:rsid w:val="1C0874AD"/>
    <w:rsid w:val="1C1503E2"/>
    <w:rsid w:val="1C170DE0"/>
    <w:rsid w:val="1C206892"/>
    <w:rsid w:val="1C305A95"/>
    <w:rsid w:val="1C3E30E2"/>
    <w:rsid w:val="1C412FC8"/>
    <w:rsid w:val="1C440E0E"/>
    <w:rsid w:val="1C5B3C94"/>
    <w:rsid w:val="1C5E7925"/>
    <w:rsid w:val="1C700BD6"/>
    <w:rsid w:val="1C931917"/>
    <w:rsid w:val="1CAC1B7D"/>
    <w:rsid w:val="1CC174D4"/>
    <w:rsid w:val="1CE64A72"/>
    <w:rsid w:val="1CF10155"/>
    <w:rsid w:val="1CFD070F"/>
    <w:rsid w:val="1D102CD1"/>
    <w:rsid w:val="1D273760"/>
    <w:rsid w:val="1D31184E"/>
    <w:rsid w:val="1D3F35B6"/>
    <w:rsid w:val="1D5D053C"/>
    <w:rsid w:val="1D5F6196"/>
    <w:rsid w:val="1D6132A5"/>
    <w:rsid w:val="1D8E56D5"/>
    <w:rsid w:val="1D9C27B6"/>
    <w:rsid w:val="1DAD4461"/>
    <w:rsid w:val="1DF34C2B"/>
    <w:rsid w:val="1DF44A67"/>
    <w:rsid w:val="1E0F11DA"/>
    <w:rsid w:val="1E122858"/>
    <w:rsid w:val="1E243E2D"/>
    <w:rsid w:val="1E401394"/>
    <w:rsid w:val="1E421268"/>
    <w:rsid w:val="1E634C82"/>
    <w:rsid w:val="1E674B72"/>
    <w:rsid w:val="1E7A43DA"/>
    <w:rsid w:val="1E831280"/>
    <w:rsid w:val="1E966599"/>
    <w:rsid w:val="1E9B10FC"/>
    <w:rsid w:val="1EAA0F5F"/>
    <w:rsid w:val="1ECC5632"/>
    <w:rsid w:val="1ECE5E00"/>
    <w:rsid w:val="1EE0168C"/>
    <w:rsid w:val="1F063983"/>
    <w:rsid w:val="1F186F92"/>
    <w:rsid w:val="1F23650F"/>
    <w:rsid w:val="1F2F72E1"/>
    <w:rsid w:val="1F30177A"/>
    <w:rsid w:val="1F44464B"/>
    <w:rsid w:val="1F4B6D60"/>
    <w:rsid w:val="1F6D61B8"/>
    <w:rsid w:val="1F7C75CC"/>
    <w:rsid w:val="1F903C55"/>
    <w:rsid w:val="1F9C2C7C"/>
    <w:rsid w:val="1FB630C3"/>
    <w:rsid w:val="1FC831E8"/>
    <w:rsid w:val="1FE7539E"/>
    <w:rsid w:val="1FFE7D7D"/>
    <w:rsid w:val="20027ABD"/>
    <w:rsid w:val="2029531A"/>
    <w:rsid w:val="203946B2"/>
    <w:rsid w:val="205527CD"/>
    <w:rsid w:val="20671BE0"/>
    <w:rsid w:val="208F1E39"/>
    <w:rsid w:val="20963CB8"/>
    <w:rsid w:val="20A81A1B"/>
    <w:rsid w:val="20B07FB6"/>
    <w:rsid w:val="20B646FB"/>
    <w:rsid w:val="20C462AC"/>
    <w:rsid w:val="20E24984"/>
    <w:rsid w:val="20F70FD3"/>
    <w:rsid w:val="21076F6F"/>
    <w:rsid w:val="2127535E"/>
    <w:rsid w:val="213627DF"/>
    <w:rsid w:val="21384E4F"/>
    <w:rsid w:val="213B74B1"/>
    <w:rsid w:val="21422E7B"/>
    <w:rsid w:val="2144119B"/>
    <w:rsid w:val="21521F23"/>
    <w:rsid w:val="215A2310"/>
    <w:rsid w:val="21614531"/>
    <w:rsid w:val="216A5400"/>
    <w:rsid w:val="21702D0C"/>
    <w:rsid w:val="21862CA1"/>
    <w:rsid w:val="218E5D4F"/>
    <w:rsid w:val="21951D43"/>
    <w:rsid w:val="21C67E02"/>
    <w:rsid w:val="21CB305B"/>
    <w:rsid w:val="21CC7A89"/>
    <w:rsid w:val="21DE318A"/>
    <w:rsid w:val="21E95A60"/>
    <w:rsid w:val="21EF5B80"/>
    <w:rsid w:val="22116A35"/>
    <w:rsid w:val="222E5CCE"/>
    <w:rsid w:val="22481BBD"/>
    <w:rsid w:val="22576990"/>
    <w:rsid w:val="22892660"/>
    <w:rsid w:val="229A09AC"/>
    <w:rsid w:val="229A1376"/>
    <w:rsid w:val="22A92B31"/>
    <w:rsid w:val="22AC2CDC"/>
    <w:rsid w:val="22AF6AE8"/>
    <w:rsid w:val="22BB74BE"/>
    <w:rsid w:val="22C935FA"/>
    <w:rsid w:val="22E06CA1"/>
    <w:rsid w:val="22E76282"/>
    <w:rsid w:val="22E810F1"/>
    <w:rsid w:val="22F47480"/>
    <w:rsid w:val="22F83E97"/>
    <w:rsid w:val="22FD324F"/>
    <w:rsid w:val="23060766"/>
    <w:rsid w:val="230A4F03"/>
    <w:rsid w:val="231670EA"/>
    <w:rsid w:val="231D6728"/>
    <w:rsid w:val="231E74F7"/>
    <w:rsid w:val="232F19D7"/>
    <w:rsid w:val="233C28E7"/>
    <w:rsid w:val="235A2EF8"/>
    <w:rsid w:val="235A6AF5"/>
    <w:rsid w:val="23640104"/>
    <w:rsid w:val="236A5BBA"/>
    <w:rsid w:val="236B51E7"/>
    <w:rsid w:val="23C640E9"/>
    <w:rsid w:val="23DD3978"/>
    <w:rsid w:val="23DE1C48"/>
    <w:rsid w:val="23DE4939"/>
    <w:rsid w:val="240210CD"/>
    <w:rsid w:val="240E3101"/>
    <w:rsid w:val="24156E1F"/>
    <w:rsid w:val="245228BF"/>
    <w:rsid w:val="24877D1C"/>
    <w:rsid w:val="248D755B"/>
    <w:rsid w:val="24AF12C8"/>
    <w:rsid w:val="24BF09F7"/>
    <w:rsid w:val="24E210C0"/>
    <w:rsid w:val="252D53FE"/>
    <w:rsid w:val="256C6B71"/>
    <w:rsid w:val="258006AD"/>
    <w:rsid w:val="25830968"/>
    <w:rsid w:val="258B55EA"/>
    <w:rsid w:val="25983520"/>
    <w:rsid w:val="259E6E8E"/>
    <w:rsid w:val="25E77000"/>
    <w:rsid w:val="25EC2D81"/>
    <w:rsid w:val="26066B74"/>
    <w:rsid w:val="2615634C"/>
    <w:rsid w:val="261A0C34"/>
    <w:rsid w:val="26294BA0"/>
    <w:rsid w:val="262C35EF"/>
    <w:rsid w:val="264834E2"/>
    <w:rsid w:val="26544E9E"/>
    <w:rsid w:val="2666570F"/>
    <w:rsid w:val="26A93E40"/>
    <w:rsid w:val="26C2682B"/>
    <w:rsid w:val="26FB7404"/>
    <w:rsid w:val="27190A70"/>
    <w:rsid w:val="274200B7"/>
    <w:rsid w:val="275A132F"/>
    <w:rsid w:val="27652DBA"/>
    <w:rsid w:val="2765679E"/>
    <w:rsid w:val="277057A2"/>
    <w:rsid w:val="2778217D"/>
    <w:rsid w:val="278A7763"/>
    <w:rsid w:val="279961B5"/>
    <w:rsid w:val="27A449B4"/>
    <w:rsid w:val="27BA750C"/>
    <w:rsid w:val="27C929B3"/>
    <w:rsid w:val="27D23E71"/>
    <w:rsid w:val="27D34B2D"/>
    <w:rsid w:val="27DD0E4B"/>
    <w:rsid w:val="27DF1C1D"/>
    <w:rsid w:val="27ED433A"/>
    <w:rsid w:val="27F210F1"/>
    <w:rsid w:val="28273B08"/>
    <w:rsid w:val="285E7B77"/>
    <w:rsid w:val="28643ED1"/>
    <w:rsid w:val="2877302D"/>
    <w:rsid w:val="288D23FB"/>
    <w:rsid w:val="28927185"/>
    <w:rsid w:val="28AE6E38"/>
    <w:rsid w:val="28B04D08"/>
    <w:rsid w:val="28CE482C"/>
    <w:rsid w:val="28CF538A"/>
    <w:rsid w:val="29024E14"/>
    <w:rsid w:val="29066465"/>
    <w:rsid w:val="29206EB8"/>
    <w:rsid w:val="292409A4"/>
    <w:rsid w:val="29423B34"/>
    <w:rsid w:val="29595666"/>
    <w:rsid w:val="29685380"/>
    <w:rsid w:val="296F6FD1"/>
    <w:rsid w:val="29714AF7"/>
    <w:rsid w:val="29874881"/>
    <w:rsid w:val="29A053DC"/>
    <w:rsid w:val="29B70979"/>
    <w:rsid w:val="29C40B22"/>
    <w:rsid w:val="29D07A70"/>
    <w:rsid w:val="29E325E0"/>
    <w:rsid w:val="2A076B1A"/>
    <w:rsid w:val="2A452503"/>
    <w:rsid w:val="2A645CED"/>
    <w:rsid w:val="2A657A87"/>
    <w:rsid w:val="2A9B706F"/>
    <w:rsid w:val="2AA67315"/>
    <w:rsid w:val="2AA86A1A"/>
    <w:rsid w:val="2AB97208"/>
    <w:rsid w:val="2ABF223D"/>
    <w:rsid w:val="2AC12217"/>
    <w:rsid w:val="2AF843BF"/>
    <w:rsid w:val="2B087979"/>
    <w:rsid w:val="2B2316AA"/>
    <w:rsid w:val="2B3D7645"/>
    <w:rsid w:val="2B9E01A1"/>
    <w:rsid w:val="2BA936A8"/>
    <w:rsid w:val="2BCE0FC2"/>
    <w:rsid w:val="2BD35E97"/>
    <w:rsid w:val="2BD84841"/>
    <w:rsid w:val="2C006A2E"/>
    <w:rsid w:val="2C130AF1"/>
    <w:rsid w:val="2C315A5A"/>
    <w:rsid w:val="2C4B1C25"/>
    <w:rsid w:val="2CA369A4"/>
    <w:rsid w:val="2CB24C05"/>
    <w:rsid w:val="2CBA74BD"/>
    <w:rsid w:val="2CF74932"/>
    <w:rsid w:val="2D005C38"/>
    <w:rsid w:val="2D043EBF"/>
    <w:rsid w:val="2D085D13"/>
    <w:rsid w:val="2D1477FF"/>
    <w:rsid w:val="2D2E2088"/>
    <w:rsid w:val="2D3349E0"/>
    <w:rsid w:val="2D525CFE"/>
    <w:rsid w:val="2D5C3212"/>
    <w:rsid w:val="2D5E1836"/>
    <w:rsid w:val="2D6F75A0"/>
    <w:rsid w:val="2D8D3995"/>
    <w:rsid w:val="2D9B24CE"/>
    <w:rsid w:val="2D9E56F5"/>
    <w:rsid w:val="2DB41BF1"/>
    <w:rsid w:val="2DB95719"/>
    <w:rsid w:val="2DBB5542"/>
    <w:rsid w:val="2E27361A"/>
    <w:rsid w:val="2E494294"/>
    <w:rsid w:val="2E5A0900"/>
    <w:rsid w:val="2E667F96"/>
    <w:rsid w:val="2E8226AB"/>
    <w:rsid w:val="2E84600A"/>
    <w:rsid w:val="2E8C0CED"/>
    <w:rsid w:val="2EAE5763"/>
    <w:rsid w:val="2EBD78A6"/>
    <w:rsid w:val="2EC233AF"/>
    <w:rsid w:val="2ECA76C3"/>
    <w:rsid w:val="2ECF379A"/>
    <w:rsid w:val="2EDD752E"/>
    <w:rsid w:val="2EEA0EAE"/>
    <w:rsid w:val="2EF45547"/>
    <w:rsid w:val="2EF62618"/>
    <w:rsid w:val="2EFA558F"/>
    <w:rsid w:val="2F045EAB"/>
    <w:rsid w:val="2F307202"/>
    <w:rsid w:val="2F320885"/>
    <w:rsid w:val="2F772127"/>
    <w:rsid w:val="2F7F25BC"/>
    <w:rsid w:val="2F844173"/>
    <w:rsid w:val="2FB60A86"/>
    <w:rsid w:val="2FC37D76"/>
    <w:rsid w:val="2FD065E6"/>
    <w:rsid w:val="2FD96870"/>
    <w:rsid w:val="2FDF7647"/>
    <w:rsid w:val="2FEC33B6"/>
    <w:rsid w:val="2FFC2C93"/>
    <w:rsid w:val="303A73DE"/>
    <w:rsid w:val="3052676A"/>
    <w:rsid w:val="30580BC9"/>
    <w:rsid w:val="307A6987"/>
    <w:rsid w:val="309E22ED"/>
    <w:rsid w:val="30AA02CD"/>
    <w:rsid w:val="30B17E0B"/>
    <w:rsid w:val="30BB7D1B"/>
    <w:rsid w:val="30F57AA0"/>
    <w:rsid w:val="30FC189B"/>
    <w:rsid w:val="311E2ED7"/>
    <w:rsid w:val="312C3C9C"/>
    <w:rsid w:val="314670FB"/>
    <w:rsid w:val="31500512"/>
    <w:rsid w:val="315619EE"/>
    <w:rsid w:val="315C449C"/>
    <w:rsid w:val="31662A68"/>
    <w:rsid w:val="3197426F"/>
    <w:rsid w:val="31AB33D6"/>
    <w:rsid w:val="31AC3642"/>
    <w:rsid w:val="31B82709"/>
    <w:rsid w:val="31BF75A6"/>
    <w:rsid w:val="31D05482"/>
    <w:rsid w:val="31D11824"/>
    <w:rsid w:val="31E318DE"/>
    <w:rsid w:val="31E93F33"/>
    <w:rsid w:val="31F55786"/>
    <w:rsid w:val="320B0AFD"/>
    <w:rsid w:val="32230959"/>
    <w:rsid w:val="322F37A1"/>
    <w:rsid w:val="32400B34"/>
    <w:rsid w:val="32523DD7"/>
    <w:rsid w:val="327343CF"/>
    <w:rsid w:val="329E6876"/>
    <w:rsid w:val="32CC05B2"/>
    <w:rsid w:val="32DF445D"/>
    <w:rsid w:val="330615ED"/>
    <w:rsid w:val="33114C55"/>
    <w:rsid w:val="33136C1F"/>
    <w:rsid w:val="33162F6B"/>
    <w:rsid w:val="331876B9"/>
    <w:rsid w:val="331B4ED5"/>
    <w:rsid w:val="333015F2"/>
    <w:rsid w:val="334B6320"/>
    <w:rsid w:val="33567164"/>
    <w:rsid w:val="335737B1"/>
    <w:rsid w:val="335C5592"/>
    <w:rsid w:val="336851F8"/>
    <w:rsid w:val="33697182"/>
    <w:rsid w:val="33724822"/>
    <w:rsid w:val="33837901"/>
    <w:rsid w:val="33AA7607"/>
    <w:rsid w:val="33BC1065"/>
    <w:rsid w:val="33BF0F7F"/>
    <w:rsid w:val="33CA1524"/>
    <w:rsid w:val="33D66570"/>
    <w:rsid w:val="33D934D4"/>
    <w:rsid w:val="33DE0139"/>
    <w:rsid w:val="33FE2F6A"/>
    <w:rsid w:val="340842AA"/>
    <w:rsid w:val="340E07E5"/>
    <w:rsid w:val="341964B7"/>
    <w:rsid w:val="34235BF7"/>
    <w:rsid w:val="34327009"/>
    <w:rsid w:val="343B709D"/>
    <w:rsid w:val="345335DF"/>
    <w:rsid w:val="345853BD"/>
    <w:rsid w:val="346911EC"/>
    <w:rsid w:val="34B5206B"/>
    <w:rsid w:val="34BA5A39"/>
    <w:rsid w:val="34D9343F"/>
    <w:rsid w:val="35465AF1"/>
    <w:rsid w:val="3550414C"/>
    <w:rsid w:val="355D6513"/>
    <w:rsid w:val="356618B7"/>
    <w:rsid w:val="358C5FA8"/>
    <w:rsid w:val="35A228AC"/>
    <w:rsid w:val="35A90493"/>
    <w:rsid w:val="35B13165"/>
    <w:rsid w:val="35B20971"/>
    <w:rsid w:val="35B97E0C"/>
    <w:rsid w:val="35BF7C72"/>
    <w:rsid w:val="35C15DF1"/>
    <w:rsid w:val="35CF32D1"/>
    <w:rsid w:val="35D37B7A"/>
    <w:rsid w:val="35D85FCA"/>
    <w:rsid w:val="36000BE2"/>
    <w:rsid w:val="36074A7F"/>
    <w:rsid w:val="36510D56"/>
    <w:rsid w:val="367B5B91"/>
    <w:rsid w:val="36923549"/>
    <w:rsid w:val="36B75FBF"/>
    <w:rsid w:val="36BD0C45"/>
    <w:rsid w:val="36EA6354"/>
    <w:rsid w:val="36FD2D9B"/>
    <w:rsid w:val="370E0E34"/>
    <w:rsid w:val="371A122C"/>
    <w:rsid w:val="376912A0"/>
    <w:rsid w:val="376932B2"/>
    <w:rsid w:val="37A3725B"/>
    <w:rsid w:val="37CD1A92"/>
    <w:rsid w:val="37DA7D0B"/>
    <w:rsid w:val="37E00298"/>
    <w:rsid w:val="3804096E"/>
    <w:rsid w:val="38190C1E"/>
    <w:rsid w:val="38244ED2"/>
    <w:rsid w:val="384001AE"/>
    <w:rsid w:val="38422A27"/>
    <w:rsid w:val="384255DE"/>
    <w:rsid w:val="385C0C16"/>
    <w:rsid w:val="38A36878"/>
    <w:rsid w:val="38AF2A08"/>
    <w:rsid w:val="38B302F9"/>
    <w:rsid w:val="38C972B4"/>
    <w:rsid w:val="38D33D77"/>
    <w:rsid w:val="38EA21D0"/>
    <w:rsid w:val="38F12CD3"/>
    <w:rsid w:val="38F94775"/>
    <w:rsid w:val="38FF40CB"/>
    <w:rsid w:val="392971ED"/>
    <w:rsid w:val="39325651"/>
    <w:rsid w:val="39396CB4"/>
    <w:rsid w:val="396775E2"/>
    <w:rsid w:val="397A15B9"/>
    <w:rsid w:val="397D2702"/>
    <w:rsid w:val="39CD5D7A"/>
    <w:rsid w:val="39D235FE"/>
    <w:rsid w:val="39E0022C"/>
    <w:rsid w:val="39E84962"/>
    <w:rsid w:val="39FF4CBA"/>
    <w:rsid w:val="3A0610A5"/>
    <w:rsid w:val="3A0F6ADE"/>
    <w:rsid w:val="3A712A71"/>
    <w:rsid w:val="3A872856"/>
    <w:rsid w:val="3A975A49"/>
    <w:rsid w:val="3A9F5830"/>
    <w:rsid w:val="3AA007DD"/>
    <w:rsid w:val="3ABB3B87"/>
    <w:rsid w:val="3ABF0B52"/>
    <w:rsid w:val="3ADA508B"/>
    <w:rsid w:val="3ADB44C6"/>
    <w:rsid w:val="3AEF7F72"/>
    <w:rsid w:val="3B0235E8"/>
    <w:rsid w:val="3B061F65"/>
    <w:rsid w:val="3B1654FE"/>
    <w:rsid w:val="3B313668"/>
    <w:rsid w:val="3B335D23"/>
    <w:rsid w:val="3B3763D1"/>
    <w:rsid w:val="3B3D7FF1"/>
    <w:rsid w:val="3B512A9D"/>
    <w:rsid w:val="3B72794D"/>
    <w:rsid w:val="3B742215"/>
    <w:rsid w:val="3B903503"/>
    <w:rsid w:val="3BDF241D"/>
    <w:rsid w:val="3BF010B9"/>
    <w:rsid w:val="3BFD2C00"/>
    <w:rsid w:val="3C2F6E1E"/>
    <w:rsid w:val="3C4F64BA"/>
    <w:rsid w:val="3C5A151A"/>
    <w:rsid w:val="3C6517DD"/>
    <w:rsid w:val="3C6C1FDC"/>
    <w:rsid w:val="3C7D70DA"/>
    <w:rsid w:val="3C9B215F"/>
    <w:rsid w:val="3C9F32D2"/>
    <w:rsid w:val="3CD66E96"/>
    <w:rsid w:val="3CDA245A"/>
    <w:rsid w:val="3CDE6772"/>
    <w:rsid w:val="3CE80C6A"/>
    <w:rsid w:val="3D172B8F"/>
    <w:rsid w:val="3D1E06B7"/>
    <w:rsid w:val="3D295AC1"/>
    <w:rsid w:val="3D2E2F26"/>
    <w:rsid w:val="3D3305EA"/>
    <w:rsid w:val="3D5968DE"/>
    <w:rsid w:val="3D605AF2"/>
    <w:rsid w:val="3D640929"/>
    <w:rsid w:val="3D6F1D21"/>
    <w:rsid w:val="3DD5344F"/>
    <w:rsid w:val="3DD63A92"/>
    <w:rsid w:val="3DDB5BBD"/>
    <w:rsid w:val="3DE56D45"/>
    <w:rsid w:val="3E057FAE"/>
    <w:rsid w:val="3E136906"/>
    <w:rsid w:val="3E2C309F"/>
    <w:rsid w:val="3E4171D1"/>
    <w:rsid w:val="3E50353F"/>
    <w:rsid w:val="3E54526E"/>
    <w:rsid w:val="3E6447D3"/>
    <w:rsid w:val="3E852A39"/>
    <w:rsid w:val="3E8A39B9"/>
    <w:rsid w:val="3EA02D22"/>
    <w:rsid w:val="3EA35E44"/>
    <w:rsid w:val="3EDA0523"/>
    <w:rsid w:val="3F221822"/>
    <w:rsid w:val="3F2332C0"/>
    <w:rsid w:val="3F327BFC"/>
    <w:rsid w:val="3F3B74F5"/>
    <w:rsid w:val="3F3F3F9B"/>
    <w:rsid w:val="3F542044"/>
    <w:rsid w:val="3F6B0C70"/>
    <w:rsid w:val="3F7A2500"/>
    <w:rsid w:val="3F81757E"/>
    <w:rsid w:val="3F877201"/>
    <w:rsid w:val="3FD35F60"/>
    <w:rsid w:val="3FE9653F"/>
    <w:rsid w:val="3FEA152B"/>
    <w:rsid w:val="400242A3"/>
    <w:rsid w:val="40041AB9"/>
    <w:rsid w:val="400B45A4"/>
    <w:rsid w:val="40281163"/>
    <w:rsid w:val="40302BBE"/>
    <w:rsid w:val="407A6407"/>
    <w:rsid w:val="4084152E"/>
    <w:rsid w:val="40A0722A"/>
    <w:rsid w:val="40B96865"/>
    <w:rsid w:val="40BF4A16"/>
    <w:rsid w:val="412740FE"/>
    <w:rsid w:val="4128372B"/>
    <w:rsid w:val="41642B57"/>
    <w:rsid w:val="4175600C"/>
    <w:rsid w:val="417B4404"/>
    <w:rsid w:val="41A4714A"/>
    <w:rsid w:val="41A6234A"/>
    <w:rsid w:val="41AA6042"/>
    <w:rsid w:val="41B67685"/>
    <w:rsid w:val="41C00E0B"/>
    <w:rsid w:val="4200449D"/>
    <w:rsid w:val="42072657"/>
    <w:rsid w:val="421942AE"/>
    <w:rsid w:val="422354A5"/>
    <w:rsid w:val="42312C1E"/>
    <w:rsid w:val="423A0160"/>
    <w:rsid w:val="423A3BCC"/>
    <w:rsid w:val="423A46B0"/>
    <w:rsid w:val="423D39DA"/>
    <w:rsid w:val="424E57D2"/>
    <w:rsid w:val="426472D1"/>
    <w:rsid w:val="4268127C"/>
    <w:rsid w:val="426F1B51"/>
    <w:rsid w:val="42755A8E"/>
    <w:rsid w:val="427B1976"/>
    <w:rsid w:val="42886C9F"/>
    <w:rsid w:val="42A3621B"/>
    <w:rsid w:val="42AE426E"/>
    <w:rsid w:val="42B26C49"/>
    <w:rsid w:val="42DC4F54"/>
    <w:rsid w:val="43174F7D"/>
    <w:rsid w:val="432466C4"/>
    <w:rsid w:val="433A6FE6"/>
    <w:rsid w:val="43480868"/>
    <w:rsid w:val="434E4D39"/>
    <w:rsid w:val="4350713C"/>
    <w:rsid w:val="4365406D"/>
    <w:rsid w:val="436653E0"/>
    <w:rsid w:val="436D137D"/>
    <w:rsid w:val="438B0031"/>
    <w:rsid w:val="438C0A54"/>
    <w:rsid w:val="438D657A"/>
    <w:rsid w:val="43996CCD"/>
    <w:rsid w:val="43C4431A"/>
    <w:rsid w:val="43CC3AB9"/>
    <w:rsid w:val="43D3342B"/>
    <w:rsid w:val="43DB6FAC"/>
    <w:rsid w:val="43F824A3"/>
    <w:rsid w:val="44030963"/>
    <w:rsid w:val="44054362"/>
    <w:rsid w:val="44137DB6"/>
    <w:rsid w:val="447B53FB"/>
    <w:rsid w:val="447F044E"/>
    <w:rsid w:val="44AE49FA"/>
    <w:rsid w:val="44B951CC"/>
    <w:rsid w:val="44CD14E0"/>
    <w:rsid w:val="44D0720B"/>
    <w:rsid w:val="44D3620E"/>
    <w:rsid w:val="44E81017"/>
    <w:rsid w:val="44F20B0B"/>
    <w:rsid w:val="450273A4"/>
    <w:rsid w:val="45067D36"/>
    <w:rsid w:val="451A5E6C"/>
    <w:rsid w:val="452E5F4C"/>
    <w:rsid w:val="45576692"/>
    <w:rsid w:val="455C2145"/>
    <w:rsid w:val="45612018"/>
    <w:rsid w:val="45624E1B"/>
    <w:rsid w:val="45650CBE"/>
    <w:rsid w:val="458946E9"/>
    <w:rsid w:val="4599319D"/>
    <w:rsid w:val="459B7D61"/>
    <w:rsid w:val="45A47C0E"/>
    <w:rsid w:val="45A62245"/>
    <w:rsid w:val="45AD0DD6"/>
    <w:rsid w:val="45CB28ED"/>
    <w:rsid w:val="45D86CF5"/>
    <w:rsid w:val="45DD18A3"/>
    <w:rsid w:val="45EC0A45"/>
    <w:rsid w:val="4608329D"/>
    <w:rsid w:val="46103453"/>
    <w:rsid w:val="4618402E"/>
    <w:rsid w:val="461E5035"/>
    <w:rsid w:val="464C7EE7"/>
    <w:rsid w:val="46531AC5"/>
    <w:rsid w:val="46577FD6"/>
    <w:rsid w:val="465B470D"/>
    <w:rsid w:val="468772B0"/>
    <w:rsid w:val="468E063F"/>
    <w:rsid w:val="469B0E1D"/>
    <w:rsid w:val="46D14403"/>
    <w:rsid w:val="46D955A7"/>
    <w:rsid w:val="46E76D78"/>
    <w:rsid w:val="46EC4E76"/>
    <w:rsid w:val="46EF7152"/>
    <w:rsid w:val="46F46C96"/>
    <w:rsid w:val="47071601"/>
    <w:rsid w:val="47133957"/>
    <w:rsid w:val="47446A5B"/>
    <w:rsid w:val="476403C8"/>
    <w:rsid w:val="4775001F"/>
    <w:rsid w:val="479D5892"/>
    <w:rsid w:val="47A07E0C"/>
    <w:rsid w:val="47AB13A9"/>
    <w:rsid w:val="47CA1B4A"/>
    <w:rsid w:val="485A62D6"/>
    <w:rsid w:val="485D4093"/>
    <w:rsid w:val="48645AFB"/>
    <w:rsid w:val="48660616"/>
    <w:rsid w:val="4870272E"/>
    <w:rsid w:val="489C45E0"/>
    <w:rsid w:val="48D03190"/>
    <w:rsid w:val="48DD599C"/>
    <w:rsid w:val="48F14354"/>
    <w:rsid w:val="490C0C4B"/>
    <w:rsid w:val="49201BA4"/>
    <w:rsid w:val="492359B6"/>
    <w:rsid w:val="493252B8"/>
    <w:rsid w:val="49374FBE"/>
    <w:rsid w:val="4981448B"/>
    <w:rsid w:val="49834D48"/>
    <w:rsid w:val="49AD303E"/>
    <w:rsid w:val="49CB6220"/>
    <w:rsid w:val="49DC7715"/>
    <w:rsid w:val="49E669E4"/>
    <w:rsid w:val="49E87E3B"/>
    <w:rsid w:val="4A023139"/>
    <w:rsid w:val="4A070EF8"/>
    <w:rsid w:val="4A0B4E84"/>
    <w:rsid w:val="4A1E75ED"/>
    <w:rsid w:val="4A1F735E"/>
    <w:rsid w:val="4A294816"/>
    <w:rsid w:val="4A6E0EB3"/>
    <w:rsid w:val="4A7B576F"/>
    <w:rsid w:val="4A9B778B"/>
    <w:rsid w:val="4A9D597E"/>
    <w:rsid w:val="4AB31FD0"/>
    <w:rsid w:val="4ABF1541"/>
    <w:rsid w:val="4AD41FD3"/>
    <w:rsid w:val="4AEC627C"/>
    <w:rsid w:val="4AF561A9"/>
    <w:rsid w:val="4B06701F"/>
    <w:rsid w:val="4B1D6435"/>
    <w:rsid w:val="4B332E92"/>
    <w:rsid w:val="4B3D2CBF"/>
    <w:rsid w:val="4B573983"/>
    <w:rsid w:val="4B785BF4"/>
    <w:rsid w:val="4B7B0721"/>
    <w:rsid w:val="4BA356B9"/>
    <w:rsid w:val="4BC80BED"/>
    <w:rsid w:val="4BD51147"/>
    <w:rsid w:val="4BE84DAE"/>
    <w:rsid w:val="4C107BAA"/>
    <w:rsid w:val="4C204FF8"/>
    <w:rsid w:val="4C264683"/>
    <w:rsid w:val="4C2C4B82"/>
    <w:rsid w:val="4C36776F"/>
    <w:rsid w:val="4C4A0649"/>
    <w:rsid w:val="4C65665F"/>
    <w:rsid w:val="4C7E5ECA"/>
    <w:rsid w:val="4C871DB8"/>
    <w:rsid w:val="4C876AA5"/>
    <w:rsid w:val="4C8A2A00"/>
    <w:rsid w:val="4CAE7873"/>
    <w:rsid w:val="4CE15C9E"/>
    <w:rsid w:val="4D0A29E9"/>
    <w:rsid w:val="4D0C050F"/>
    <w:rsid w:val="4D0E00FB"/>
    <w:rsid w:val="4D176606"/>
    <w:rsid w:val="4D5325E2"/>
    <w:rsid w:val="4D695962"/>
    <w:rsid w:val="4D6B3488"/>
    <w:rsid w:val="4D76301F"/>
    <w:rsid w:val="4D8266A2"/>
    <w:rsid w:val="4DA50A9F"/>
    <w:rsid w:val="4DD059E1"/>
    <w:rsid w:val="4DEC4FB0"/>
    <w:rsid w:val="4E075D8A"/>
    <w:rsid w:val="4E182623"/>
    <w:rsid w:val="4E5125C6"/>
    <w:rsid w:val="4E52660F"/>
    <w:rsid w:val="4E960E86"/>
    <w:rsid w:val="4EA10818"/>
    <w:rsid w:val="4EA926AA"/>
    <w:rsid w:val="4EB061A3"/>
    <w:rsid w:val="4EC00FAD"/>
    <w:rsid w:val="4EC46080"/>
    <w:rsid w:val="4EC67582"/>
    <w:rsid w:val="4EF80730"/>
    <w:rsid w:val="4F00266A"/>
    <w:rsid w:val="4F1B1144"/>
    <w:rsid w:val="4F302BDB"/>
    <w:rsid w:val="4F333DAB"/>
    <w:rsid w:val="4F5222A5"/>
    <w:rsid w:val="4F533F6B"/>
    <w:rsid w:val="4F631636"/>
    <w:rsid w:val="4F6F41FE"/>
    <w:rsid w:val="4F9843DC"/>
    <w:rsid w:val="4FBC2357"/>
    <w:rsid w:val="4FC62A8C"/>
    <w:rsid w:val="4FDC0F3A"/>
    <w:rsid w:val="4FE20F0D"/>
    <w:rsid w:val="4FE51552"/>
    <w:rsid w:val="4FEF2338"/>
    <w:rsid w:val="4FF86ABE"/>
    <w:rsid w:val="50025BF9"/>
    <w:rsid w:val="50091B0D"/>
    <w:rsid w:val="501B286B"/>
    <w:rsid w:val="501F6EF7"/>
    <w:rsid w:val="50504C4B"/>
    <w:rsid w:val="506B7C43"/>
    <w:rsid w:val="507010A6"/>
    <w:rsid w:val="50760AC1"/>
    <w:rsid w:val="509C6E7C"/>
    <w:rsid w:val="50A849F3"/>
    <w:rsid w:val="50B15D5B"/>
    <w:rsid w:val="50B31110"/>
    <w:rsid w:val="50C51101"/>
    <w:rsid w:val="50E57381"/>
    <w:rsid w:val="50EE61C9"/>
    <w:rsid w:val="50F22C0D"/>
    <w:rsid w:val="51395A82"/>
    <w:rsid w:val="5162104E"/>
    <w:rsid w:val="51637F3D"/>
    <w:rsid w:val="516B4063"/>
    <w:rsid w:val="51740416"/>
    <w:rsid w:val="51A954C8"/>
    <w:rsid w:val="51D27BF4"/>
    <w:rsid w:val="520E4D2A"/>
    <w:rsid w:val="521078F8"/>
    <w:rsid w:val="52734FE2"/>
    <w:rsid w:val="52744973"/>
    <w:rsid w:val="527A1CB8"/>
    <w:rsid w:val="528A2FC6"/>
    <w:rsid w:val="52DE3051"/>
    <w:rsid w:val="52E16484"/>
    <w:rsid w:val="52F85E85"/>
    <w:rsid w:val="530409FA"/>
    <w:rsid w:val="534970BE"/>
    <w:rsid w:val="534D6DD8"/>
    <w:rsid w:val="5352606E"/>
    <w:rsid w:val="536B24D6"/>
    <w:rsid w:val="53701EA3"/>
    <w:rsid w:val="53784650"/>
    <w:rsid w:val="53A039CC"/>
    <w:rsid w:val="53A1505A"/>
    <w:rsid w:val="53B83C8D"/>
    <w:rsid w:val="53BC0850"/>
    <w:rsid w:val="53D7499B"/>
    <w:rsid w:val="53F313D2"/>
    <w:rsid w:val="53FD1C59"/>
    <w:rsid w:val="54063E08"/>
    <w:rsid w:val="541C0160"/>
    <w:rsid w:val="541C0C10"/>
    <w:rsid w:val="543437E8"/>
    <w:rsid w:val="54567729"/>
    <w:rsid w:val="54642C54"/>
    <w:rsid w:val="548E5CAE"/>
    <w:rsid w:val="549C1BAD"/>
    <w:rsid w:val="54F00716"/>
    <w:rsid w:val="54F73313"/>
    <w:rsid w:val="54F80955"/>
    <w:rsid w:val="54FD00BA"/>
    <w:rsid w:val="55124298"/>
    <w:rsid w:val="552C2078"/>
    <w:rsid w:val="5542666E"/>
    <w:rsid w:val="55480662"/>
    <w:rsid w:val="554C0064"/>
    <w:rsid w:val="55507890"/>
    <w:rsid w:val="555170A7"/>
    <w:rsid w:val="55575F6E"/>
    <w:rsid w:val="558037C7"/>
    <w:rsid w:val="5587536D"/>
    <w:rsid w:val="559B174B"/>
    <w:rsid w:val="559D75D1"/>
    <w:rsid w:val="55CE0CF4"/>
    <w:rsid w:val="55E46629"/>
    <w:rsid w:val="55E74940"/>
    <w:rsid w:val="55FB06F6"/>
    <w:rsid w:val="562F6EA3"/>
    <w:rsid w:val="566F51B3"/>
    <w:rsid w:val="567333AD"/>
    <w:rsid w:val="56B22A9C"/>
    <w:rsid w:val="56BD6AC2"/>
    <w:rsid w:val="56F00EA2"/>
    <w:rsid w:val="572F5526"/>
    <w:rsid w:val="57346965"/>
    <w:rsid w:val="574D5590"/>
    <w:rsid w:val="578D0DA3"/>
    <w:rsid w:val="57971EC0"/>
    <w:rsid w:val="57A53A3A"/>
    <w:rsid w:val="57B72A76"/>
    <w:rsid w:val="57C3426C"/>
    <w:rsid w:val="57CE1F93"/>
    <w:rsid w:val="57EA3B43"/>
    <w:rsid w:val="57ED32DF"/>
    <w:rsid w:val="58164137"/>
    <w:rsid w:val="5822260D"/>
    <w:rsid w:val="58845EAE"/>
    <w:rsid w:val="588743D1"/>
    <w:rsid w:val="5887701A"/>
    <w:rsid w:val="589812B0"/>
    <w:rsid w:val="58AE4B70"/>
    <w:rsid w:val="58D60B24"/>
    <w:rsid w:val="58E40592"/>
    <w:rsid w:val="58F456E1"/>
    <w:rsid w:val="590F5357"/>
    <w:rsid w:val="59326988"/>
    <w:rsid w:val="595474C6"/>
    <w:rsid w:val="59595544"/>
    <w:rsid w:val="59673956"/>
    <w:rsid w:val="59701E26"/>
    <w:rsid w:val="5986626F"/>
    <w:rsid w:val="59A02A53"/>
    <w:rsid w:val="59AD06B0"/>
    <w:rsid w:val="59C0439F"/>
    <w:rsid w:val="59E81982"/>
    <w:rsid w:val="5A0E1D6B"/>
    <w:rsid w:val="5A264AA0"/>
    <w:rsid w:val="5A3C0541"/>
    <w:rsid w:val="5A697C1F"/>
    <w:rsid w:val="5A7141CA"/>
    <w:rsid w:val="5A9228CB"/>
    <w:rsid w:val="5A9B2ED2"/>
    <w:rsid w:val="5AA64E06"/>
    <w:rsid w:val="5AA77A9B"/>
    <w:rsid w:val="5ABE2233"/>
    <w:rsid w:val="5ACA76A6"/>
    <w:rsid w:val="5AF1430E"/>
    <w:rsid w:val="5B1D6672"/>
    <w:rsid w:val="5B2707A6"/>
    <w:rsid w:val="5B417F1E"/>
    <w:rsid w:val="5B5747A5"/>
    <w:rsid w:val="5B584826"/>
    <w:rsid w:val="5B795214"/>
    <w:rsid w:val="5B7C4AB2"/>
    <w:rsid w:val="5B8B3E48"/>
    <w:rsid w:val="5BBA55DA"/>
    <w:rsid w:val="5BDF5D95"/>
    <w:rsid w:val="5BEF7465"/>
    <w:rsid w:val="5BF5778D"/>
    <w:rsid w:val="5BFE7528"/>
    <w:rsid w:val="5C000991"/>
    <w:rsid w:val="5C154C03"/>
    <w:rsid w:val="5C313887"/>
    <w:rsid w:val="5C4055D0"/>
    <w:rsid w:val="5C441F0E"/>
    <w:rsid w:val="5C4C1160"/>
    <w:rsid w:val="5C4C26D6"/>
    <w:rsid w:val="5C5A58A5"/>
    <w:rsid w:val="5C737B59"/>
    <w:rsid w:val="5CDC53CB"/>
    <w:rsid w:val="5CEB5FE8"/>
    <w:rsid w:val="5CFF52F9"/>
    <w:rsid w:val="5D1046C1"/>
    <w:rsid w:val="5D3B0EE0"/>
    <w:rsid w:val="5D560C59"/>
    <w:rsid w:val="5D743E4C"/>
    <w:rsid w:val="5D815B15"/>
    <w:rsid w:val="5D9A2B42"/>
    <w:rsid w:val="5DA50F04"/>
    <w:rsid w:val="5DB1561E"/>
    <w:rsid w:val="5DCA4AA2"/>
    <w:rsid w:val="5DD96BEC"/>
    <w:rsid w:val="5DFA2BF5"/>
    <w:rsid w:val="5E2467F1"/>
    <w:rsid w:val="5E2814C4"/>
    <w:rsid w:val="5ED97D8E"/>
    <w:rsid w:val="5EF44986"/>
    <w:rsid w:val="5EFA3441"/>
    <w:rsid w:val="5F083B72"/>
    <w:rsid w:val="5F1A2B43"/>
    <w:rsid w:val="5F1D47FE"/>
    <w:rsid w:val="5F310BD2"/>
    <w:rsid w:val="5F3A0F65"/>
    <w:rsid w:val="5F49114F"/>
    <w:rsid w:val="5F501642"/>
    <w:rsid w:val="5F757C83"/>
    <w:rsid w:val="5F794BE4"/>
    <w:rsid w:val="5FA34D03"/>
    <w:rsid w:val="5FAB6FE9"/>
    <w:rsid w:val="5FB14123"/>
    <w:rsid w:val="5FB76152"/>
    <w:rsid w:val="5FB837BB"/>
    <w:rsid w:val="5FD8371D"/>
    <w:rsid w:val="5FEB66AA"/>
    <w:rsid w:val="605E0C2A"/>
    <w:rsid w:val="606A538C"/>
    <w:rsid w:val="6085265B"/>
    <w:rsid w:val="608B244D"/>
    <w:rsid w:val="60956B25"/>
    <w:rsid w:val="60956CE6"/>
    <w:rsid w:val="609A4DC7"/>
    <w:rsid w:val="60B101F4"/>
    <w:rsid w:val="60C8247A"/>
    <w:rsid w:val="60CC405A"/>
    <w:rsid w:val="60D9362D"/>
    <w:rsid w:val="60EF5D26"/>
    <w:rsid w:val="610A7A85"/>
    <w:rsid w:val="614A0A3D"/>
    <w:rsid w:val="615F7177"/>
    <w:rsid w:val="61736957"/>
    <w:rsid w:val="617C1D92"/>
    <w:rsid w:val="617F3701"/>
    <w:rsid w:val="618E6DC6"/>
    <w:rsid w:val="619636F8"/>
    <w:rsid w:val="619D5AA7"/>
    <w:rsid w:val="61B52793"/>
    <w:rsid w:val="61D57EF4"/>
    <w:rsid w:val="61E215D8"/>
    <w:rsid w:val="621B3775"/>
    <w:rsid w:val="62364782"/>
    <w:rsid w:val="62525D5E"/>
    <w:rsid w:val="625633B7"/>
    <w:rsid w:val="628030DA"/>
    <w:rsid w:val="6296129F"/>
    <w:rsid w:val="62A20275"/>
    <w:rsid w:val="62B674A5"/>
    <w:rsid w:val="62C749BA"/>
    <w:rsid w:val="62D208CB"/>
    <w:rsid w:val="62D302F0"/>
    <w:rsid w:val="62EC4D3B"/>
    <w:rsid w:val="62FD4B2F"/>
    <w:rsid w:val="631A4197"/>
    <w:rsid w:val="633B2650"/>
    <w:rsid w:val="63443A46"/>
    <w:rsid w:val="637720C7"/>
    <w:rsid w:val="6394356A"/>
    <w:rsid w:val="63C61B2C"/>
    <w:rsid w:val="63C61E02"/>
    <w:rsid w:val="63C958D9"/>
    <w:rsid w:val="63D40BE9"/>
    <w:rsid w:val="63F518A5"/>
    <w:rsid w:val="64102431"/>
    <w:rsid w:val="641937E6"/>
    <w:rsid w:val="6446096C"/>
    <w:rsid w:val="6461263B"/>
    <w:rsid w:val="64632093"/>
    <w:rsid w:val="648A21A2"/>
    <w:rsid w:val="64A5243A"/>
    <w:rsid w:val="64AF414A"/>
    <w:rsid w:val="64CA58B7"/>
    <w:rsid w:val="64D92F75"/>
    <w:rsid w:val="64E1659F"/>
    <w:rsid w:val="64F41FF4"/>
    <w:rsid w:val="64F531DE"/>
    <w:rsid w:val="65112854"/>
    <w:rsid w:val="65117976"/>
    <w:rsid w:val="651D0959"/>
    <w:rsid w:val="65273CE0"/>
    <w:rsid w:val="652D4FD7"/>
    <w:rsid w:val="65362BFD"/>
    <w:rsid w:val="65373578"/>
    <w:rsid w:val="656D30DA"/>
    <w:rsid w:val="657C4216"/>
    <w:rsid w:val="65B761F3"/>
    <w:rsid w:val="65B93AAE"/>
    <w:rsid w:val="65BB62B9"/>
    <w:rsid w:val="65F16E73"/>
    <w:rsid w:val="65FA5AB7"/>
    <w:rsid w:val="6630274D"/>
    <w:rsid w:val="66552ACF"/>
    <w:rsid w:val="666B7B3D"/>
    <w:rsid w:val="667747F4"/>
    <w:rsid w:val="667F447F"/>
    <w:rsid w:val="668F7AF7"/>
    <w:rsid w:val="66AF0839"/>
    <w:rsid w:val="66AF21DF"/>
    <w:rsid w:val="66C057EF"/>
    <w:rsid w:val="66CE7105"/>
    <w:rsid w:val="66EA1469"/>
    <w:rsid w:val="671F124A"/>
    <w:rsid w:val="6753700F"/>
    <w:rsid w:val="675472E2"/>
    <w:rsid w:val="677A33C6"/>
    <w:rsid w:val="67B9759D"/>
    <w:rsid w:val="67CE0AC3"/>
    <w:rsid w:val="67CE758B"/>
    <w:rsid w:val="67FA0C9E"/>
    <w:rsid w:val="6812769E"/>
    <w:rsid w:val="681F6961"/>
    <w:rsid w:val="68295FC1"/>
    <w:rsid w:val="685E1329"/>
    <w:rsid w:val="68610A2F"/>
    <w:rsid w:val="68805514"/>
    <w:rsid w:val="689D1E46"/>
    <w:rsid w:val="68C707AB"/>
    <w:rsid w:val="68CF2DE0"/>
    <w:rsid w:val="68EA61B8"/>
    <w:rsid w:val="68FF09E6"/>
    <w:rsid w:val="6906737B"/>
    <w:rsid w:val="69316E2F"/>
    <w:rsid w:val="694248FA"/>
    <w:rsid w:val="694E2071"/>
    <w:rsid w:val="69735C2E"/>
    <w:rsid w:val="69766163"/>
    <w:rsid w:val="697A3B33"/>
    <w:rsid w:val="69904C58"/>
    <w:rsid w:val="69CA7F5F"/>
    <w:rsid w:val="69D44760"/>
    <w:rsid w:val="69D64B88"/>
    <w:rsid w:val="69E26DB9"/>
    <w:rsid w:val="69FA20F2"/>
    <w:rsid w:val="6A181C37"/>
    <w:rsid w:val="6A253342"/>
    <w:rsid w:val="6A3732D3"/>
    <w:rsid w:val="6A520EC7"/>
    <w:rsid w:val="6A6F7532"/>
    <w:rsid w:val="6A74522B"/>
    <w:rsid w:val="6A794FDE"/>
    <w:rsid w:val="6A927975"/>
    <w:rsid w:val="6AAD5E11"/>
    <w:rsid w:val="6ACD0C4D"/>
    <w:rsid w:val="6AD77F57"/>
    <w:rsid w:val="6AF243F8"/>
    <w:rsid w:val="6AF87E20"/>
    <w:rsid w:val="6B2D524C"/>
    <w:rsid w:val="6B322639"/>
    <w:rsid w:val="6B333347"/>
    <w:rsid w:val="6B8A2A29"/>
    <w:rsid w:val="6BA31995"/>
    <w:rsid w:val="6BA71A39"/>
    <w:rsid w:val="6BA77929"/>
    <w:rsid w:val="6BB17334"/>
    <w:rsid w:val="6BCF1867"/>
    <w:rsid w:val="6BD2533F"/>
    <w:rsid w:val="6C003B59"/>
    <w:rsid w:val="6C186FE8"/>
    <w:rsid w:val="6C1D1CF9"/>
    <w:rsid w:val="6C2F11B1"/>
    <w:rsid w:val="6C316436"/>
    <w:rsid w:val="6C636C38"/>
    <w:rsid w:val="6C8925AC"/>
    <w:rsid w:val="6C947EE6"/>
    <w:rsid w:val="6CBD2466"/>
    <w:rsid w:val="6CCB703B"/>
    <w:rsid w:val="6CCF6EE3"/>
    <w:rsid w:val="6CD10E65"/>
    <w:rsid w:val="6D3F284B"/>
    <w:rsid w:val="6D433682"/>
    <w:rsid w:val="6D567859"/>
    <w:rsid w:val="6D5B34FD"/>
    <w:rsid w:val="6D657CE5"/>
    <w:rsid w:val="6D736675"/>
    <w:rsid w:val="6D9808D8"/>
    <w:rsid w:val="6D987618"/>
    <w:rsid w:val="6DB34098"/>
    <w:rsid w:val="6DB545B6"/>
    <w:rsid w:val="6DCD54DD"/>
    <w:rsid w:val="6DD74165"/>
    <w:rsid w:val="6DE02FB4"/>
    <w:rsid w:val="6DEC30D6"/>
    <w:rsid w:val="6DFF0418"/>
    <w:rsid w:val="6E0E3C8F"/>
    <w:rsid w:val="6E113780"/>
    <w:rsid w:val="6E1C50A1"/>
    <w:rsid w:val="6E237087"/>
    <w:rsid w:val="6E2C680B"/>
    <w:rsid w:val="6E483D0A"/>
    <w:rsid w:val="6E4E5E15"/>
    <w:rsid w:val="6E514CED"/>
    <w:rsid w:val="6E5441DA"/>
    <w:rsid w:val="6E564B2E"/>
    <w:rsid w:val="6E593866"/>
    <w:rsid w:val="6E602975"/>
    <w:rsid w:val="6E7E68F1"/>
    <w:rsid w:val="6E8E605B"/>
    <w:rsid w:val="6E985ABC"/>
    <w:rsid w:val="6EB563D5"/>
    <w:rsid w:val="6EC65751"/>
    <w:rsid w:val="6ECD351D"/>
    <w:rsid w:val="6ED92677"/>
    <w:rsid w:val="6EE60768"/>
    <w:rsid w:val="6EF410D7"/>
    <w:rsid w:val="6EFB54AB"/>
    <w:rsid w:val="6F225983"/>
    <w:rsid w:val="6F340792"/>
    <w:rsid w:val="6F695C4E"/>
    <w:rsid w:val="6F795A80"/>
    <w:rsid w:val="6F843BE1"/>
    <w:rsid w:val="6F9E54E7"/>
    <w:rsid w:val="6FC53B50"/>
    <w:rsid w:val="6FDA1D33"/>
    <w:rsid w:val="6FED56A6"/>
    <w:rsid w:val="6FF3138F"/>
    <w:rsid w:val="6FFC5590"/>
    <w:rsid w:val="700428F6"/>
    <w:rsid w:val="70084E3D"/>
    <w:rsid w:val="702A3F11"/>
    <w:rsid w:val="704A2F79"/>
    <w:rsid w:val="706C7393"/>
    <w:rsid w:val="706D1DD0"/>
    <w:rsid w:val="70785455"/>
    <w:rsid w:val="70856B87"/>
    <w:rsid w:val="70934920"/>
    <w:rsid w:val="70953307"/>
    <w:rsid w:val="70A55A1D"/>
    <w:rsid w:val="70A71E9F"/>
    <w:rsid w:val="70D527EE"/>
    <w:rsid w:val="70D66E19"/>
    <w:rsid w:val="70D84CBC"/>
    <w:rsid w:val="70DA59FA"/>
    <w:rsid w:val="70DD0720"/>
    <w:rsid w:val="70E60FFB"/>
    <w:rsid w:val="70F55435"/>
    <w:rsid w:val="710B6BAC"/>
    <w:rsid w:val="713F5836"/>
    <w:rsid w:val="7140511E"/>
    <w:rsid w:val="71463740"/>
    <w:rsid w:val="715B5300"/>
    <w:rsid w:val="71B56F54"/>
    <w:rsid w:val="71BC1B95"/>
    <w:rsid w:val="71D27F8A"/>
    <w:rsid w:val="71D347C7"/>
    <w:rsid w:val="71DA753F"/>
    <w:rsid w:val="71E9203D"/>
    <w:rsid w:val="72095696"/>
    <w:rsid w:val="7214381B"/>
    <w:rsid w:val="72201F46"/>
    <w:rsid w:val="72245C39"/>
    <w:rsid w:val="72516E93"/>
    <w:rsid w:val="72553024"/>
    <w:rsid w:val="725C14CF"/>
    <w:rsid w:val="726F3056"/>
    <w:rsid w:val="727E3094"/>
    <w:rsid w:val="729F366A"/>
    <w:rsid w:val="72BF5B97"/>
    <w:rsid w:val="72C042C1"/>
    <w:rsid w:val="72C63ED1"/>
    <w:rsid w:val="72EB27F1"/>
    <w:rsid w:val="7301707E"/>
    <w:rsid w:val="730811F8"/>
    <w:rsid w:val="73122968"/>
    <w:rsid w:val="731F5D5E"/>
    <w:rsid w:val="73247DD7"/>
    <w:rsid w:val="73296CE9"/>
    <w:rsid w:val="736545B0"/>
    <w:rsid w:val="73A30347"/>
    <w:rsid w:val="73A66718"/>
    <w:rsid w:val="73AE334D"/>
    <w:rsid w:val="73C51AD5"/>
    <w:rsid w:val="73E159A2"/>
    <w:rsid w:val="73E67317"/>
    <w:rsid w:val="741E793C"/>
    <w:rsid w:val="745E3944"/>
    <w:rsid w:val="74640AAD"/>
    <w:rsid w:val="74645A53"/>
    <w:rsid w:val="746D009F"/>
    <w:rsid w:val="74730CF0"/>
    <w:rsid w:val="74B13462"/>
    <w:rsid w:val="74C652C4"/>
    <w:rsid w:val="750750CA"/>
    <w:rsid w:val="752E2494"/>
    <w:rsid w:val="7532059C"/>
    <w:rsid w:val="75346C7E"/>
    <w:rsid w:val="754A7A06"/>
    <w:rsid w:val="75581632"/>
    <w:rsid w:val="758B08F6"/>
    <w:rsid w:val="758E6AAA"/>
    <w:rsid w:val="75AD0941"/>
    <w:rsid w:val="75DC6577"/>
    <w:rsid w:val="75F25040"/>
    <w:rsid w:val="7607458E"/>
    <w:rsid w:val="7613461F"/>
    <w:rsid w:val="76197675"/>
    <w:rsid w:val="763046B6"/>
    <w:rsid w:val="7635099D"/>
    <w:rsid w:val="76357D05"/>
    <w:rsid w:val="765032DA"/>
    <w:rsid w:val="765C29C8"/>
    <w:rsid w:val="768923A3"/>
    <w:rsid w:val="76A33DD6"/>
    <w:rsid w:val="76BB20E0"/>
    <w:rsid w:val="76EC2FDC"/>
    <w:rsid w:val="76FB397B"/>
    <w:rsid w:val="76FD0196"/>
    <w:rsid w:val="770F5009"/>
    <w:rsid w:val="77286F9E"/>
    <w:rsid w:val="773D2795"/>
    <w:rsid w:val="77762421"/>
    <w:rsid w:val="777724A6"/>
    <w:rsid w:val="777A3B92"/>
    <w:rsid w:val="779A66A4"/>
    <w:rsid w:val="77B56B1F"/>
    <w:rsid w:val="77C41863"/>
    <w:rsid w:val="77D575CC"/>
    <w:rsid w:val="77F75794"/>
    <w:rsid w:val="7801571A"/>
    <w:rsid w:val="780F09F4"/>
    <w:rsid w:val="78322A43"/>
    <w:rsid w:val="78482DE0"/>
    <w:rsid w:val="786A1CC1"/>
    <w:rsid w:val="78874ACD"/>
    <w:rsid w:val="78886D34"/>
    <w:rsid w:val="78981D74"/>
    <w:rsid w:val="78A90480"/>
    <w:rsid w:val="78B0764E"/>
    <w:rsid w:val="78C33CA5"/>
    <w:rsid w:val="78C83B85"/>
    <w:rsid w:val="78E02050"/>
    <w:rsid w:val="7902094D"/>
    <w:rsid w:val="79132AA2"/>
    <w:rsid w:val="791379B5"/>
    <w:rsid w:val="791903F4"/>
    <w:rsid w:val="792F72FA"/>
    <w:rsid w:val="79597258"/>
    <w:rsid w:val="796D396E"/>
    <w:rsid w:val="796D3E79"/>
    <w:rsid w:val="79825532"/>
    <w:rsid w:val="79907D37"/>
    <w:rsid w:val="79B06543"/>
    <w:rsid w:val="79B27C19"/>
    <w:rsid w:val="79B750A1"/>
    <w:rsid w:val="79BD206B"/>
    <w:rsid w:val="79FC6D30"/>
    <w:rsid w:val="7A01351B"/>
    <w:rsid w:val="7A064A76"/>
    <w:rsid w:val="7A1852D7"/>
    <w:rsid w:val="7A296719"/>
    <w:rsid w:val="7A3309FE"/>
    <w:rsid w:val="7A364017"/>
    <w:rsid w:val="7A3808A1"/>
    <w:rsid w:val="7A396F31"/>
    <w:rsid w:val="7A3C1924"/>
    <w:rsid w:val="7A4336AC"/>
    <w:rsid w:val="7A53525D"/>
    <w:rsid w:val="7A8265E1"/>
    <w:rsid w:val="7A8F7F06"/>
    <w:rsid w:val="7A931F2A"/>
    <w:rsid w:val="7AB23BF5"/>
    <w:rsid w:val="7AC750BF"/>
    <w:rsid w:val="7AD30DDA"/>
    <w:rsid w:val="7AD6733E"/>
    <w:rsid w:val="7AE95376"/>
    <w:rsid w:val="7AFE4117"/>
    <w:rsid w:val="7B312579"/>
    <w:rsid w:val="7B3F2E21"/>
    <w:rsid w:val="7B606CBD"/>
    <w:rsid w:val="7B631CA2"/>
    <w:rsid w:val="7B686D42"/>
    <w:rsid w:val="7B78070C"/>
    <w:rsid w:val="7B7F78E1"/>
    <w:rsid w:val="7B841746"/>
    <w:rsid w:val="7B8E6A1D"/>
    <w:rsid w:val="7B98103C"/>
    <w:rsid w:val="7BA84B9C"/>
    <w:rsid w:val="7BBE620D"/>
    <w:rsid w:val="7BC7487F"/>
    <w:rsid w:val="7BD37C3F"/>
    <w:rsid w:val="7BDF310F"/>
    <w:rsid w:val="7BEE1F1B"/>
    <w:rsid w:val="7BF47F49"/>
    <w:rsid w:val="7BFD1301"/>
    <w:rsid w:val="7C273833"/>
    <w:rsid w:val="7C571057"/>
    <w:rsid w:val="7C6C5AC7"/>
    <w:rsid w:val="7C787CFF"/>
    <w:rsid w:val="7C8638A2"/>
    <w:rsid w:val="7C95337D"/>
    <w:rsid w:val="7C9932BE"/>
    <w:rsid w:val="7CAE0C5A"/>
    <w:rsid w:val="7CC6544B"/>
    <w:rsid w:val="7CCA5A70"/>
    <w:rsid w:val="7CCB4B76"/>
    <w:rsid w:val="7CD44E81"/>
    <w:rsid w:val="7CE036C3"/>
    <w:rsid w:val="7CE243B7"/>
    <w:rsid w:val="7CEC321C"/>
    <w:rsid w:val="7D0239FF"/>
    <w:rsid w:val="7D2557E1"/>
    <w:rsid w:val="7D4E7B0F"/>
    <w:rsid w:val="7D5E40CD"/>
    <w:rsid w:val="7D661A9D"/>
    <w:rsid w:val="7DA43CC8"/>
    <w:rsid w:val="7DAC3954"/>
    <w:rsid w:val="7DCD56F2"/>
    <w:rsid w:val="7DD445AA"/>
    <w:rsid w:val="7DE02C0C"/>
    <w:rsid w:val="7DE22CB9"/>
    <w:rsid w:val="7DEC7F1D"/>
    <w:rsid w:val="7E127D82"/>
    <w:rsid w:val="7E1D3A7B"/>
    <w:rsid w:val="7E2A14D1"/>
    <w:rsid w:val="7E4A5E6E"/>
    <w:rsid w:val="7E83247E"/>
    <w:rsid w:val="7E9139C4"/>
    <w:rsid w:val="7E9D1C69"/>
    <w:rsid w:val="7EA11310"/>
    <w:rsid w:val="7EA366EB"/>
    <w:rsid w:val="7EB52CDC"/>
    <w:rsid w:val="7EB57125"/>
    <w:rsid w:val="7EDA0885"/>
    <w:rsid w:val="7F001CE7"/>
    <w:rsid w:val="7F067690"/>
    <w:rsid w:val="7F391E69"/>
    <w:rsid w:val="7F4038D2"/>
    <w:rsid w:val="7F46044E"/>
    <w:rsid w:val="7F4968F3"/>
    <w:rsid w:val="7F5160D2"/>
    <w:rsid w:val="7F5747EE"/>
    <w:rsid w:val="7F6C31F6"/>
    <w:rsid w:val="7F6D7297"/>
    <w:rsid w:val="7F997899"/>
    <w:rsid w:val="7FBB4C46"/>
    <w:rsid w:val="7FCE1EBA"/>
    <w:rsid w:val="7FE46A6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33"/>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34"/>
    <w:qFormat/>
    <w:locked/>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35"/>
    <w:qFormat/>
    <w:locked/>
    <w:uiPriority w:val="0"/>
    <w:pPr>
      <w:keepNext/>
      <w:keepLines/>
      <w:spacing w:before="260" w:after="260" w:line="416" w:lineRule="auto"/>
      <w:outlineLvl w:val="2"/>
    </w:pPr>
    <w:rPr>
      <w:b/>
      <w:bCs/>
      <w:sz w:val="32"/>
      <w:szCs w:val="32"/>
    </w:rPr>
  </w:style>
  <w:style w:type="paragraph" w:styleId="8">
    <w:name w:val="heading 4"/>
    <w:basedOn w:val="6"/>
    <w:next w:val="1"/>
    <w:link w:val="36"/>
    <w:qFormat/>
    <w:locked/>
    <w:uiPriority w:val="0"/>
    <w:pPr>
      <w:keepNext/>
      <w:keepLines/>
      <w:spacing w:before="280" w:after="290" w:line="376" w:lineRule="auto"/>
      <w:outlineLvl w:val="3"/>
    </w:pPr>
    <w:rPr>
      <w:rFonts w:ascii="Arial" w:hAnsi="Arial" w:eastAsia="黑体"/>
      <w:sz w:val="28"/>
      <w:szCs w:val="28"/>
    </w:rPr>
  </w:style>
  <w:style w:type="paragraph" w:styleId="9">
    <w:name w:val="heading 5"/>
    <w:basedOn w:val="1"/>
    <w:next w:val="1"/>
    <w:link w:val="37"/>
    <w:qFormat/>
    <w:locked/>
    <w:uiPriority w:val="0"/>
    <w:pPr>
      <w:keepNext/>
      <w:keepLines/>
      <w:spacing w:before="280" w:after="290" w:line="376" w:lineRule="atLeast"/>
      <w:outlineLvl w:val="4"/>
    </w:pPr>
    <w:rPr>
      <w:b/>
      <w:bCs/>
      <w:kern w:val="0"/>
      <w:sz w:val="28"/>
      <w:szCs w:val="28"/>
    </w:rPr>
  </w:style>
  <w:style w:type="paragraph" w:styleId="10">
    <w:name w:val="heading 6"/>
    <w:basedOn w:val="1"/>
    <w:next w:val="1"/>
    <w:link w:val="38"/>
    <w:qFormat/>
    <w:locked/>
    <w:uiPriority w:val="0"/>
    <w:pPr>
      <w:keepNext/>
      <w:keepLines/>
      <w:spacing w:before="240" w:after="64" w:line="320" w:lineRule="atLeast"/>
      <w:outlineLvl w:val="5"/>
    </w:pPr>
    <w:rPr>
      <w:rFonts w:ascii="Cambria" w:hAnsi="Cambria"/>
      <w:b/>
      <w:bCs/>
      <w:kern w:val="0"/>
    </w:rPr>
  </w:style>
  <w:style w:type="paragraph" w:styleId="11">
    <w:name w:val="heading 7"/>
    <w:basedOn w:val="1"/>
    <w:next w:val="1"/>
    <w:link w:val="39"/>
    <w:qFormat/>
    <w:locked/>
    <w:uiPriority w:val="0"/>
    <w:pPr>
      <w:keepNext/>
      <w:keepLines/>
      <w:adjustRightInd w:val="0"/>
      <w:spacing w:before="240" w:after="64" w:line="320" w:lineRule="atLeast"/>
      <w:textAlignment w:val="baseline"/>
      <w:outlineLvl w:val="6"/>
    </w:pPr>
    <w:rPr>
      <w:b/>
      <w:kern w:val="0"/>
      <w:szCs w:val="20"/>
    </w:rPr>
  </w:style>
  <w:style w:type="paragraph" w:styleId="12">
    <w:name w:val="heading 8"/>
    <w:basedOn w:val="1"/>
    <w:next w:val="1"/>
    <w:link w:val="40"/>
    <w:qFormat/>
    <w:locked/>
    <w:uiPriority w:val="0"/>
    <w:pPr>
      <w:keepNext/>
      <w:keepLines/>
      <w:adjustRightInd w:val="0"/>
      <w:spacing w:before="240" w:after="64" w:line="320" w:lineRule="atLeast"/>
      <w:textAlignment w:val="baseline"/>
      <w:outlineLvl w:val="7"/>
    </w:pPr>
    <w:rPr>
      <w:rFonts w:ascii="Arial" w:hAnsi="Arial" w:eastAsia="黑体"/>
      <w:kern w:val="0"/>
      <w:szCs w:val="20"/>
    </w:rPr>
  </w:style>
  <w:style w:type="paragraph" w:styleId="13">
    <w:name w:val="heading 9"/>
    <w:basedOn w:val="1"/>
    <w:next w:val="1"/>
    <w:link w:val="41"/>
    <w:qFormat/>
    <w:locked/>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pPr>
      <w:adjustRightInd w:val="0"/>
    </w:pPr>
    <w:rPr>
      <w:rFonts w:ascii="宋体" w:hAnsi="Courier New"/>
      <w:szCs w:val="20"/>
    </w:rPr>
  </w:style>
  <w:style w:type="paragraph" w:styleId="4">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14">
    <w:name w:val="Normal Indent"/>
    <w:basedOn w:val="1"/>
    <w:next w:val="1"/>
    <w:link w:val="51"/>
    <w:qFormat/>
    <w:locked/>
    <w:uiPriority w:val="0"/>
    <w:pPr>
      <w:tabs>
        <w:tab w:val="left" w:pos="2087"/>
      </w:tabs>
      <w:spacing w:line="460" w:lineRule="exact"/>
      <w:ind w:firstLine="480"/>
    </w:pPr>
    <w:rPr>
      <w:color w:val="000000"/>
      <w:kern w:val="0"/>
    </w:rPr>
  </w:style>
  <w:style w:type="paragraph" w:styleId="15">
    <w:name w:val="annotation text"/>
    <w:basedOn w:val="1"/>
    <w:link w:val="55"/>
    <w:semiHidden/>
    <w:qFormat/>
    <w:uiPriority w:val="0"/>
    <w:pPr>
      <w:jc w:val="left"/>
    </w:pPr>
  </w:style>
  <w:style w:type="paragraph" w:styleId="16">
    <w:name w:val="Body Text"/>
    <w:basedOn w:val="1"/>
    <w:next w:val="1"/>
    <w:qFormat/>
    <w:uiPriority w:val="0"/>
    <w:pPr>
      <w:widowControl/>
      <w:snapToGrid w:val="0"/>
      <w:spacing w:before="60" w:after="160" w:line="259" w:lineRule="auto"/>
      <w:ind w:right="113"/>
    </w:pPr>
    <w:rPr>
      <w:kern w:val="0"/>
      <w:sz w:val="18"/>
      <w:szCs w:val="20"/>
    </w:rPr>
  </w:style>
  <w:style w:type="paragraph" w:styleId="17">
    <w:name w:val="Body Text Indent"/>
    <w:basedOn w:val="1"/>
    <w:next w:val="2"/>
    <w:qFormat/>
    <w:uiPriority w:val="0"/>
    <w:pPr>
      <w:spacing w:after="120"/>
      <w:ind w:left="420" w:leftChars="200"/>
    </w:pPr>
    <w:rPr>
      <w:kern w:val="0"/>
      <w:sz w:val="24"/>
      <w:szCs w:val="20"/>
    </w:rPr>
  </w:style>
  <w:style w:type="paragraph" w:styleId="18">
    <w:name w:val="Plain Text"/>
    <w:basedOn w:val="1"/>
    <w:link w:val="58"/>
    <w:qFormat/>
    <w:locked/>
    <w:uiPriority w:val="0"/>
    <w:pPr>
      <w:spacing w:line="240" w:lineRule="auto"/>
      <w:ind w:firstLine="0" w:firstLineChars="0"/>
    </w:pPr>
    <w:rPr>
      <w:rFonts w:ascii="宋体" w:hAnsi="Courier New"/>
      <w:sz w:val="21"/>
      <w:szCs w:val="20"/>
      <w:lang w:val="zh-CN"/>
    </w:rPr>
  </w:style>
  <w:style w:type="paragraph" w:styleId="19">
    <w:name w:val="Body Text Indent 2"/>
    <w:basedOn w:val="1"/>
    <w:unhideWhenUsed/>
    <w:qFormat/>
    <w:locked/>
    <w:uiPriority w:val="99"/>
    <w:pPr>
      <w:spacing w:after="120" w:line="480" w:lineRule="auto"/>
      <w:ind w:left="420" w:leftChars="200"/>
    </w:pPr>
    <w:rPr>
      <w:rFonts w:ascii="宋体" w:hAnsi="宋体"/>
    </w:rPr>
  </w:style>
  <w:style w:type="paragraph" w:styleId="20">
    <w:name w:val="Balloon Text"/>
    <w:basedOn w:val="1"/>
    <w:link w:val="57"/>
    <w:semiHidden/>
    <w:unhideWhenUsed/>
    <w:qFormat/>
    <w:uiPriority w:val="0"/>
    <w:pPr>
      <w:spacing w:line="240" w:lineRule="auto"/>
    </w:pPr>
    <w:rPr>
      <w:sz w:val="18"/>
      <w:szCs w:val="18"/>
    </w:rPr>
  </w:style>
  <w:style w:type="paragraph" w:styleId="21">
    <w:name w:val="footer"/>
    <w:basedOn w:val="1"/>
    <w:link w:val="54"/>
    <w:qFormat/>
    <w:uiPriority w:val="99"/>
    <w:pPr>
      <w:tabs>
        <w:tab w:val="center" w:pos="4153"/>
        <w:tab w:val="right" w:pos="8306"/>
      </w:tabs>
      <w:snapToGrid w:val="0"/>
      <w:spacing w:line="240" w:lineRule="auto"/>
      <w:jc w:val="left"/>
    </w:pPr>
    <w:rPr>
      <w:sz w:val="18"/>
      <w:szCs w:val="18"/>
    </w:rPr>
  </w:style>
  <w:style w:type="paragraph" w:styleId="22">
    <w:name w:val="header"/>
    <w:basedOn w:val="1"/>
    <w:link w:val="48"/>
    <w:qFormat/>
    <w:uiPriority w:val="0"/>
    <w:pPr>
      <w:pBdr>
        <w:bottom w:val="single" w:color="auto" w:sz="6" w:space="1"/>
      </w:pBdr>
      <w:tabs>
        <w:tab w:val="center" w:pos="4153"/>
        <w:tab w:val="right" w:pos="8306"/>
      </w:tabs>
      <w:snapToGrid w:val="0"/>
      <w:spacing w:line="240" w:lineRule="auto"/>
      <w:ind w:firstLine="0" w:firstLineChars="0"/>
      <w:jc w:val="center"/>
    </w:pPr>
    <w:rPr>
      <w:kern w:val="0"/>
      <w:sz w:val="18"/>
      <w:szCs w:val="20"/>
    </w:rPr>
  </w:style>
  <w:style w:type="paragraph" w:styleId="23">
    <w:name w:val="Body Text 2"/>
    <w:basedOn w:val="1"/>
    <w:qFormat/>
    <w:locked/>
    <w:uiPriority w:val="0"/>
    <w:pPr>
      <w:spacing w:after="120" w:line="480" w:lineRule="auto"/>
    </w:pPr>
  </w:style>
  <w:style w:type="paragraph" w:styleId="24">
    <w:name w:val="Normal (Web)"/>
    <w:basedOn w:val="1"/>
    <w:qFormat/>
    <w:uiPriority w:val="99"/>
    <w:rPr>
      <w:rFonts w:ascii="仿宋" w:hAnsi="仿宋" w:eastAsia="仿宋"/>
      <w:szCs w:val="28"/>
    </w:rPr>
  </w:style>
  <w:style w:type="paragraph" w:styleId="25">
    <w:name w:val="annotation subject"/>
    <w:basedOn w:val="15"/>
    <w:next w:val="15"/>
    <w:link w:val="56"/>
    <w:semiHidden/>
    <w:unhideWhenUsed/>
    <w:qFormat/>
    <w:uiPriority w:val="0"/>
    <w:rPr>
      <w:b/>
      <w:bCs/>
    </w:rPr>
  </w:style>
  <w:style w:type="paragraph" w:styleId="26">
    <w:name w:val="Body Text First Indent"/>
    <w:basedOn w:val="16"/>
    <w:qFormat/>
    <w:locked/>
    <w:uiPriority w:val="0"/>
    <w:pPr>
      <w:widowControl w:val="0"/>
      <w:snapToGrid/>
      <w:spacing w:before="0" w:after="120" w:line="240" w:lineRule="auto"/>
      <w:ind w:right="0" w:firstLine="420" w:firstLineChars="100"/>
    </w:pPr>
    <w:rPr>
      <w:kern w:val="2"/>
      <w:sz w:val="21"/>
      <w:szCs w:val="24"/>
      <w:lang w:val="en-US" w:eastAsia="zh-CN"/>
    </w:rPr>
  </w:style>
  <w:style w:type="paragraph" w:styleId="27">
    <w:name w:val="Body Text First Indent 2"/>
    <w:basedOn w:val="17"/>
    <w:next w:val="26"/>
    <w:qFormat/>
    <w:locked/>
    <w:uiPriority w:val="0"/>
    <w:pPr>
      <w:numPr>
        <w:ilvl w:val="0"/>
        <w:numId w:val="1"/>
      </w:numPr>
      <w:spacing w:line="240" w:lineRule="atLeast"/>
      <w:ind w:firstLineChars="0"/>
    </w:pPr>
    <w:rPr>
      <w:rFonts w:ascii="宋体" w:eastAsia="宋体"/>
      <w:spacing w:val="0"/>
      <w:szCs w:val="20"/>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Emphasis"/>
    <w:basedOn w:val="30"/>
    <w:qFormat/>
    <w:locked/>
    <w:uiPriority w:val="0"/>
    <w:rPr>
      <w:i/>
    </w:rPr>
  </w:style>
  <w:style w:type="character" w:styleId="32">
    <w:name w:val="annotation reference"/>
    <w:basedOn w:val="30"/>
    <w:semiHidden/>
    <w:qFormat/>
    <w:uiPriority w:val="99"/>
    <w:rPr>
      <w:sz w:val="21"/>
      <w:szCs w:val="21"/>
    </w:rPr>
  </w:style>
  <w:style w:type="character" w:customStyle="1" w:styleId="33">
    <w:name w:val="标题 1 字符"/>
    <w:link w:val="5"/>
    <w:qFormat/>
    <w:uiPriority w:val="0"/>
    <w:rPr>
      <w:rFonts w:eastAsia="黑体"/>
      <w:b/>
      <w:bCs/>
      <w:color w:val="000000"/>
      <w:kern w:val="44"/>
      <w:sz w:val="30"/>
      <w:szCs w:val="30"/>
    </w:rPr>
  </w:style>
  <w:style w:type="character" w:customStyle="1" w:styleId="34">
    <w:name w:val="标题 2 字符"/>
    <w:basedOn w:val="30"/>
    <w:link w:val="6"/>
    <w:qFormat/>
    <w:uiPriority w:val="0"/>
    <w:rPr>
      <w:rFonts w:ascii="Arial" w:hAnsi="Arial" w:eastAsia="黑体"/>
      <w:b/>
      <w:bCs/>
      <w:kern w:val="2"/>
      <w:sz w:val="32"/>
      <w:szCs w:val="32"/>
    </w:rPr>
  </w:style>
  <w:style w:type="character" w:customStyle="1" w:styleId="35">
    <w:name w:val="标题 3 字符"/>
    <w:basedOn w:val="30"/>
    <w:link w:val="7"/>
    <w:qFormat/>
    <w:uiPriority w:val="0"/>
    <w:rPr>
      <w:b/>
      <w:bCs/>
      <w:kern w:val="2"/>
      <w:sz w:val="32"/>
      <w:szCs w:val="32"/>
    </w:rPr>
  </w:style>
  <w:style w:type="character" w:customStyle="1" w:styleId="36">
    <w:name w:val="标题 4 字符"/>
    <w:basedOn w:val="30"/>
    <w:link w:val="8"/>
    <w:qFormat/>
    <w:uiPriority w:val="0"/>
    <w:rPr>
      <w:rFonts w:ascii="Arial" w:hAnsi="Arial" w:eastAsia="黑体"/>
      <w:b/>
      <w:bCs/>
      <w:kern w:val="2"/>
      <w:sz w:val="28"/>
      <w:szCs w:val="28"/>
    </w:rPr>
  </w:style>
  <w:style w:type="character" w:customStyle="1" w:styleId="37">
    <w:name w:val="标题 5 字符"/>
    <w:basedOn w:val="30"/>
    <w:link w:val="9"/>
    <w:qFormat/>
    <w:uiPriority w:val="0"/>
    <w:rPr>
      <w:b/>
      <w:bCs/>
      <w:sz w:val="28"/>
      <w:szCs w:val="28"/>
    </w:rPr>
  </w:style>
  <w:style w:type="character" w:customStyle="1" w:styleId="38">
    <w:name w:val="标题 6 字符"/>
    <w:basedOn w:val="30"/>
    <w:link w:val="10"/>
    <w:qFormat/>
    <w:uiPriority w:val="0"/>
    <w:rPr>
      <w:rFonts w:ascii="Cambria" w:hAnsi="Cambria"/>
      <w:b/>
      <w:bCs/>
      <w:sz w:val="24"/>
      <w:szCs w:val="24"/>
    </w:rPr>
  </w:style>
  <w:style w:type="character" w:customStyle="1" w:styleId="39">
    <w:name w:val="标题 7 字符"/>
    <w:basedOn w:val="30"/>
    <w:link w:val="11"/>
    <w:qFormat/>
    <w:uiPriority w:val="0"/>
    <w:rPr>
      <w:b/>
      <w:sz w:val="24"/>
    </w:rPr>
  </w:style>
  <w:style w:type="character" w:customStyle="1" w:styleId="40">
    <w:name w:val="标题 8 字符"/>
    <w:basedOn w:val="30"/>
    <w:link w:val="12"/>
    <w:qFormat/>
    <w:uiPriority w:val="0"/>
    <w:rPr>
      <w:rFonts w:ascii="Arial" w:hAnsi="Arial" w:eastAsia="黑体"/>
      <w:sz w:val="24"/>
    </w:rPr>
  </w:style>
  <w:style w:type="character" w:customStyle="1" w:styleId="41">
    <w:name w:val="标题 9 字符"/>
    <w:basedOn w:val="30"/>
    <w:link w:val="13"/>
    <w:qFormat/>
    <w:uiPriority w:val="0"/>
    <w:rPr>
      <w:rFonts w:ascii="Arial" w:hAnsi="Arial" w:eastAsia="黑体"/>
      <w:sz w:val="21"/>
    </w:rPr>
  </w:style>
  <w:style w:type="character" w:customStyle="1" w:styleId="42">
    <w:name w:val="报告表正文 Char1"/>
    <w:link w:val="43"/>
    <w:qFormat/>
    <w:uiPriority w:val="0"/>
    <w:rPr>
      <w:kern w:val="2"/>
      <w:sz w:val="24"/>
      <w:szCs w:val="24"/>
    </w:rPr>
  </w:style>
  <w:style w:type="paragraph" w:customStyle="1" w:styleId="43">
    <w:name w:val="报告表正文"/>
    <w:basedOn w:val="1"/>
    <w:link w:val="42"/>
    <w:qFormat/>
    <w:uiPriority w:val="0"/>
    <w:pPr>
      <w:adjustRightInd w:val="0"/>
      <w:snapToGrid w:val="0"/>
    </w:pPr>
  </w:style>
  <w:style w:type="paragraph" w:customStyle="1" w:styleId="44">
    <w:name w:val="表头"/>
    <w:basedOn w:val="1"/>
    <w:link w:val="46"/>
    <w:qFormat/>
    <w:uiPriority w:val="0"/>
    <w:pPr>
      <w:spacing w:before="50" w:beforeLines="50" w:line="240" w:lineRule="auto"/>
      <w:ind w:firstLine="0" w:firstLineChars="0"/>
      <w:jc w:val="center"/>
    </w:pPr>
    <w:rPr>
      <w:b/>
      <w:szCs w:val="21"/>
    </w:rPr>
  </w:style>
  <w:style w:type="paragraph" w:customStyle="1" w:styleId="45">
    <w:name w:val="表格内容"/>
    <w:basedOn w:val="43"/>
    <w:link w:val="47"/>
    <w:qFormat/>
    <w:uiPriority w:val="0"/>
    <w:pPr>
      <w:spacing w:line="240" w:lineRule="auto"/>
      <w:ind w:firstLine="0" w:firstLineChars="0"/>
    </w:pPr>
    <w:rPr>
      <w:sz w:val="21"/>
    </w:rPr>
  </w:style>
  <w:style w:type="character" w:customStyle="1" w:styleId="46">
    <w:name w:val="表头 字符"/>
    <w:basedOn w:val="30"/>
    <w:link w:val="44"/>
    <w:qFormat/>
    <w:uiPriority w:val="0"/>
    <w:rPr>
      <w:b/>
      <w:kern w:val="2"/>
      <w:sz w:val="21"/>
      <w:szCs w:val="21"/>
    </w:rPr>
  </w:style>
  <w:style w:type="character" w:customStyle="1" w:styleId="47">
    <w:name w:val="表格内容 字符"/>
    <w:basedOn w:val="42"/>
    <w:link w:val="45"/>
    <w:qFormat/>
    <w:uiPriority w:val="0"/>
    <w:rPr>
      <w:kern w:val="2"/>
      <w:sz w:val="21"/>
      <w:szCs w:val="24"/>
    </w:rPr>
  </w:style>
  <w:style w:type="character" w:customStyle="1" w:styleId="48">
    <w:name w:val="页眉 字符"/>
    <w:basedOn w:val="30"/>
    <w:link w:val="22"/>
    <w:qFormat/>
    <w:uiPriority w:val="0"/>
    <w:rPr>
      <w:sz w:val="18"/>
    </w:rPr>
  </w:style>
  <w:style w:type="paragraph" w:customStyle="1" w:styleId="49">
    <w:name w:val="表格内容格式"/>
    <w:basedOn w:val="1"/>
    <w:next w:val="1"/>
    <w:qFormat/>
    <w:uiPriority w:val="1"/>
    <w:pPr>
      <w:spacing w:line="240" w:lineRule="auto"/>
      <w:ind w:firstLine="0" w:firstLineChars="0"/>
      <w:jc w:val="center"/>
    </w:pPr>
    <w:rPr>
      <w:kern w:val="0"/>
      <w:sz w:val="22"/>
      <w:szCs w:val="22"/>
      <w:lang w:eastAsia="en-US"/>
    </w:rPr>
  </w:style>
  <w:style w:type="paragraph" w:customStyle="1" w:styleId="50">
    <w:name w:val="正文1"/>
    <w:basedOn w:val="1"/>
    <w:qFormat/>
    <w:uiPriority w:val="0"/>
    <w:pPr>
      <w:ind w:firstLine="0" w:firstLineChars="0"/>
    </w:pPr>
    <w:rPr>
      <w:rFonts w:ascii="仿宋_GB2312" w:eastAsia="仿宋_GB2312"/>
      <w:szCs w:val="20"/>
    </w:rPr>
  </w:style>
  <w:style w:type="character" w:customStyle="1" w:styleId="51">
    <w:name w:val="正文缩进 字符"/>
    <w:basedOn w:val="30"/>
    <w:link w:val="14"/>
    <w:qFormat/>
    <w:uiPriority w:val="0"/>
    <w:rPr>
      <w:color w:val="000000"/>
      <w:sz w:val="24"/>
      <w:szCs w:val="24"/>
    </w:rPr>
  </w:style>
  <w:style w:type="paragraph" w:customStyle="1" w:styleId="52">
    <w:name w:val="图格式"/>
    <w:basedOn w:val="1"/>
    <w:link w:val="53"/>
    <w:qFormat/>
    <w:uiPriority w:val="0"/>
    <w:pPr>
      <w:spacing w:before="50" w:beforeLines="50" w:after="50" w:afterLines="50"/>
      <w:ind w:firstLine="0" w:firstLineChars="0"/>
      <w:jc w:val="center"/>
    </w:pPr>
    <w:rPr>
      <w:b/>
      <w:color w:val="000000" w:themeColor="text1"/>
      <w:u w:val="single"/>
      <w14:textFill>
        <w14:solidFill>
          <w14:schemeClr w14:val="tx1"/>
        </w14:solidFill>
      </w14:textFill>
    </w:rPr>
  </w:style>
  <w:style w:type="character" w:customStyle="1" w:styleId="53">
    <w:name w:val="图格式 字符"/>
    <w:basedOn w:val="30"/>
    <w:link w:val="52"/>
    <w:qFormat/>
    <w:uiPriority w:val="0"/>
    <w:rPr>
      <w:b/>
      <w:color w:val="000000" w:themeColor="text1"/>
      <w:kern w:val="2"/>
      <w:sz w:val="24"/>
      <w:szCs w:val="24"/>
      <w:u w:val="single"/>
      <w14:textFill>
        <w14:solidFill>
          <w14:schemeClr w14:val="tx1"/>
        </w14:solidFill>
      </w14:textFill>
    </w:rPr>
  </w:style>
  <w:style w:type="character" w:customStyle="1" w:styleId="54">
    <w:name w:val="页脚 字符"/>
    <w:basedOn w:val="30"/>
    <w:link w:val="21"/>
    <w:qFormat/>
    <w:uiPriority w:val="99"/>
    <w:rPr>
      <w:kern w:val="2"/>
      <w:sz w:val="18"/>
      <w:szCs w:val="18"/>
    </w:rPr>
  </w:style>
  <w:style w:type="character" w:customStyle="1" w:styleId="55">
    <w:name w:val="批注文字 字符"/>
    <w:basedOn w:val="30"/>
    <w:link w:val="15"/>
    <w:semiHidden/>
    <w:qFormat/>
    <w:uiPriority w:val="0"/>
    <w:rPr>
      <w:kern w:val="2"/>
      <w:sz w:val="24"/>
      <w:szCs w:val="24"/>
    </w:rPr>
  </w:style>
  <w:style w:type="character" w:customStyle="1" w:styleId="56">
    <w:name w:val="批注主题 字符"/>
    <w:basedOn w:val="55"/>
    <w:link w:val="25"/>
    <w:semiHidden/>
    <w:qFormat/>
    <w:uiPriority w:val="0"/>
    <w:rPr>
      <w:b/>
      <w:bCs/>
      <w:kern w:val="2"/>
      <w:sz w:val="24"/>
      <w:szCs w:val="24"/>
    </w:rPr>
  </w:style>
  <w:style w:type="character" w:customStyle="1" w:styleId="57">
    <w:name w:val="批注框文本 字符"/>
    <w:basedOn w:val="30"/>
    <w:link w:val="20"/>
    <w:semiHidden/>
    <w:qFormat/>
    <w:uiPriority w:val="0"/>
    <w:rPr>
      <w:kern w:val="2"/>
      <w:sz w:val="18"/>
      <w:szCs w:val="18"/>
    </w:rPr>
  </w:style>
  <w:style w:type="character" w:customStyle="1" w:styleId="58">
    <w:name w:val="纯文本 字符"/>
    <w:basedOn w:val="30"/>
    <w:link w:val="18"/>
    <w:qFormat/>
    <w:uiPriority w:val="0"/>
    <w:rPr>
      <w:rFonts w:ascii="宋体" w:hAnsi="Courier New"/>
      <w:kern w:val="2"/>
      <w:sz w:val="21"/>
      <w:lang w:val="zh-CN" w:eastAsia="zh-CN"/>
    </w:rPr>
  </w:style>
  <w:style w:type="paragraph" w:customStyle="1" w:styleId="59">
    <w:name w:val="样式 正文缩进正文缩进2正文缩进 Char Char正文缩进 Char Char Char Char正文缩进 Char ..."/>
    <w:basedOn w:val="14"/>
    <w:qFormat/>
    <w:uiPriority w:val="0"/>
    <w:pPr>
      <w:tabs>
        <w:tab w:val="clear" w:pos="2087"/>
      </w:tabs>
      <w:spacing w:line="360" w:lineRule="auto"/>
      <w:ind w:firstLine="200"/>
    </w:pPr>
    <w:rPr>
      <w:rFonts w:cs="宋体"/>
      <w:color w:val="auto"/>
    </w:rPr>
  </w:style>
  <w:style w:type="character" w:customStyle="1" w:styleId="60">
    <w:name w:val="纯文本 Char"/>
    <w:qFormat/>
    <w:uiPriority w:val="0"/>
    <w:rPr>
      <w:rFonts w:ascii="宋体" w:eastAsia="宋体"/>
      <w:kern w:val="2"/>
      <w:sz w:val="21"/>
      <w:lang w:val="en-US" w:eastAsia="zh-CN" w:bidi="ar-SA"/>
    </w:rPr>
  </w:style>
  <w:style w:type="character" w:customStyle="1" w:styleId="61">
    <w:name w:val="font21"/>
    <w:basedOn w:val="30"/>
    <w:qFormat/>
    <w:uiPriority w:val="0"/>
    <w:rPr>
      <w:rFonts w:hint="default" w:ascii="Times New Roman" w:hAnsi="Times New Roman" w:cs="Times New Roman"/>
      <w:color w:val="000000"/>
      <w:sz w:val="21"/>
      <w:szCs w:val="21"/>
      <w:u w:val="none"/>
    </w:rPr>
  </w:style>
  <w:style w:type="character" w:customStyle="1" w:styleId="62">
    <w:name w:val="font11"/>
    <w:basedOn w:val="30"/>
    <w:qFormat/>
    <w:uiPriority w:val="0"/>
    <w:rPr>
      <w:rFonts w:hint="eastAsia" w:ascii="宋体" w:hAnsi="宋体" w:eastAsia="宋体"/>
      <w:color w:val="000000"/>
      <w:sz w:val="21"/>
      <w:szCs w:val="21"/>
      <w:u w:val="none"/>
    </w:rPr>
  </w:style>
  <w:style w:type="character" w:customStyle="1" w:styleId="63">
    <w:name w:val="font41"/>
    <w:basedOn w:val="30"/>
    <w:qFormat/>
    <w:uiPriority w:val="0"/>
    <w:rPr>
      <w:rFonts w:hint="default" w:ascii="Times New Roman" w:hAnsi="Times New Roman" w:cs="Times New Roman"/>
      <w:color w:val="000000"/>
      <w:sz w:val="21"/>
      <w:szCs w:val="21"/>
      <w:u w:val="none"/>
      <w:vertAlign w:val="superscript"/>
    </w:rPr>
  </w:style>
  <w:style w:type="paragraph" w:customStyle="1" w:styleId="64">
    <w:name w:val="【正文】"/>
    <w:basedOn w:val="1"/>
    <w:link w:val="65"/>
    <w:qFormat/>
    <w:uiPriority w:val="0"/>
    <w:pPr>
      <w:spacing w:line="440" w:lineRule="exact"/>
      <w:ind w:firstLine="544"/>
      <w:jc w:val="left"/>
    </w:pPr>
    <w:rPr>
      <w:szCs w:val="20"/>
      <w:lang w:val="zh-CN"/>
    </w:rPr>
  </w:style>
  <w:style w:type="character" w:customStyle="1" w:styleId="65">
    <w:name w:val="【正文】 Char"/>
    <w:link w:val="64"/>
    <w:qFormat/>
    <w:uiPriority w:val="0"/>
    <w:rPr>
      <w:kern w:val="2"/>
      <w:sz w:val="24"/>
      <w:lang w:val="zh-CN"/>
    </w:rPr>
  </w:style>
  <w:style w:type="paragraph" w:customStyle="1" w:styleId="66">
    <w:name w:val="正文四号"/>
    <w:basedOn w:val="1"/>
    <w:link w:val="67"/>
    <w:qFormat/>
    <w:uiPriority w:val="0"/>
    <w:rPr>
      <w:rFonts w:cs="宋体"/>
      <w:sz w:val="28"/>
      <w:szCs w:val="20"/>
    </w:rPr>
  </w:style>
  <w:style w:type="character" w:customStyle="1" w:styleId="67">
    <w:name w:val="正文四号 Char"/>
    <w:link w:val="66"/>
    <w:qFormat/>
    <w:uiPriority w:val="0"/>
    <w:rPr>
      <w:rFonts w:cs="宋体"/>
      <w:kern w:val="2"/>
      <w:sz w:val="28"/>
    </w:rPr>
  </w:style>
  <w:style w:type="character" w:customStyle="1" w:styleId="68">
    <w:name w:val="表中文字 Char"/>
    <w:link w:val="69"/>
    <w:qFormat/>
    <w:uiPriority w:val="0"/>
    <w:rPr>
      <w:kern w:val="2"/>
      <w:sz w:val="24"/>
      <w:szCs w:val="24"/>
    </w:rPr>
  </w:style>
  <w:style w:type="paragraph" w:customStyle="1" w:styleId="69">
    <w:name w:val="表中文字"/>
    <w:basedOn w:val="1"/>
    <w:link w:val="68"/>
    <w:qFormat/>
    <w:uiPriority w:val="0"/>
    <w:pPr>
      <w:adjustRightInd w:val="0"/>
      <w:snapToGrid w:val="0"/>
      <w:spacing w:line="240" w:lineRule="auto"/>
      <w:ind w:firstLine="0" w:firstLineChars="0"/>
      <w:jc w:val="center"/>
    </w:pPr>
  </w:style>
  <w:style w:type="character" w:customStyle="1" w:styleId="70">
    <w:name w:val="表格 Char"/>
    <w:basedOn w:val="30"/>
    <w:link w:val="71"/>
    <w:qFormat/>
    <w:uiPriority w:val="0"/>
    <w:rPr>
      <w:rFonts w:hint="eastAsia" w:ascii="宋体" w:hAnsi="宋体" w:eastAsia="宋体" w:cs="宋体"/>
      <w:sz w:val="21"/>
    </w:rPr>
  </w:style>
  <w:style w:type="paragraph" w:customStyle="1" w:styleId="71">
    <w:name w:val="表格"/>
    <w:basedOn w:val="14"/>
    <w:next w:val="1"/>
    <w:link w:val="70"/>
    <w:qFormat/>
    <w:uiPriority w:val="0"/>
    <w:pPr>
      <w:adjustRightInd w:val="0"/>
      <w:snapToGrid w:val="0"/>
      <w:spacing w:beforeLines="10" w:line="256" w:lineRule="auto"/>
      <w:jc w:val="center"/>
    </w:pPr>
    <w:rPr>
      <w:rFonts w:hint="eastAsia" w:ascii="宋体" w:hAnsi="Calibri"/>
      <w:kern w:val="0"/>
      <w:sz w:val="21"/>
      <w:szCs w:val="20"/>
    </w:rPr>
  </w:style>
  <w:style w:type="paragraph" w:customStyle="1" w:styleId="72">
    <w:name w:val="表"/>
    <w:basedOn w:val="16"/>
    <w:qFormat/>
    <w:uiPriority w:val="0"/>
    <w:pPr>
      <w:adjustRightInd w:val="0"/>
      <w:snapToGrid w:val="0"/>
      <w:spacing w:line="400" w:lineRule="exact"/>
      <w:jc w:val="center"/>
    </w:pPr>
    <w:rPr>
      <w:rFonts w:eastAsia="仿宋_GB2312"/>
      <w:sz w:val="24"/>
      <w:szCs w:val="24"/>
    </w:rPr>
  </w:style>
  <w:style w:type="paragraph" w:customStyle="1" w:styleId="73">
    <w:name w:val="L正文"/>
    <w:basedOn w:val="1"/>
    <w:qFormat/>
    <w:uiPriority w:val="0"/>
    <w:pPr>
      <w:adjustRightInd w:val="0"/>
      <w:snapToGrid w:val="0"/>
      <w:spacing w:line="460" w:lineRule="exact"/>
      <w:ind w:firstLine="200" w:firstLineChars="200"/>
      <w:jc w:val="left"/>
    </w:pPr>
    <w:rPr>
      <w:sz w:val="24"/>
    </w:rPr>
  </w:style>
  <w:style w:type="paragraph" w:customStyle="1" w:styleId="74">
    <w:name w:val="正文   1"/>
    <w:basedOn w:val="1"/>
    <w:qFormat/>
    <w:uiPriority w:val="0"/>
    <w:pPr>
      <w:spacing w:line="480" w:lineRule="exact"/>
      <w:ind w:firstLine="200" w:firstLineChars="200"/>
    </w:pPr>
    <w:rPr>
      <w:rFonts w:ascii="黑体" w:hAnsi="黑体" w:eastAsia="黑体" w:cs="宋体"/>
      <w:b/>
      <w:bCs/>
      <w:sz w:val="26"/>
      <w:szCs w:val="26"/>
    </w:rPr>
  </w:style>
  <w:style w:type="paragraph" w:customStyle="1" w:styleId="75">
    <w:name w:val="表格正文"/>
    <w:basedOn w:val="1"/>
    <w:qFormat/>
    <w:uiPriority w:val="0"/>
    <w:pPr>
      <w:spacing w:line="360" w:lineRule="exact"/>
      <w:jc w:val="center"/>
    </w:pPr>
  </w:style>
  <w:style w:type="paragraph" w:customStyle="1" w:styleId="76">
    <w:name w:val="报告书正文"/>
    <w:basedOn w:val="19"/>
    <w:qFormat/>
    <w:uiPriority w:val="0"/>
    <w:pPr>
      <w:tabs>
        <w:tab w:val="left" w:pos="6300"/>
      </w:tabs>
      <w:adjustRightInd w:val="0"/>
      <w:snapToGrid w:val="0"/>
      <w:spacing w:after="0" w:line="480" w:lineRule="exact"/>
      <w:ind w:left="0" w:leftChars="0" w:firstLine="480" w:firstLineChars="200"/>
    </w:pPr>
    <w:rPr>
      <w:rFonts w:ascii="宋体" w:hAnsi="宋体"/>
      <w:bCs/>
      <w:kern w:val="0"/>
      <w:sz w:val="24"/>
      <w:szCs w:val="24"/>
    </w:rPr>
  </w:style>
  <w:style w:type="paragraph" w:customStyle="1" w:styleId="77">
    <w:name w:val="表格文字"/>
    <w:basedOn w:val="18"/>
    <w:next w:val="1"/>
    <w:qFormat/>
    <w:uiPriority w:val="0"/>
    <w:pPr>
      <w:widowControl w:val="0"/>
      <w:tabs>
        <w:tab w:val="left" w:pos="540"/>
        <w:tab w:val="left" w:pos="1080"/>
        <w:tab w:val="left" w:pos="1800"/>
      </w:tabs>
      <w:adjustRightInd w:val="0"/>
      <w:snapToGrid w:val="0"/>
      <w:spacing w:line="360" w:lineRule="exact"/>
      <w:jc w:val="center"/>
    </w:pPr>
    <w:rPr>
      <w:rFonts w:ascii="宋体" w:hAnsi="宋体" w:eastAsia="宋体" w:cs="Times New Roman"/>
      <w:spacing w:val="8"/>
      <w:sz w:val="24"/>
    </w:rPr>
  </w:style>
  <w:style w:type="paragraph" w:customStyle="1" w:styleId="78">
    <w:name w:val="表文排版"/>
    <w:basedOn w:val="16"/>
    <w:qFormat/>
    <w:uiPriority w:val="0"/>
    <w:pPr>
      <w:autoSpaceDE w:val="0"/>
      <w:autoSpaceDN w:val="0"/>
      <w:adjustRightInd w:val="0"/>
      <w:snapToGrid w:val="0"/>
      <w:spacing w:after="0" w:line="360" w:lineRule="auto"/>
      <w:ind w:firstLine="482"/>
      <w:jc w:val="center"/>
      <w:textAlignment w:val="baseline"/>
    </w:pPr>
    <w:rPr>
      <w:rFonts w:ascii="Times New Roman" w:hAnsi="Times New Roman"/>
      <w:kern w:val="0"/>
      <w:sz w:val="22"/>
      <w:szCs w:val="24"/>
      <w:lang w:val="en-US" w:eastAsia="zh-CN"/>
    </w:rPr>
  </w:style>
  <w:style w:type="paragraph" w:customStyle="1" w:styleId="79">
    <w:name w:val="样式 小四 行距: 固定值 16 磅"/>
    <w:basedOn w:val="1"/>
    <w:qFormat/>
    <w:uiPriority w:val="0"/>
    <w:pPr>
      <w:snapToGrid w:val="0"/>
      <w:spacing w:line="400" w:lineRule="exact"/>
      <w:ind w:firstLine="480" w:firstLineChars="200"/>
    </w:pPr>
    <w:rPr>
      <w:rFonts w:ascii="Dutch801 Rm BT" w:hAnsi="Dutch801 Rm BT" w:cs="Dutch801 Rm BT"/>
      <w:sz w:val="24"/>
      <w:szCs w:val="20"/>
    </w:rPr>
  </w:style>
  <w:style w:type="character" w:customStyle="1" w:styleId="80">
    <w:name w:val="font61"/>
    <w:basedOn w:val="30"/>
    <w:qFormat/>
    <w:uiPriority w:val="0"/>
    <w:rPr>
      <w:rFonts w:hint="default" w:ascii="Times New Roman" w:hAnsi="Times New Roman" w:cs="Times New Roman"/>
      <w:color w:val="000000"/>
      <w:sz w:val="21"/>
      <w:szCs w:val="21"/>
      <w:u w:val="none"/>
      <w:vertAlign w:val="subscript"/>
    </w:rPr>
  </w:style>
  <w:style w:type="character" w:customStyle="1" w:styleId="81">
    <w:name w:val="font71"/>
    <w:basedOn w:val="30"/>
    <w:qFormat/>
    <w:uiPriority w:val="0"/>
    <w:rPr>
      <w:rFonts w:hint="default" w:ascii="Times New Roman" w:hAnsi="Times New Roman" w:cs="Times New Roman"/>
      <w:color w:val="000000"/>
      <w:sz w:val="20"/>
      <w:szCs w:val="20"/>
      <w:u w:val="none"/>
      <w:vertAlign w:val="subscript"/>
    </w:rPr>
  </w:style>
  <w:style w:type="character" w:customStyle="1" w:styleId="82">
    <w:name w:val="font51"/>
    <w:basedOn w:val="30"/>
    <w:qFormat/>
    <w:uiPriority w:val="0"/>
    <w:rPr>
      <w:rFonts w:hint="default" w:ascii="Times New Roman" w:hAnsi="Times New Roman" w:cs="Times New Roman"/>
      <w:color w:val="000000"/>
      <w:sz w:val="20"/>
      <w:szCs w:val="20"/>
      <w:u w:val="none"/>
    </w:rPr>
  </w:style>
  <w:style w:type="paragraph" w:customStyle="1" w:styleId="83">
    <w:name w:val="Table Paragraph"/>
    <w:basedOn w:val="2"/>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18.png"/><Relationship Id="rId32" Type="http://schemas.openxmlformats.org/officeDocument/2006/relationships/image" Target="media/image17.wmf"/><Relationship Id="rId31" Type="http://schemas.openxmlformats.org/officeDocument/2006/relationships/oleObject" Target="embeddings/oleObject7.bin"/><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5.wmf"/><Relationship Id="rId27" Type="http://schemas.openxmlformats.org/officeDocument/2006/relationships/oleObject" Target="embeddings/oleObject5.bin"/><Relationship Id="rId26" Type="http://schemas.openxmlformats.org/officeDocument/2006/relationships/image" Target="media/image14.png"/><Relationship Id="rId25" Type="http://schemas.openxmlformats.org/officeDocument/2006/relationships/image" Target="media/image13.emf"/><Relationship Id="rId24" Type="http://schemas.openxmlformats.org/officeDocument/2006/relationships/oleObject" Target="embeddings/oleObject4.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3.bin"/><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wdzx97.dot</Template>
  <Company>微软中国</Company>
  <Pages>81</Pages>
  <Words>50978</Words>
  <Characters>59112</Characters>
  <Lines>261</Lines>
  <Paragraphs>73</Paragraphs>
  <TotalTime>0</TotalTime>
  <ScaleCrop>false</ScaleCrop>
  <LinksUpToDate>false</LinksUpToDate>
  <CharactersWithSpaces>59974</CharactersWithSpaces>
  <Application>WPS Office_12.1.0.17468_F1E327BC-269C-435d-A152-05C5408002CA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2022-12-28T09:59:00Z</dcterms:created>
  <dc:creator>lhj</dc:creator>
  <cp:lastModifiedBy>课浩彰黑姿</cp:lastModifiedBy>
  <cp:lastPrinted>2020-12-29T10:43:00Z</cp:lastPrinted>
  <dcterms:modified xsi:type="dcterms:W3CDTF">2024-08-15T07:48:26Z</dcterms:modified>
  <dc:title>附件2</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E9047DD906D244F2B44AC05152F30A45_13</vt:lpwstr>
  </property>
</Properties>
</file>